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2613"/>
        <w:gridCol w:w="5238"/>
        <w:gridCol w:w="6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7899/16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חאשיה</w:t>
            </w:r>
          </w:p>
        </w:tc>
      </w:tr>
    </w:tbl>
    <w:p>
      <w:pPr>
        <w:pStyle w:val="Ruller31"/>
        <w:ind w:end="0"/>
        <w:jc w:val="start"/>
        <w:rPr>
          <w:sz w:val="24"/>
          <w:szCs w:val="30"/>
        </w:rPr>
      </w:pPr>
      <w:r>
        <w:rPr>
          <w:sz w:val="24"/>
          <w:szCs w:val="30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sz w:val="20"/>
          <w:szCs w:val="26"/>
          <w:rtl w:val="true"/>
        </w:rPr>
        <w:tab/>
      </w:r>
      <w:r>
        <w:rPr>
          <w:rtl w:val="true"/>
        </w:rPr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אלמוג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שילוני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18.5.2016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14.9.2016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51040-11-14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דיסקין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קאפח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11.10.2018</w:t>
            </w:r>
            <w:r>
              <w:rPr>
                <w:sz w:val="24"/>
                <w:szCs w:val="24"/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highlight w:val="yellow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גפני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וסרמן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תקרת הפיצוי לנפגע עברה בהליך הפלילי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מאזני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221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גיל סיגל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אורי ניר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פיצויים לקורבנות עברה בתאונות־דרכים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האם הם עומדים בסתירה לעקרון ייחוד העילה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?",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לו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2015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621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2016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Start w:id="10" w:name="LawTable_End"/>
      <w:bookmarkEnd w:id="9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דוחה את הערעור שהגיש רוצח החייל אלמוג שילוני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 וקובע בין היתר כי הוראת 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שחרור על תנאי ממאסר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המלצה לעניין אסיר עולם שהורשע ברצח חריג בחומרתו – נועדה למקרים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ויישומה צריך להיעשות במשורה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לנטען בערעור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סבור כי תנאי להפעלת ה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הוא הצטברות של מספר רכיבים בעלי חומרה 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כל מניע אידיאולוגי מוביל בהכרח להגדרה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חריגות בחומרתן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בהינתן גישה מצמצמת לפרשנות הסעיף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חריג בחומרתו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רצח חריג בחומרתו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שחרור על תנאי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פיצויו של מי שניזוק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העבירה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רצח חייל בדקירות סכין בתחנת רכבת בתל אביב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הרשיע את המערער בעבירה של רצח בכוונה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1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והושת עליו 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חויב המערער לפצות את משפחתו של המנוח בסכום המירבי הקבוע בחוק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הוסיף וקבע כי הרצח בוצע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חריגות בחומרתן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ההשלכות הנובעות מכך לפי </w:t>
      </w:r>
      <w:hyperlink r:id="rId2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שחרור על תנאי ממאסר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קביעה זו נסמכה על נסיבות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ממניע אידיאולוגי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שאיפה ליטול את נשקו של החייל המנוח ולרצוח באמצעותו עוברי אורח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רבים ככל האפשר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הכרעת הדין ועל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מחלוקת כי המערער דקר את המנוח וגרם למותו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בערעור היא כי לא מדובר ברצח בכוונה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המערער מאס בחייו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וההסבר לתקיפת החייל החמוש נמסר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ידו במשטרה באמרו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אני לא התכוונתי להרוג אותו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רציתי שהוא יירה 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המערער ביקש מביהמ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להתעלם מדבריו של המערער על דוכן העדים בפני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תכנן להרוג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להתעלם מהצהרה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הודאתו המלאה של המערער ברצח בכוונה תחילה מתיישבת גם עם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מותירים מקום לאפשרות אחרת מלבד כוונת קטילה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ובדין הורשע המערער בעבירה של רצח בכוונה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המרכזית בערעור היא כי שגה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כאשר קבע כי 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חריג בחומרתו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זאת נוכח ההשלכות הנובעות מכך לפי </w:t>
      </w:r>
      <w:hyperlink r:id="rId2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2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שחרור על תנאי ממאסר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הוראת </w:t>
      </w:r>
      <w:hyperlink r:id="rId2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נועדה למקרים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ויישומה צריך להיעשות במשורה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זה טרם ערך דיון ממצה בשאלת פרשנותו הראויה והיקף תחולתו של </w:t>
      </w:r>
      <w:hyperlink r:id="rId2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גם ההכרעה במקרה הנוכחי אינה מצריכה פרישה נרחבת של מכלול השיקולים ומגוון המצבים האפשריים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מסתפק בהערות קצרות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דברי ההסבר להצעת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 זה מיועד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אכזריים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מרובי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קורבנות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לנטען בערעור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אינו סבור כי תנאי להפעלת </w:t>
      </w:r>
      <w:hyperlink r:id="rId2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הוא הצטברות של מספר רכיבים בעלי חומרה 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נכון לקבל את הטענה כי לא כל מניע אידיאולוגי מוביל בהכרח להגדרה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חריגות בחומרתן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 עסקינן בפיגוע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של חייל בדקירות סכין במקום הומה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העיד כי הוא רצה ליטול את נשקו של המנוח ולירות בעוברים ושבים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שנמנע לאחר שהמנוח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אף שכבר נדקר מספר פעמים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הרפה מהנשק והמשיך להיאבק בשארית כוחותיו במערער שניסה להוציא את הנשק מידיו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בהינתן גישה מצמצמת לפרשנות הסעיף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מוצא עילה להתערבות בקביעתו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חריג בחומרתו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ראוי לציין כי </w:t>
      </w:r>
      <w:hyperlink r:id="rId2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המאבק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בטרור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התשע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ו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-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2016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לא חל על המקרה הנוכחי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מכיוון שטרם נכנס לתוקף בזמן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אילו היה חל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החוק מייתר את הדיון ומציב מגבלות דומות על קציבת עונש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בהתאם להוראת </w:t>
      </w:r>
      <w:hyperlink r:id="rId2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ממש בטענת המערער כי לא ניתנה לו הזדמנות לטעון ביחס להגדרת נסיבות הרצח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חריגות בחומרתן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נדחו טענות המערער נגד גובה הפיצוי למשפחתו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בסך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שנטען כי הפיצויים מופרזים ואינם מבוססים על תסקיר או על נזקים שהוכחו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שנפסק בעבר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הפיצוי לטובת נפגע העבירה הינו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 בעל אופי ראשוני שאותו פוסק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דרך האומדנא תוך הסתייעות בכלים הראייתיים מוגבלים העומדים לרשותו לצורך כך ובהם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 נפגע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 זה מוגש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בעניינו של הניזוק הישיר להוציא מקרים של עבירות המתה שבהם ניתן על 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187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3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הפלילי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להגיש תסקיר נפגע עבירה גם לגבי בני משפחתו של קורבן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הנדון אמנם לא הוגש תסקיר נפגע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אביו של החייל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העיד וסיפר גם על הנזק והסבל של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בהם הנזק הוא ברור וגלוי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במקרים של עבירות 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הכרח להיזקק לתסקיר כדי לקבוע את גובה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ממילא מוגבל לסכום המירבי שנקבע 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ברקע עומדים חומרת המעשה ותוצאותיו המרות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 שנפסק לטובת המשפחה ודאי אינו מופרז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8"/>
        </w:rPr>
      </w:pPr>
      <w:r>
        <w:rPr>
          <w:rFonts w:cs="Times New Roman"/>
          <w:spacing w:val="0"/>
          <w:sz w:val="24"/>
          <w:szCs w:val="28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Writer_Name"/>
      <w:bookmarkStart w:id="17" w:name="Writer_Name"/>
      <w:bookmarkEnd w:id="17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18"/>
          <w:szCs w:val="24"/>
          <w:u w:val="single"/>
        </w:rPr>
      </w:pPr>
      <w:r>
        <w:rPr>
          <w:rFonts w:cs="Miriam"/>
          <w:sz w:val="18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10.11.2014</w:t>
      </w:r>
      <w:r>
        <w:rPr>
          <w:rtl w:val="true"/>
        </w:rPr>
        <w:t xml:space="preserve">,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ההגנה</w:t>
      </w:r>
      <w:r>
        <w:rPr>
          <w:rtl w:val="true"/>
        </w:rPr>
        <w:t xml:space="preserve">"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18.5.2016</w:t>
      </w:r>
      <w:r>
        <w:rPr>
          <w:rtl w:val="true"/>
        </w:rPr>
        <w:t xml:space="preserve">, </w:t>
      </w:r>
      <w:r>
        <w:rPr>
          <w:rtl w:val="true"/>
        </w:rPr>
        <w:t>והרשיע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27.12.2015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24.9.2016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שחרור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על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-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תנאי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ממאסר</w:t>
        </w:r>
      </w:hyperlink>
      <w:r>
        <w:rPr>
          <w:rtl w:val="true"/>
        </w:rPr>
        <w:t xml:space="preserve">).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: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: "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שברחוב</w:t>
      </w:r>
      <w:r>
        <w:rPr>
          <w:rtl w:val="true"/>
        </w:rPr>
        <w:t xml:space="preserve">,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</w:t>
      </w:r>
      <w:r>
        <w:rPr>
          <w:rtl w:val="true"/>
        </w:rPr>
        <w:t>-</w:t>
      </w:r>
      <w:r>
        <w:rPr>
          <w:rtl w:val="true"/>
        </w:rPr>
        <w:t>אקצה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כשהרבנים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טמא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27.12.2015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באמרו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".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פרובוקטיבית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ושקרית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16-11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המשכנעות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הודאתו המלאה של המערער ברצח בכוונה תחילה מתיישבת גם עם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מותירים מקום לאפשרות אחרת מלבד כוונת קטילה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מעדותם של מספר עדי ראייה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בהכרעת דינו של בית המשפט קמא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עולה תמונה ברורה של תקיפה ברוטלית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שברובה הגדול היה המנוח שרוע חסר אונים על שביל הבטון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כשהנאשם בועט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חובל ודוקר אותו ללא רחם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התקשיתי אפוא להבין את הטענה שהועלתה בפנינו ולפיה המערער רצה שהחייל יהרוג אותו ולכן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התגרה בו בדקירות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קשה להלום סיטואציה של מספר דקירות שמהוות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התגרות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 הדקירות במקרה דנא היו קטלניות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דקר את המנוח באכזריות פעם אחר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 xml:space="preserve">הלה </w:t>
      </w:r>
      <w:r>
        <w:rPr>
          <w:rFonts w:ascii="Century" w:hAnsi="Century" w:cs="Century"/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לקרקע</w:t>
      </w:r>
      <w:r>
        <w:rPr>
          <w:rtl w:val="true"/>
        </w:rPr>
        <w:t xml:space="preserve">.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נזק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ראשיים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ההיסטורית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";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ההיסטורית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"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>.</w:t>
      </w:r>
    </w:p>
    <w:p>
      <w:pPr>
        <w:pStyle w:val="Ruller4"/>
        <w:ind w:start="435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".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"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;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; </w:t>
      </w:r>
      <w:r>
        <w:rPr>
          <w:rtl w:val="true"/>
        </w:rPr>
        <w:t>והתקיפה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>:</w:t>
      </w:r>
    </w:p>
    <w:p>
      <w:pPr>
        <w:pStyle w:val="Ruller5"/>
        <w:ind w:end="1282"/>
        <w:jc w:val="both"/>
        <w:rPr>
          <w:rStyle w:val="big-number"/>
          <w:rFonts w:ascii="Century" w:hAnsi="Century" w:cs="Miriam"/>
          <w:b/>
          <w:spacing w:val="0"/>
          <w:szCs w:val="24"/>
        </w:rPr>
      </w:pPr>
      <w:r>
        <w:rPr>
          <w:rFonts w:cs="Century"/>
          <w:rtl w:val="true"/>
        </w:rPr>
      </w:r>
    </w:p>
    <w:p>
      <w:pPr>
        <w:pStyle w:val="Ruller5"/>
        <w:ind w:end="1282"/>
        <w:jc w:val="both"/>
        <w:rPr>
          <w:rStyle w:val="default"/>
          <w:rFonts w:ascii="Century" w:hAnsi="Century" w:cs="Miriam"/>
          <w:b/>
          <w:spacing w:val="0"/>
          <w:sz w:val="22"/>
          <w:szCs w:val="24"/>
        </w:rPr>
      </w:pPr>
      <w:r>
        <w:rPr>
          <w:rStyle w:val="big-number"/>
          <w:rFonts w:cs="Miriam" w:ascii="Century" w:hAnsi="Century"/>
          <w:b/>
          <w:spacing w:val="0"/>
          <w:szCs w:val="24"/>
        </w:rPr>
        <w:t>30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.</w:t>
        <w:tab/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בחומרתו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משפט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שהרשיע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ברצח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רשאי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לקבוע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לעניין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המלצה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לקציבת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עונש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מאסר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עולם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שאותו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ביצע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המעשה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בנסיבות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חריגות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בחומרתן</w:t>
      </w:r>
      <w:r>
        <w:rPr>
          <w:rStyle w:val="default"/>
          <w:rFonts w:ascii="Century" w:hAnsi="Century"/>
          <w:sz w:val="22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קבע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יחולו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הוראות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Cs w:val="28"/>
        </w:rPr>
        <w:t>29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בשינויים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אלה</w:t>
      </w:r>
      <w:r>
        <w:rPr>
          <w:rStyle w:val="default"/>
          <w:rFonts w:ascii="Century" w:hAnsi="Century"/>
          <w:sz w:val="22"/>
          <w:szCs w:val="28"/>
          <w:rtl w:val="true"/>
        </w:rPr>
        <w:t>:</w:t>
      </w:r>
    </w:p>
    <w:p>
      <w:pPr>
        <w:pStyle w:val="Ruller5"/>
        <w:ind w:start="2160" w:end="1282"/>
        <w:jc w:val="both"/>
        <w:rPr/>
      </w:pP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Cs w:val="28"/>
        </w:rPr>
        <w:t>1</w:t>
      </w:r>
      <w:r>
        <w:rPr>
          <w:rStyle w:val="default"/>
          <w:rFonts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אף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האמור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ועדת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שחרורים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מיוחדת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תמליץ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להקל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בעונשו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האסיר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בטרם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חלפו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לפחות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Cs w:val="28"/>
        </w:rPr>
        <w:t>15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מהיום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החל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לשאת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מאסרו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ובלבד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שהתקופה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שתמליץ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לקצוב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תפחת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40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;</w:t>
      </w:r>
    </w:p>
    <w:p>
      <w:pPr>
        <w:pStyle w:val="Ruller5"/>
        <w:ind w:start="2160" w:end="1282"/>
        <w:jc w:val="both"/>
        <w:rPr>
          <w:rStyle w:val="default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בסעיפים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במקום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30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"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יקראו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40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".</w:t>
      </w:r>
    </w:p>
    <w:p>
      <w:pPr>
        <w:pStyle w:val="Ruller5"/>
        <w:ind w:end="1282"/>
        <w:jc w:val="both"/>
        <w:rPr>
          <w:rStyle w:val="default"/>
        </w:rPr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ובשפת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".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בחומרתם</w:t>
      </w:r>
      <w:r>
        <w:rPr>
          <w:rtl w:val="true"/>
        </w:rPr>
        <w:t xml:space="preserve">"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ויישומה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להיעשות במשורה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זה טרם ערך דיון ממצה בשאלת פרשנותו הראויה והיקף תחולתו של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גם ההכרעה במקרה הנוכחי אינה מצריכה פרישה נרחבת של מכלול השיקולים ומגוון המצבים האפשריים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ואסתפק בהערות קצרות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דברי ההסבר להצעת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סעיף זה מיועד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אכזריים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מרובי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קורבנות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</w:t>
      </w:r>
      <w:r>
        <w:rPr>
          <w:rFonts w:cs="Century" w:ascii="Century" w:hAnsi="Century"/>
        </w:rPr>
        <w:t>566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גם </w:t>
      </w:r>
      <w:r>
        <w:rPr>
          <w:rtl w:val="true"/>
        </w:rPr>
        <w:t>הדוגמאות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237</w:t>
      </w:r>
      <w:r>
        <w:rPr>
          <w:rtl w:val="true"/>
        </w:rPr>
        <w:t xml:space="preserve"> </w:t>
      </w:r>
      <w:r>
        <w:rPr>
          <w:rtl w:val="true"/>
        </w:rPr>
        <w:t>מישיבת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22.9.2014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3340/16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השחרורים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22.5.2016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בניגוד לנטען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אינני סבור כי תנאי להפעלת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הוא הצטברות של מספר רכיבים בעלי חומרה יתרה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אך אני נכון לקבל את הטענה כי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;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  <w:r>
        <w:rPr>
          <w:rtl w:val="true"/>
        </w:rPr>
        <w:t>ובאזנינו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מהדהדים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אמנם לא חל על המקרה הנוכחי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מכיוון שטרם נכנס לתוקף בזמן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אילו היה חל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החוק מייתר את הדיון ומציב מגבלות דומות על קציבת עונש 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להוראת 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זה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על–תנאי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".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19.7.2016</w:t>
      </w:r>
      <w:r>
        <w:rPr>
          <w:rtl w:val="true"/>
        </w:rPr>
        <w:t xml:space="preserve"> </w:t>
      </w:r>
      <w:r>
        <w:rPr>
          <w:rtl w:val="true"/>
        </w:rPr>
        <w:t>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191-190</w:t>
      </w:r>
      <w:r>
        <w:rPr>
          <w:rtl w:val="true"/>
        </w:rPr>
        <w:t xml:space="preserve">),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שהוכחו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גם ההכרעה בסוגיה זו אינה מעוררת קושי ואין צורך בדיון מעמיק על יסודותיו של הפיצוי מכוח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בהרחבה</w:t>
      </w:r>
      <w:r>
        <w:rPr>
          <w:rFonts w:cs="Century" w:ascii="Century" w:hAnsi="Century"/>
          <w:rtl w:val="true"/>
        </w:rPr>
        <w:t xml:space="preserve">: 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5625/16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13.9.2017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יניב</w:t>
      </w:r>
      <w:r>
        <w:rPr>
          <w:rFonts w:ascii="Century" w:hAnsi="Century" w:cs="Century"/>
          <w:rtl w:val="true"/>
        </w:rPr>
        <w:t xml:space="preserve">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ואקי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תקרת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הפיצוי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לנפגע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עברה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מאזני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וסבל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שמושפעים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Fonts w:ascii="Century" w:hAnsi="Century" w:cs="Century"/>
          <w:rtl w:val="true"/>
        </w:rPr>
        <w:t xml:space="preserve">רכי ההוכחה של אומדן הנזק </w:t>
      </w:r>
      <w:r>
        <w:rPr>
          <w:rFonts w:cs="Century" w:ascii="Century" w:hAnsi="Century"/>
          <w:rtl w:val="true"/>
        </w:rPr>
        <w:t>(</w:t>
      </w:r>
      <w:hyperlink r:id="rId52">
        <w:bookmarkStart w:id="20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6452/09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bookmarkEnd w:id="20"/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10-9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22.7.2010</w:t>
      </w:r>
      <w:r>
        <w:rPr>
          <w:rFonts w:cs="Century" w:ascii="Century" w:hAnsi="Century"/>
          <w:rtl w:val="true"/>
        </w:rPr>
        <w:t xml:space="preserve">); 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10025/16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10.8.2017</w:t>
      </w:r>
      <w:r>
        <w:rPr>
          <w:rFonts w:cs="Century" w:ascii="Century" w:hAnsi="Century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גיל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סיגל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ואורי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ניר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פיצויים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לקורבנות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עבֵרה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בתאונות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דרכים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—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האם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עומדים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בסתירה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לעקרון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ייחוד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העילה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?"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621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נזיקי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זוטא</w:t>
      </w:r>
      <w:r>
        <w:rPr>
          <w:rtl w:val="true"/>
        </w:rPr>
        <w:t xml:space="preserve">'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פי סעיף </w:t>
      </w:r>
      <w:r>
        <w:rPr>
          <w:rFonts w:cs="Century" w:ascii="Century" w:hAnsi="Century"/>
        </w:rPr>
        <w:t>77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תמימת דעים אני עם חברתי כי מדובר בפיצוי בעל אופי ראשוני שאותו פוסק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דרך האומדנא תוך הסתייעות בכלים הראייתיים מוגבלים העומדים לרשותו לצורך כך ובהם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תסקיר נפגע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תסקיר זה מוגש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בעניינו של הניזוק הישיר להוציא מקרים של עבירות המתה שבהם ניתן על פי סעיף </w:t>
      </w:r>
      <w:r>
        <w:rPr>
          <w:rFonts w:cs="Century" w:ascii="Century" w:hAnsi="Century"/>
        </w:rPr>
        <w:t>187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להגיש תסקיר נפגע עבירה גם לגבי בני משפחתו של קורבן העבי</w:t>
      </w:r>
      <w:r>
        <w:rPr>
          <w:rtl w:val="true"/>
        </w:rPr>
        <w:t>רה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וגלוי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7090/15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25.8.2016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23-22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השופטת חיות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המרות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26"/>
          <w:szCs w:val="32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בחשון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ט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16.10.2018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>
          <w:sz w:val="26"/>
          <w:szCs w:val="32"/>
        </w:rPr>
      </w:pPr>
      <w:r>
        <w:rPr>
          <w:sz w:val="26"/>
          <w:szCs w:val="3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16078990</w:t>
      </w:r>
      <w:r>
        <w:rPr>
          <w:sz w:val="16"/>
          <w:rtl w:val="true"/>
        </w:rPr>
        <w:t>_</w:t>
      </w:r>
      <w:r>
        <w:rPr>
          <w:sz w:val="16"/>
        </w:rPr>
        <w:t>E06.doc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עו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54678313-7899/16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Arial Narrow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7899/16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נור אלדין אבו חאשיה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CharChar">
    <w:name w:val=" Char Char"/>
    <w:qFormat/>
    <w:rPr>
      <w:rFonts w:ascii="Tahoma;Arial Narrow" w:hAnsi="Tahoma;Arial Narrow" w:cs="Tahoma;Arial Narrow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Arial Narrow" w:hAnsi="Tahoma;Arial Narrow" w:cs="Tahoma;Arial Narrow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81590" TargetMode="External"/><Relationship Id="rId3" Type="http://schemas.openxmlformats.org/officeDocument/2006/relationships/hyperlink" Target="http://www.nevo.co.il/safrut/book/26617" TargetMode="External"/><Relationship Id="rId4" Type="http://schemas.openxmlformats.org/officeDocument/2006/relationships/hyperlink" Target="http://www.nevo.co.il/safrut/book/26617" TargetMode="External"/><Relationship Id="rId5" Type="http://schemas.openxmlformats.org/officeDocument/2006/relationships/hyperlink" Target="http://www.nevo.co.il/safrut/book/2344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77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/300.a.3" TargetMode="External"/><Relationship Id="rId10" Type="http://schemas.openxmlformats.org/officeDocument/2006/relationships/hyperlink" Target="http://www.nevo.co.il/law/75025" TargetMode="External"/><Relationship Id="rId11" Type="http://schemas.openxmlformats.org/officeDocument/2006/relationships/hyperlink" Target="http://www.nevo.co.il/law/75025/3" TargetMode="External"/><Relationship Id="rId12" Type="http://schemas.openxmlformats.org/officeDocument/2006/relationships/hyperlink" Target="http://www.nevo.co.il/law/75025/30b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141771/40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5025/30b" TargetMode="External"/><Relationship Id="rId17" Type="http://schemas.openxmlformats.org/officeDocument/2006/relationships/hyperlink" Target="http://www.nevo.co.il/law/75025" TargetMode="External"/><Relationship Id="rId18" Type="http://schemas.openxmlformats.org/officeDocument/2006/relationships/hyperlink" Target="http://www.nevo.co.il/law/75025/30b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5025/30b" TargetMode="External"/><Relationship Id="rId22" Type="http://schemas.openxmlformats.org/officeDocument/2006/relationships/hyperlink" Target="http://www.nevo.co.il/law/75025" TargetMode="External"/><Relationship Id="rId23" Type="http://schemas.openxmlformats.org/officeDocument/2006/relationships/hyperlink" Target="http://www.nevo.co.il/law/75025/30b" TargetMode="External"/><Relationship Id="rId24" Type="http://schemas.openxmlformats.org/officeDocument/2006/relationships/hyperlink" Target="http://www.nevo.co.il/law/75025" TargetMode="External"/><Relationship Id="rId25" Type="http://schemas.openxmlformats.org/officeDocument/2006/relationships/hyperlink" Target="http://www.nevo.co.il/law/75025/30b" TargetMode="External"/><Relationship Id="rId26" Type="http://schemas.openxmlformats.org/officeDocument/2006/relationships/hyperlink" Target="http://www.nevo.co.il/law/75025/30b" TargetMode="External"/><Relationship Id="rId27" Type="http://schemas.openxmlformats.org/officeDocument/2006/relationships/hyperlink" Target="http://www.nevo.co.il/law/75025/30b" TargetMode="External"/><Relationship Id="rId28" Type="http://schemas.openxmlformats.org/officeDocument/2006/relationships/hyperlink" Target="http://www.nevo.co.il/law/141771" TargetMode="External"/><Relationship Id="rId29" Type="http://schemas.openxmlformats.org/officeDocument/2006/relationships/hyperlink" Target="http://www.nevo.co.il/law/141771/40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law/70301/300.a.3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0.a.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5025/30b" TargetMode="External"/><Relationship Id="rId36" Type="http://schemas.openxmlformats.org/officeDocument/2006/relationships/hyperlink" Target="http://www.nevo.co.il/law/75025" TargetMode="External"/><Relationship Id="rId37" Type="http://schemas.openxmlformats.org/officeDocument/2006/relationships/hyperlink" Target="http://www.nevo.co.il/law/75025" TargetMode="External"/><Relationship Id="rId38" Type="http://schemas.openxmlformats.org/officeDocument/2006/relationships/hyperlink" Target="http://www.nevo.co.il/law/75025/30b" TargetMode="External"/><Relationship Id="rId39" Type="http://schemas.openxmlformats.org/officeDocument/2006/relationships/hyperlink" Target="http://www.nevo.co.il/law/75025" TargetMode="External"/><Relationship Id="rId40" Type="http://schemas.openxmlformats.org/officeDocument/2006/relationships/hyperlink" Target="http://www.nevo.co.il/law/75025/30b" TargetMode="External"/><Relationship Id="rId41" Type="http://schemas.openxmlformats.org/officeDocument/2006/relationships/hyperlink" Target="http://www.nevo.co.il/law/75025/30b" TargetMode="External"/><Relationship Id="rId42" Type="http://schemas.openxmlformats.org/officeDocument/2006/relationships/hyperlink" Target="http://www.nevo.co.il/case/21473498" TargetMode="External"/><Relationship Id="rId43" Type="http://schemas.openxmlformats.org/officeDocument/2006/relationships/hyperlink" Target="http://www.nevo.co.il/law/75025/30b" TargetMode="External"/><Relationship Id="rId44" Type="http://schemas.openxmlformats.org/officeDocument/2006/relationships/hyperlink" Target="http://www.nevo.co.il/law/141771" TargetMode="External"/><Relationship Id="rId45" Type="http://schemas.openxmlformats.org/officeDocument/2006/relationships/hyperlink" Target="http://www.nevo.co.il/law/141771/40" TargetMode="External"/><Relationship Id="rId46" Type="http://schemas.openxmlformats.org/officeDocument/2006/relationships/hyperlink" Target="http://www.nevo.co.il/law/75025/3" TargetMode="External"/><Relationship Id="rId47" Type="http://schemas.openxmlformats.org/officeDocument/2006/relationships/hyperlink" Target="http://www.nevo.co.il/law/75025" TargetMode="External"/><Relationship Id="rId48" Type="http://schemas.openxmlformats.org/officeDocument/2006/relationships/hyperlink" Target="http://www.nevo.co.il/law/70301/77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21477594" TargetMode="External"/><Relationship Id="rId51" Type="http://schemas.openxmlformats.org/officeDocument/2006/relationships/hyperlink" Target="http://www.nevo.co.il/safrut/book/26617" TargetMode="External"/><Relationship Id="rId52" Type="http://schemas.openxmlformats.org/officeDocument/2006/relationships/hyperlink" Target="http://www.nevo.co.il/case/5685874" TargetMode="External"/><Relationship Id="rId53" Type="http://schemas.openxmlformats.org/officeDocument/2006/relationships/hyperlink" Target="http://www.nevo.co.il/case/22303357" TargetMode="External"/><Relationship Id="rId54" Type="http://schemas.openxmlformats.org/officeDocument/2006/relationships/hyperlink" Target="http://www.nevo.co.il/safrut/book/23449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case/20666422" TargetMode="External"/><Relationship Id="rId57" Type="http://schemas.openxmlformats.org/officeDocument/2006/relationships/hyperlink" Target="https://supreme.court.gov.il/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2018-10-18T10:15:00Z</dcterms:created>
  <dc:creator> </dc:creator>
  <dc:description/>
  <cp:keywords/>
  <dc:language>en-IL</dc:language>
  <cp:lastModifiedBy>orly</cp:lastModifiedBy>
  <cp:lastPrinted>2018-10-16T14:21:00Z</cp:lastPrinted>
  <dcterms:modified xsi:type="dcterms:W3CDTF">2018-10-18T10:15:00Z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נור אלדין אבו חאשיה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המנוח, אלמוג שילוני ז#ל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26617;23449</vt:lpwstr>
  </property>
  <property fmtid="{D5CDD505-2E9C-101B-9397-08002B2CF9AE}" pid="9" name="CASESLISTTMP1">
    <vt:lpwstr>18181590;21473498;21477594;22303357;20666422</vt:lpwstr>
  </property>
  <property fmtid="{D5CDD505-2E9C-101B-9397-08002B2CF9AE}" pid="10" name="CITY">
    <vt:lpwstr/>
  </property>
  <property fmtid="{D5CDD505-2E9C-101B-9397-08002B2CF9AE}" pid="11" name="DATE">
    <vt:lpwstr>20181016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עמית;ד' מינץ;ע' גרוסקופף</vt:lpwstr>
  </property>
  <property fmtid="{D5CDD505-2E9C-101B-9397-08002B2CF9AE}" pid="15" name="LAWLISTTMP1">
    <vt:lpwstr>70301/300.a.3;300.a.2;077</vt:lpwstr>
  </property>
  <property fmtid="{D5CDD505-2E9C-101B-9397-08002B2CF9AE}" pid="16" name="LAWLISTTMP2">
    <vt:lpwstr>75025/030b:5;003</vt:lpwstr>
  </property>
  <property fmtid="{D5CDD505-2E9C-101B-9397-08002B2CF9AE}" pid="17" name="LAWLISTTMP3">
    <vt:lpwstr>141771/040</vt:lpwstr>
  </property>
  <property fmtid="{D5CDD505-2E9C-101B-9397-08002B2CF9AE}" pid="18" name="LAWLISTTMP4">
    <vt:lpwstr>74903</vt:lpwstr>
  </property>
  <property fmtid="{D5CDD505-2E9C-101B-9397-08002B2CF9AE}" pid="19" name="LAWYER">
    <vt:lpwstr>הדס פורר גפני;רותם נוימן וסרמן;עמית שלוס;לאה צמל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</vt:lpwstr>
  </property>
  <property fmtid="{D5CDD505-2E9C-101B-9397-08002B2CF9AE}" pid="41" name="NOSE21">
    <vt:lpwstr>עבירת הרצח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פיצויים והוצאות</vt:lpwstr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12455;1446;1447</vt:lpwstr>
  </property>
  <property fmtid="{D5CDD505-2E9C-101B-9397-08002B2CF9AE}" pid="52" name="NOSE31">
    <vt:lpwstr>רצח חריג בחומרתו</vt:lpwstr>
  </property>
  <property fmtid="{D5CDD505-2E9C-101B-9397-08002B2CF9AE}" pid="53" name="NOSE310">
    <vt:lpwstr/>
  </property>
  <property fmtid="{D5CDD505-2E9C-101B-9397-08002B2CF9AE}" pid="54" name="NOSE32">
    <vt:lpwstr>שחרור על תנאי</vt:lpwstr>
  </property>
  <property fmtid="{D5CDD505-2E9C-101B-9397-08002B2CF9AE}" pid="55" name="NOSE33">
    <vt:lpwstr>פיצויו של מי שניזוק על-ידי העבירה</vt:lpwstr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;9006;9011</vt:lpwstr>
  </property>
  <property fmtid="{D5CDD505-2E9C-101B-9397-08002B2CF9AE}" pid="63" name="PADIDATE">
    <vt:lpwstr>20181018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7899</vt:lpwstr>
  </property>
  <property fmtid="{D5CDD505-2E9C-101B-9397-08002B2CF9AE}" pid="69" name="PROCYEAR">
    <vt:lpwstr>16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410120181016</vt:lpwstr>
  </property>
  <property fmtid="{D5CDD505-2E9C-101B-9397-08002B2CF9AE}" pid="73" name="TYPE_N_DATE">
    <vt:lpwstr>41020181016</vt:lpwstr>
  </property>
  <property fmtid="{D5CDD505-2E9C-101B-9397-08002B2CF9AE}" pid="74" name="VOLUME">
    <vt:lpwstr/>
  </property>
  <property fmtid="{D5CDD505-2E9C-101B-9397-08002B2CF9AE}" pid="75" name="WORDNUMPAGES">
    <vt:lpwstr>8</vt:lpwstr>
  </property>
</Properties>
</file>