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7931/18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31162-02-18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02.10.2018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זלוצ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'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ובר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פרידלנדר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כהן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16.09.2020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אורית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נפגעות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רותי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BeginProtocol"/>
      <w:bookmarkStart w:id="6" w:name="secretary"/>
      <w:bookmarkEnd w:id="5"/>
      <w:bookmarkEnd w:id="6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כתבי עת</w:t>
      </w:r>
      <w:hyperlink r:id="rId3">
        <w:r>
          <w:rPr>
            <w:rFonts w:cs="FrankRuehl;Times New Roman" w:ascii="FrankRuehl;Times New Roman" w:hAnsi="FrankRuehl;Times New Roman"/>
            <w:sz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  <w:u w:val="single"/>
        </w:rPr>
      </w:pPr>
      <w:hyperlink r:id="rId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יוסף אלרון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, 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קבלת ראיות שלא על פי סדר הדין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",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המשפט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כרך יב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ספר עדי אזר 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ל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  <w:u w:val="single"/>
        </w:rPr>
      </w:pPr>
      <w:r>
        <w:rPr>
          <w:rFonts w:cs="FrankRuehl;Times New Roman" w:ascii="FrankRuehl;Times New Roman" w:hAnsi="FrankRuehl;Times New Roman"/>
          <w:sz w:val="24"/>
          <w:u w:val="single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</w:rPr>
          <w:t>34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ח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3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חוק טיפול בחולי נפש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1991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</w:rPr>
          <w:t>15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</w:rPr>
          <w:t>15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ד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</w:rPr>
          <w:t>153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13" w:name="ABSTRACT_START"/>
      <w:bookmarkEnd w:id="13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הודה 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רצח 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מיוחס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לנוכח חוו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פסיכיאטרית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המחוזי זיכה אותו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מביצוע עבירת רצח בשל סייג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שפיות הדעת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הורה על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שליחתו 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אשפוז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כפוי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העליון קבע כי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עלה בידי המערער להוכיח אחת מהעילות שבהתקיימן יוּתר לו לחזור בו מהודייתו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בין היתר נפסק כי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הערכתו של עו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חדש כי לוּ היה ננקט קו הגנה 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היה הדבר מועיל יותר לנאשם – אינה מהווה אינדיקציה לכשל בייצוג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ככל שקו ההגנה שנקט בו הסניגור היה לכל הפחות סביר בנסיבות הענין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תתקבל טענת כשל בייצוג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הודאה – חזרה מהודאה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ייצוג – כשל בייצוג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הודאה – חופשית ומרצון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בדיון שהתקיים בביהמ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הוקרא כתב האישום למערער והוא הודה 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רצח 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מיוחס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לנוכח האמור בחוות הדעת הפסיכיאטרית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זיכה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את המערער מביצוע עבירת רצח בשל סייג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שפיות הדעת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הורה על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שליחתו 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אשפוז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כפוי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למשך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באמצעות סניגורו הנוכחי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הגיש ערעור על הכרעת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בגדרו ביקש להתיר לו לחזור בו מהודייתו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בגין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כשל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בייצוגו בביהמ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לגישתו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העצה שקיבל מסניגורו הקודם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להודות בכתב האישום ללא ניהול הוכחות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כאשר הודייתו זו לא הקנתה לו יתרון כלשהו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שעה שביהמ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הורה על אשפוז כפוי למשך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שנה 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עולה כדי כשל בייצוג אשר מצדיק להתיר לו לחזור בו מהודייתו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לביסוס טענתו לפיה עצת הסניגור הי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תה שגויה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ביקש 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כוחו הנוכחי להגיש ראיות נוספות בשלב הערעור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המקימות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לשיטתו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ספק סביר באשמת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בהסכמת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הנדל 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בקשת נאשם לחזור בו מהודיה שמסר בכתב האישום תתאפשר ברשות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מנימוקים מיוחדים שיירשמו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בפסיקה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נקבעו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שלוש עילות מרכזיות אשר בהתקיימן ישקול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להתיר לנאשם לחזור בו מהודייתו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פגם ברצון החופשי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כשל בייצוג המשפטי ורצון כן מצד הנאשם בחשיפת האמת העובדתית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מדובר 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רשימה סגורה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עוד נקבע בפסיקה כי חזרה מהודיה אשר ניתנה במסגרת הסדר טיעון תותר במקרים חריגים בלבד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יש משמעות למועד בו הוגשה הבקשה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בקשה לחזרה מהודיה שהוגשה לראשונה לאחר מתן גזר הדין תתקבל רק בנסיבות חריגות אשר בהן מתעורר חשש ממשי כי הנאשם מסר הודיית שווא בניגוד לרצונו החופשי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מבלי להבין את משמעותה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טענתו המרכזית של המערער היא כי נסיבותיו מקימות את העילה השניה – כשל בייצוג המשפטי – באופן המצדיק להתיר לו לחזור בו מהודייתו ולנהל את משפטו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בעקיפין טוען המערער גם להתקיימותה של העילה הראשונה – פגם ברצון החופשי בעת מסירת 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שכן לטענתו לא היה על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להסתמך על הודייתו בשל מצבו הנפשי בעת ביצוע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 כשל בייצוג תיבחן בזהירות רבה ותתקבל רק במקרים מתאימים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בהם הוכח כי האופן בו נוהלה ההגנה גרם לעיוות דין של ממש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המבחן לקיומו של כשל בייצוג שהביא לעיוות דין הוא סיבתי תוצאתי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כלומר על הטוען כי נגרם לו עיוות דין להוכיח כי אלמלא הייצוג הכושל אפשר שתוצאתו של ההליך הייתה משתנה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דנן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ובניגוד לנטען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לא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מצא כי נפל פגם בהתנהלות הסניגור הקודם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בוודאי לא כזה שהיה בו כדי לשנות את תוצאת ההליך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ממילא אין לקבל את טענת המערער לכשל בייצוג שגרם לו לעיוות דין של ממש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ואשר בכוחו להצדיק חזרה מהודיה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כעולה מתגובת הסניגור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הקודם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הודיית 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נעשתה רק לאחר בחינת מכלול חומר הראיות ולאחר שהסניגור בחן לעומקה את גרסת המערער לאירוע והציג לו את ההשלכות הצפויות מהודייתו במעשה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בהמשך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במעמד מסירת ההודיה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הקפיד המותב שישב בדין לוודא כי המערער הבין את משמעות 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הודיית המערער בביהמ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מהווה המשך ישיר לגרסה שמסר ולהודייתו במעשה במסגרת חקירת המשטרה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ואחרון – והיא העיקר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 המערער כי הגנתו נוהלה באופן שגוי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נסמכת על כך שהוא לא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הרוויח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דבר מהודייתו במעשה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ומכאן לשיטתו ראיה לכך שקו ההגנה שננקט היה שגוי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;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די בסברה של עורך דין המייצג נאשם בערכאת 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לפיה שגה הסניגור שייצג את אותו נאשם בערכאה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כשנקט בקו הגנה מסוים ולא באחר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כדי להצדיק קבלת טענת כשל בייצוג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בדומה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הערכתו של עורך הדין החדש כי לוּ היה ננקט קו הגנה 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היה הדבר מועיל יותר לנאשם – אינה מהווה אינדיקציה לכשל בייצוג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הלכה למעשה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ככל שקו ההגנה שנקט בו הסניגור היה לכל הפחות סביר בנסיבות העני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תתקבל טענת כשל בייצוג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לכל היותר מדובר בניהול סיכונים מצד הנאשם וסניגורו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מובן הוא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אין לקבל טענה של כשל בייצוג בכל פעם שקו הגנה מסוים שנקט בו סניגור נדחה על ידי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והנאשם מורשע בדינו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הדברים נכונים שבעתיים בנסיבות דנן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בהן חוות הדעת הפסיכיאטרית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תה מקובלת גם על המשיבה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תמכה בקו הגנה של סייג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 שפיות הדעת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והודיית המערער התיישבה עם הגרסה שמסר בחקירת המשטרה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קיבל את קו ההגנה שננקט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זיכה את המערער בדינו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והורה על שליחתו לאשפוז כפוי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בטענתו להיעדר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כדאיות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ההודיה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מתעלם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 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מהקושי הממשי לטעון טענות עובדתיות חלופיות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האחת – כי המערער ביצע את המעשה אך לא היה שפוי בדעתו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והשניה – כי לא ביצע כלל את המעשה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המסקנה לפיה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לא התקיים במקרה דנן כשל בייצוגו של המערער בערכאה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מובילה מאליה גם למסקנה כי אין להיעתר לבקשה להגשת הראיות הנוספות בשלב הערעור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אף מבלי להידרש לתוכנן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הלכה היא כי רק במקרים חריגים תתאפשר הגשת ראיות נוספות בערעור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העובדה שהוחלף סניגור וכי הלה מבקש כעת לנקוט בקו הגנה חדש ולהגיש את הראיות הנוספות כתמיכה בטענותיו אין בה לבדה כדי להצדיק פתיחה מחדש של התיק מראשיתו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במיוחד בנסיבות דנן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בהן לא הוגשו כלל ראיות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שלמעשה לא מדובר בהגשת ראיות נוספות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בהגשה סלקטיבית של ראיות מסוימות התומכות לשיטת המערער בחפותו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משלא הי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תה כל מניעה להגיש את הראיות האמורות בערכאה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ומשנדחתה טענת הכשל בייצוג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נשמטת הקרקע מתחת לבקשה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כן לא נמצא ממש בטענה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לפיה יש להתיר 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לחזור בו מהודייתו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מאחר שלא הוכח כי הוא היה כשיר למוסרה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בשל מצבו הנפשי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אשר בעקיפין ניתן לראות בה טענה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להתקיימותה של העילה הראשונה – פגם ברצון החופשי בעת מסירת הודייתו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טענה מפורשת מצד המערער כי הוא לא ביצע את המיוחס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הודייתו נמסרה שלא מתוך רצון חופשי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 שטען 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בהקשר זה היה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משנקבע שהמערער היה נתון בהתקף פסיכוטי בעת האירוע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אפשרי שלא הי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תה לו גם בהמשך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כשכבר נמצא שפוי לכאורה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היכולת לזכור אם ביום האירוע אכן דקר את המנוח או לא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השערה זו סותרת את האמור בחוות הדעת הפסיכיאטרית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לפיה המערער כשיר לעמוד בדין ואינה מגובה בראיות ועל כן אין לייחס משקל להשערה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יתירה מזאת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לקבלת טענת המערער עשויות להיות משמעויות מרחיקות לכת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שכן על פיה ככלל לא ניתן יהיה לקבל הודאה מנאשם אשר נמצא כשיר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בהן לא היה שפוי בדעתו בעת ביצוע המיוחס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מכאן 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עלה בידי המערער להוכיח אחת מהעילות שבהתקיימן יוּתר לו לחזור בו מהודייתו אשר מסר בביהמ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17.1.2018</w:t>
      </w:r>
      <w:r>
        <w:rPr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אשפה</w:t>
      </w:r>
      <w:r>
        <w:rPr>
          <w:rtl w:val="true"/>
        </w:rPr>
        <w:t xml:space="preserve">, </w:t>
      </w:r>
      <w:r>
        <w:rPr>
          <w:rtl w:val="true"/>
        </w:rPr>
        <w:t>וכששב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הפתוח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מעוצמתן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מתבוסס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אהרונוביץ</w:t>
      </w:r>
      <w:r>
        <w:rPr>
          <w:rtl w:val="true"/>
        </w:rPr>
        <w:t xml:space="preserve">',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התפקידים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2.10.2018</w:t>
      </w:r>
      <w:r>
        <w:rPr>
          <w:rtl w:val="true"/>
        </w:rPr>
        <w:t xml:space="preserve"> </w:t>
      </w:r>
      <w:r>
        <w:rPr>
          <w:rtl w:val="true"/>
        </w:rPr>
        <w:t>הוקרא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יאושפז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כשל</w:t>
      </w:r>
      <w:r>
        <w:rPr>
          <w:rtl w:val="true"/>
        </w:rPr>
        <w:t xml:space="preserve">" </w:t>
      </w:r>
      <w:r>
        <w:rPr>
          <w:rtl w:val="true"/>
        </w:rPr>
        <w:t>בייצוגו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יעץ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", </w:t>
      </w:r>
      <w:r>
        <w:rPr>
          <w:rtl w:val="true"/>
        </w:rPr>
        <w:t>בלשונו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להישלח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("...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 xml:space="preserve">"). </w:t>
      </w:r>
      <w:r>
        <w:rPr>
          <w:rtl w:val="true"/>
        </w:rPr>
        <w:t>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והביאהּ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במכתבו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8.4.2019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שירותיהם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עימי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המקימות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מהתמונות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לשאלתי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שהגשתן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ונשתכנע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12-11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16.9.2020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" </w:t>
      </w:r>
      <w:r>
        <w:rPr>
          <w:rtl w:val="true"/>
        </w:rPr>
        <w:t>ועתה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מורנו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: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,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2005/20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11.8.2020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25.9.2019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5.2.2019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בעקיפין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;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תוצאתי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9.9.2020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23.8.2012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3.7.2018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;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חפוז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14-13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2.10.2018</w:t>
      </w:r>
      <w:r>
        <w:rPr>
          <w:rtl w:val="true"/>
        </w:rPr>
        <w:t xml:space="preserve">).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ואחרון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,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הרוויח</w:t>
      </w:r>
      <w:r>
        <w:rPr>
          <w:rtl w:val="true"/>
        </w:rPr>
        <w:t xml:space="preserve">"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כשלעצמי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כדאיות</w:t>
      </w:r>
      <w:r>
        <w:rPr>
          <w:rtl w:val="true"/>
        </w:rPr>
        <w:t xml:space="preserve">" </w:t>
      </w:r>
      <w:r>
        <w:rPr>
          <w:rtl w:val="true"/>
        </w:rPr>
        <w:t>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כשנקט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4883/11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מרקוביץ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21.3.2013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25.6.2008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10153/07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30.7.2012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הגיונם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בהיוועצות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; </w:t>
      </w:r>
      <w:r>
        <w:rPr>
          <w:rtl w:val="true"/>
        </w:rPr>
        <w:t>ולעיתים</w:t>
      </w:r>
      <w:r>
        <w:rPr>
          <w:rtl w:val="true"/>
        </w:rPr>
        <w:t xml:space="preserve">, </w:t>
      </w:r>
      <w:r>
        <w:rPr>
          <w:rtl w:val="true"/>
        </w:rPr>
        <w:t>בראיה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וסניגורו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", </w:t>
      </w:r>
      <w:r>
        <w:rPr>
          <w:rtl w:val="true"/>
        </w:rPr>
        <w:t>והודיית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</w:t>
      </w:r>
      <w:r>
        <w:rPr>
          <w:rtl w:val="true"/>
        </w:rPr>
        <w:t xml:space="preserve">,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כדאיות</w:t>
      </w:r>
      <w:r>
        <w:rPr>
          <w:rtl w:val="true"/>
        </w:rPr>
        <w:t xml:space="preserve">"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tl w:val="true"/>
        </w:rPr>
        <w:t xml:space="preserve">, </w:t>
      </w:r>
      <w:r>
        <w:rPr>
          <w:rtl w:val="true"/>
        </w:rPr>
        <w:t>והשניה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מסקנתי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פופר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296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FrankRuehl;Times New Roman" w:ascii="FrankRuehl;Times New Roman" w:hAnsi="FrankRuehl;Times New Roman"/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; </w:t>
      </w:r>
      <w:r>
        <w:rPr>
          <w:rtl w:val="true"/>
        </w:rPr>
        <w:t>לאמות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אלרון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קבלת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/>
        <w:t>30-24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בחפותו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ומשנדחתה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, </w:t>
      </w:r>
      <w:r>
        <w:rPr>
          <w:rtl w:val="true"/>
        </w:rPr>
        <w:t>נשמטת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למוסרה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ברצונו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והאזנתי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, "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התפקידים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אהרונוביץ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1.3.2018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ברצון</w:t>
      </w:r>
      <w:r>
        <w:rPr>
          <w:rtl w:val="true"/>
        </w:rPr>
        <w:t xml:space="preserve">"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ואיש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נזעקה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מתבוסס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שבהתקיימן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יוּתר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30.9.2020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18079310</w:t>
      </w:r>
      <w:r>
        <w:rPr>
          <w:sz w:val="16"/>
          <w:rtl w:val="true"/>
        </w:rPr>
        <w:t>_</w:t>
      </w:r>
      <w:r>
        <w:rPr>
          <w:sz w:val="16"/>
        </w:rPr>
        <w:t>J23.docx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54678313-7931/18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7931/18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641637" TargetMode="External"/><Relationship Id="rId3" Type="http://schemas.openxmlformats.org/officeDocument/2006/relationships/hyperlink" Target="http://www.nevo.co.il/safrut/book/1309" TargetMode="External"/><Relationship Id="rId4" Type="http://schemas.openxmlformats.org/officeDocument/2006/relationships/hyperlink" Target="http://www.nevo.co.il/safrut/book/130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.h" TargetMode="External"/><Relationship Id="rId7" Type="http://schemas.openxmlformats.org/officeDocument/2006/relationships/hyperlink" Target="http://www.nevo.co.il/law/70301/300.a.3" TargetMode="External"/><Relationship Id="rId8" Type="http://schemas.openxmlformats.org/officeDocument/2006/relationships/hyperlink" Target="http://www.nevo.co.il/law/70314" TargetMode="External"/><Relationship Id="rId9" Type="http://schemas.openxmlformats.org/officeDocument/2006/relationships/hyperlink" Target="http://www.nevo.co.il/law/70314/15.a" TargetMode="External"/><Relationship Id="rId10" Type="http://schemas.openxmlformats.org/officeDocument/2006/relationships/hyperlink" Target="http://www.nevo.co.il/law/70314/15.d1.1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153.a" TargetMode="External"/><Relationship Id="rId13" Type="http://schemas.openxmlformats.org/officeDocument/2006/relationships/hyperlink" Target="http://www.nevo.co.il/law/70301/300.a.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14/15.a" TargetMode="External"/><Relationship Id="rId16" Type="http://schemas.openxmlformats.org/officeDocument/2006/relationships/hyperlink" Target="http://www.nevo.co.il/law/70314" TargetMode="External"/><Relationship Id="rId17" Type="http://schemas.openxmlformats.org/officeDocument/2006/relationships/hyperlink" Target="http://www.nevo.co.il/law/70301/34.h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14/15.d1.1" TargetMode="External"/><Relationship Id="rId20" Type="http://schemas.openxmlformats.org/officeDocument/2006/relationships/hyperlink" Target="http://www.nevo.co.il/law/70314" TargetMode="External"/><Relationship Id="rId21" Type="http://schemas.openxmlformats.org/officeDocument/2006/relationships/hyperlink" Target="http://www.nevo.co.il/law/74903/153.a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case/26541508" TargetMode="External"/><Relationship Id="rId24" Type="http://schemas.openxmlformats.org/officeDocument/2006/relationships/hyperlink" Target="http://www.nevo.co.il/case/25305739" TargetMode="External"/><Relationship Id="rId25" Type="http://schemas.openxmlformats.org/officeDocument/2006/relationships/hyperlink" Target="http://www.nevo.co.il/case/24493087" TargetMode="External"/><Relationship Id="rId26" Type="http://schemas.openxmlformats.org/officeDocument/2006/relationships/hyperlink" Target="http://www.nevo.co.il/case/25195360" TargetMode="External"/><Relationship Id="rId27" Type="http://schemas.openxmlformats.org/officeDocument/2006/relationships/hyperlink" Target="http://www.nevo.co.il/case/5596268" TargetMode="External"/><Relationship Id="rId28" Type="http://schemas.openxmlformats.org/officeDocument/2006/relationships/hyperlink" Target="http://www.nevo.co.il/case/22546596" TargetMode="External"/><Relationship Id="rId29" Type="http://schemas.openxmlformats.org/officeDocument/2006/relationships/hyperlink" Target="http://www.nevo.co.il/case/5755601" TargetMode="External"/><Relationship Id="rId30" Type="http://schemas.openxmlformats.org/officeDocument/2006/relationships/hyperlink" Target="http://www.nevo.co.il/case/6215276" TargetMode="External"/><Relationship Id="rId31" Type="http://schemas.openxmlformats.org/officeDocument/2006/relationships/hyperlink" Target="http://www.nevo.co.il/case/5833181" TargetMode="External"/><Relationship Id="rId32" Type="http://schemas.openxmlformats.org/officeDocument/2006/relationships/hyperlink" Target="http://www.nevo.co.il/case/5788915" TargetMode="External"/><Relationship Id="rId33" Type="http://schemas.openxmlformats.org/officeDocument/2006/relationships/hyperlink" Target="http://www.nevo.co.il/safrut/book/1309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2020-10-01T08:18:00Z</dcterms:created>
  <dc:creator>h4</dc:creator>
  <dc:description/>
  <cp:keywords/>
  <dc:language>en-IL</dc:language>
  <cp:lastModifiedBy>orly</cp:lastModifiedBy>
  <cp:lastPrinted>2020-09-30T09:06:00Z</cp:lastPrinted>
  <dcterms:modified xsi:type="dcterms:W3CDTF">2020-10-01T08:18:00Z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1309</vt:lpwstr>
  </property>
  <property fmtid="{D5CDD505-2E9C-101B-9397-08002B2CF9AE}" pid="9" name="CASESLISTTMP1">
    <vt:lpwstr>23641637;26541508;25305739;24493087;25195360;5596268;22546596;5755601;6215276;5833181;5788915</vt:lpwstr>
  </property>
  <property fmtid="{D5CDD505-2E9C-101B-9397-08002B2CF9AE}" pid="10" name="CITY">
    <vt:lpwstr/>
  </property>
  <property fmtid="{D5CDD505-2E9C-101B-9397-08002B2CF9AE}" pid="11" name="DATE">
    <vt:lpwstr>20200930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הנדל;ע' ברון;י' אלרון</vt:lpwstr>
  </property>
  <property fmtid="{D5CDD505-2E9C-101B-9397-08002B2CF9AE}" pid="15" name="LAWLISTTMP1">
    <vt:lpwstr>70301/300.a.3;034.h</vt:lpwstr>
  </property>
  <property fmtid="{D5CDD505-2E9C-101B-9397-08002B2CF9AE}" pid="16" name="LAWLISTTMP2">
    <vt:lpwstr>70314/015.a;015.d1.1</vt:lpwstr>
  </property>
  <property fmtid="{D5CDD505-2E9C-101B-9397-08002B2CF9AE}" pid="17" name="LAWLISTTMP3">
    <vt:lpwstr>74903/153.a</vt:lpwstr>
  </property>
  <property fmtid="{D5CDD505-2E9C-101B-9397-08002B2CF9AE}" pid="18" name="LAWYER">
    <vt:lpwstr>לינור בן אוליאל;ירום הלוי;אורית הלוי;רותי אלדר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>דיון פלילי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18;18;18</vt:lpwstr>
  </property>
  <property fmtid="{D5CDD505-2E9C-101B-9397-08002B2CF9AE}" pid="40" name="NOSE21">
    <vt:lpwstr>הודאה</vt:lpwstr>
  </property>
  <property fmtid="{D5CDD505-2E9C-101B-9397-08002B2CF9AE}" pid="41" name="NOSE210">
    <vt:lpwstr/>
  </property>
  <property fmtid="{D5CDD505-2E9C-101B-9397-08002B2CF9AE}" pid="42" name="NOSE22">
    <vt:lpwstr>ייצוג</vt:lpwstr>
  </property>
  <property fmtid="{D5CDD505-2E9C-101B-9397-08002B2CF9AE}" pid="43" name="NOSE23">
    <vt:lpwstr>הודאה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456;480;456</vt:lpwstr>
  </property>
  <property fmtid="{D5CDD505-2E9C-101B-9397-08002B2CF9AE}" pid="51" name="NOSE31">
    <vt:lpwstr>חזרה מהודאה</vt:lpwstr>
  </property>
  <property fmtid="{D5CDD505-2E9C-101B-9397-08002B2CF9AE}" pid="52" name="NOSE310">
    <vt:lpwstr/>
  </property>
  <property fmtid="{D5CDD505-2E9C-101B-9397-08002B2CF9AE}" pid="53" name="NOSE32">
    <vt:lpwstr>כשל בייצוג</vt:lpwstr>
  </property>
  <property fmtid="{D5CDD505-2E9C-101B-9397-08002B2CF9AE}" pid="54" name="NOSE33">
    <vt:lpwstr>חופשית ומרצון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3598;11594;3597</vt:lpwstr>
  </property>
  <property fmtid="{D5CDD505-2E9C-101B-9397-08002B2CF9AE}" pid="62" name="PADIDATE">
    <vt:lpwstr>20201001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7931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410120200930</vt:lpwstr>
  </property>
  <property fmtid="{D5CDD505-2E9C-101B-9397-08002B2CF9AE}" pid="72" name="TYPE_N_DATE">
    <vt:lpwstr>41020200930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