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798/22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29.6.2023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23.12.2023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846"/>
        <w:gridCol w:w="28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תאריך הישיבה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84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 התשפ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ג 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24"/>
              </w:rPr>
              <w:t>26</w:t>
            </w:r>
            <w:r>
              <w:rPr>
                <w:rFonts w:cs="David" w:ascii="David" w:hAnsi="David"/>
                <w:sz w:val="24"/>
                <w:szCs w:val="24"/>
              </w:rPr>
              <w:t>.</w:t>
            </w:r>
            <w:r>
              <w:rPr>
                <w:rFonts w:cs="David" w:ascii="David" w:hAnsi="David"/>
                <w:sz w:val="24"/>
                <w:szCs w:val="24"/>
              </w:rPr>
              <w:t>6</w:t>
            </w:r>
            <w:r>
              <w:rPr>
                <w:rFonts w:cs="David" w:ascii="David" w:hAnsi="David"/>
                <w:sz w:val="24"/>
                <w:szCs w:val="24"/>
              </w:rPr>
              <w:t>.2023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28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cs="David" w:ascii="David" w:hAnsi="David"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לקר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אלברט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אבי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פרץ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ההוצאה לפועל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383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393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170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עורך דין במקצועו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הרשעתו בביצוע עבירות גניבה בידי מורשה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מרמה ומס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שליחת ידו בכספי נאמנות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מימוש נכסי חייבים בתפקידו ככונס נכסים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במקום להעבירם לתיק ההוצאה לפועל או לרשות המיסים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את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 xml:space="preserve">כל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>טענ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>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>שהעיקרית בהן 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 xml:space="preserve"> אי כשירות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 xml:space="preserve"> לעמוד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  <w:lang w:eastAsia="he-IL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ופסק כי אמנם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הושת עונש כבד של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מעל באמון אזרחים פרטיים וברשויות המדינה שנתנו בו מבטחם בעת ששימש ככונס נכסים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הפר את האמון הבסיסי בין עורך דין ללקוח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כל ההשלכות הכרוכות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אחריות פלילית – כשירות לעמוד לדין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שנעברו בידי עורך דין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העמדה לדין – נאשם שאינו מסוגל לעמוד לדין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העמדה לדין – תנאיה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העמדה לדין – אישור היועץ המשפטי לממשלה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העמדה לדין – חולה נפש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יחסי עורך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ולקוח – יחסי אמון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ייצוג – כשל בייצוג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עורך דין במקצוע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ייצג את רשות המיסים בתיקי הוצאה לפועל ומונה בתיקים רבים לשמש כבא כוח הזוכה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וככונס נכסים לשם גביית חובות של נישומים לרשות המיסים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תפקידו זה שלח המערער ידו בכספים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מיליון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שאותם קיבל לידיו הנאמנות בעקבות מימוש נכסי חייבים בתפקידו ככונס נכסים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במקום להעבירם לתיק ההוצאה לפועל או לרשות המיסים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הרשיע את המערער בריבוי עבירות של גניבה בידי מורשה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מרמה ומס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והשית עליו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>אשר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>טענ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>ת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eastAsia="he-IL"/>
        </w:rPr>
        <w:t xml:space="preserve"> לאי כשירות לעמוד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הכרה באי כשירות נאשם לעמוד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נדרשים שני תנאים מצטברים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האחד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הנאשם אינו מסוגל לעמוד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השני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חוסר המסוגלות נובע מהיותו חולה נפש או מוגבל שכלית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 מסוגלות לעמוד לדין משמעו חוסר יכולת לעקוב באופן מושכל אחר ההליך הפלילי וליטול בו חלק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רחוק עד מאוד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eastAsia="Calibri"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>ההכרעה בדבר כשירות הנאשם לעמוד לדין מסורה לבי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eastAsia="Calibri"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eastAsia="Calibri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משקל נכבד במיוחד להתרשמות הערכאה הדיונית מיכולתו של הנאשם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לתקשר עם עורך דינו באופן בסיסי ולהבין את ההליך המשפטי אשר מתנהל נגדו במובן זה שהוא מודע להימצאותו באולם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ומזהה את בעלי התפקידים השונים ואת האישומים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התנאי של אי כשירות מתקיים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סובל ממחלת 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שהפרעה דלוזיונאלית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כמו סכיזופרניה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פוגמת בשיפוט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כשיר 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מתמקד בתנאי של המסוגלות לעמוד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התביעה וההגנה הסכימו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כשיר לעמוד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עצמו הביע דעה נחרצת כי הוא כשיר לעמוד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פאנל מומחים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 מקום להתערב בקביעותיו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כי המערער כשיר לעמוד לדין וכי על אף המחלה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מסוגל להבין הליכי משפט ולנהל 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עורך דין במקצועו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הבין את מהות 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הרבה יותר מהרף הבסיסי הנדרש לצורך כשירות לדין על פי ההלכה הפסוקה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הנטל להוכחת טענת אי כשירות דיונית הוא על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הרים נטל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לפי דעת הרוב בעניין בקשי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ניתן להסתפק בקיומו של ספק סביר בדבר העדר כשירותו של הנאשם לעמוד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הטענה לאי כשירות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נשמטת גם הטענה לכל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כי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קיבל את כל הסיוע האפשרי ממייצגיו ויועציו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המאשימה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מצווה לסייע לנאשם בלתי מיוצג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הוא עורך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בהכשרתו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הלכה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לא ישעה לטענת כשל בייצוג ללא התייחסות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סניגור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וכי טענה לכשל בייצוג תתקבל במקרים חריגים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קיומו של עיוות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הטענה בדבר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 אישור מטעם היועץ המשפטי לממשלה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 האישום הוגש כדין ולפי אישור הגורם המוסמך לו האציל היועץ המשפטי את סמכותו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הטענה בדבר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בזכות השימוע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עובר להגשת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נשלח למערער כתב החשדות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התעלם 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ולכן לא התקיים שימוע לפני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השתלשלות 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 פגם כלשהו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בשימוע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גם אם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בשלב זה לדון בטענה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שההליך מוצה עד תום משך שבע שנים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שהמערער מערים קשיים בהתנהלותו על בירור התיק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טענות המערער בדבר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קנוניה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חשיפת שחיתויות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לרדיפה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קונספירציה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תפירת תיקים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חסרות תשתית עובדתית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טענת המערער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בסכסוך אזרחי בינו לבין רשויות המס שלא היה אמור כלל להתגבש לכתב 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שטרם הגיע המועד לכך על פי ההסכם בו התקשרו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שמדובר בשכר טרחה 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מקדמה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חשבון שכר טרחה המגיע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 בהיותה מנוגדת לראיות הנוגעות להסכמים שנעשו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הושת עונש כבד של תשע 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המערער חטא לתפקידו כנאמן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 באמון אזרחים פרטיים וברשויות המדינה שנתנו בו מבטחם בעת ששימש ככונס נכסים ובכך הפר את האמון הבסיסי בין עורך דין ללקוח על כל ההשלכות הכרוכות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עורך דין במקצועו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ומונה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הזוכה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וככונס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ההוצאה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לפועל</w:t>
        </w:r>
      </w:hyperlink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1967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כונס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.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/>
        <w:t>3-2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עזבון</w:t>
      </w:r>
      <w:r>
        <w:rPr>
          <w:rtl w:val="true"/>
        </w:rPr>
        <w:t xml:space="preserve">.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שטיפל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</w:t>
      </w:r>
      <w:r>
        <w:rPr>
          <w:rtl w:val="true"/>
        </w:rPr>
        <w:t xml:space="preserve">.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/>
        <w:t>4-1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ומפורט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ריבוי עבירות של גניבה בידי מורשה לפי </w:t>
      </w:r>
      <w:hyperlink r:id="rId15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393</w:t>
        </w:r>
      </w:hyperlink>
      <w:r>
        <w:rPr>
          <w:rFonts w:cs="Century" w:ascii="Century" w:hAnsi="Century"/>
          <w:rtl w:val="true"/>
        </w:rPr>
        <w:t xml:space="preserve"> + </w:t>
      </w:r>
      <w:hyperlink r:id="rId16">
        <w:r>
          <w:rPr>
            <w:rStyle w:val="Hyperlink"/>
            <w:rFonts w:cs="Century" w:ascii="Century" w:hAnsi="Century"/>
          </w:rPr>
          <w:t>383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>);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 של השמטה מתוך 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על פי הפקודה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ל הכנסה שיש לכללה 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לפי </w:t>
      </w:r>
      <w:hyperlink r:id="rId1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220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הכנסה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וריבוי עבירות של מרמה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ערמה או תחבולה לפי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220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לפקודה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המערער נגזרו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שלא יעבור בתוך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עבירות בהן הורשע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יצוי </w:t>
      </w:r>
      <w:r>
        <w:rPr>
          <w:rFonts w:ascii="Century" w:hAnsi="Century" w:cs="Century"/>
          <w:rtl w:val="true"/>
        </w:rPr>
        <w:t xml:space="preserve">כספי לקרבנות העבירה מושא אישומים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בסכומים של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106,083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קנס בסך </w:t>
      </w:r>
      <w:r>
        <w:rPr>
          <w:rFonts w:cs="Century" w:ascii="Century" w:hAnsi="Century"/>
        </w:rPr>
        <w:t>300,000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תמורתו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לרדיפה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שחיתויות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השלמה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" w:cs="Arial TUR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שחיתות שלטונית אותה </w:t>
      </w:r>
      <w:r>
        <w:rPr>
          <w:rFonts w:ascii="Calibri" w:hAnsi="Calibri" w:cs="Calibri"/>
          <w:rtl w:val="true"/>
        </w:rPr>
        <w:t>כביכול חשף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בשל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מאפיה שלטונית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ורשות המסים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תפרו לו תיק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וכיוצא בזאת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הדברים תוארו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 דינו של בית משפט קמא</w:t>
      </w:r>
      <w:r>
        <w:rPr>
          <w:rFonts w:cs="Calibri" w:ascii="Calibri" w:hAnsi="Calibri"/>
          <w:rtl w:val="true"/>
        </w:rPr>
        <w:t>: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מאפיה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, </w:t>
      </w:r>
      <w:r>
        <w:rPr>
          <w:rtl w:val="true"/>
        </w:rPr>
        <w:t>עוזרים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ומזייפים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פרוטוקולים</w:t>
      </w:r>
      <w:r>
        <w:rPr>
          <w:rtl w:val="true"/>
        </w:rPr>
        <w:t xml:space="preserve">, </w:t>
      </w:r>
      <w:r>
        <w:rPr>
          <w:rtl w:val="true"/>
        </w:rPr>
        <w:t>תובעים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תופרים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המאפיה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פיסיות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מהמחשבים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ובמשרדו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  <w:sz w:val="12"/>
          <w:szCs w:val="18"/>
        </w:rPr>
      </w:pPr>
      <w:r>
        <w:rPr>
          <w:rFonts w:cs="Calibri" w:ascii="Calibri" w:hAnsi="Calibri"/>
          <w:sz w:val="12"/>
          <w:szCs w:val="1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אקדים ואומר כי המערער יוצג לאורך שלבי הדיון והערעור על ידי תשעה עורכי דין 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שאותם החליף מעת לעת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 שהקשה עוד יותר על מלאכתו של בית 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הערעור 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נסב אך ורק על הכרעת הדין ולא על גזר 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 שנראה 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הערעור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alibri" w:hAnsi="Calibri" w:cs="Calibri"/>
          <w:rtl w:val="true"/>
        </w:rPr>
        <w:t xml:space="preserve"> נסב על ממצאי בית משפט קמא לגוף האישומים בהם הורשע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והוא נסב בעיקרו על נושאים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חיצוניים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לכתב האישום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כשירותו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</w:p>
    <w:p>
      <w:pPr>
        <w:pStyle w:val="Ruller41"/>
        <w:ind w:end="0"/>
        <w:jc w:val="both"/>
        <w:rPr>
          <w:rFonts w:ascii="Calibri" w:hAnsi="Calibri" w:cs="Calibri"/>
          <w:b/>
          <w:spacing w:val="0"/>
          <w:szCs w:val="24"/>
        </w:rPr>
      </w:pPr>
      <w:r>
        <w:rPr>
          <w:rFonts w:cs="Calibri" w:ascii="Calibri" w:hAnsi="Calibri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טיעוניהם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והבעייתי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". </w:t>
      </w:r>
      <w:r>
        <w:rPr>
          <w:rtl w:val="true"/>
        </w:rPr>
        <w:t>בעיקרי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חלק נכבד מפסק דינו של בית משפט קמא הוקדש לנושא כשירותו של המערער לעמוד לדין ולא בכדי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אפרט להלן את השתלשלות העניינים בנושא 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עם הגשת כתב האישום יוצג המערער על ידי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ד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 גיל עשת מטעם הסניגוריה הציבורית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יוצג על ידי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אילן שדי</w:t>
      </w:r>
      <w:r>
        <w:rPr>
          <w:rFonts w:ascii="Calibri" w:hAnsi="Calibri" w:cs="Calibri"/>
          <w:rtl w:val="true"/>
        </w:rPr>
        <w:t xml:space="preserve"> ולאחר מכן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יוספה טפיירו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ביני לביני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הגיש המערער בעצמו עתירה לבג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ץ </w:t>
      </w:r>
      <w:r>
        <w:rPr>
          <w:rFonts w:cs="Century" w:ascii="Century" w:hAnsi="Century"/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7836/14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מיסוי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וכלכלה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1.12.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שבגדרו עתר לביטול 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העתירה נדחתה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ונראה כי בעקבות הטענות שהועלו במסגרתה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ב</w:t>
      </w:r>
      <w:r>
        <w:rPr>
          <w:rFonts w:ascii="Calibri" w:hAnsi="Calibri" w:cs="Calibri"/>
          <w:rtl w:val="true"/>
        </w:rPr>
        <w:t xml:space="preserve">א כוח המדינה </w:t>
      </w:r>
      <w:r>
        <w:rPr>
          <w:rFonts w:ascii="Calibri" w:hAnsi="Calibri" w:cs="Calibri"/>
          <w:rtl w:val="true"/>
        </w:rPr>
        <w:t>לשלוח את ה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ascii="Calibri" w:hAnsi="Calibri" w:cs="Calibri"/>
          <w:rtl w:val="true"/>
        </w:rPr>
        <w:t>לבדיקה פסיכיאטרית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באת כוחו של המערער התנגדה לכך בתוקף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וטענה בשמו של המערער כי </w:t>
      </w:r>
      <w:r>
        <w:rPr>
          <w:rFonts w:ascii="Calibri" w:hAnsi="Calibri" w:cs="Calibri"/>
          <w:rtl w:val="true"/>
        </w:rPr>
        <w:t>הוא מעולם לא היה מטופל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התקשורת בינה לבי</w:t>
      </w:r>
      <w:r>
        <w:rPr>
          <w:rFonts w:ascii="Calibri" w:hAnsi="Calibri" w:cs="Calibri"/>
          <w:rtl w:val="true"/>
        </w:rPr>
        <w:t xml:space="preserve">נו </w:t>
      </w:r>
      <w:r>
        <w:rPr>
          <w:rFonts w:ascii="Calibri" w:hAnsi="Calibri" w:cs="Calibri"/>
          <w:rtl w:val="true"/>
        </w:rPr>
        <w:t>תקינה ועניינית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ascii="Calibri" w:hAnsi="Calibri" w:cs="Calibri"/>
          <w:rtl w:val="true"/>
        </w:rPr>
        <w:t>משתף פעולה עם ההגנה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ככל שמדובר בעניינים שאינם קשורים לפרשה הוא קוהרנטי לגמרי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</w:t>
      </w:r>
      <w:r>
        <w:rPr>
          <w:rFonts w:ascii="Calibri" w:hAnsi="Calibri" w:cs="Calibri"/>
          <w:rtl w:val="true"/>
        </w:rPr>
        <w:t>בכל הקשור לנושאים הנוגעים לפרשה יש בעיה בבוחן המציאות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הצדדים קיבלו הצעת בית המשפט כי המערער </w:t>
      </w:r>
      <w:r>
        <w:rPr>
          <w:rFonts w:ascii="Calibri" w:hAnsi="Calibri" w:cs="Calibri"/>
          <w:rtl w:val="true"/>
        </w:rPr>
        <w:t>ייבדק 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 פסיכיאטר מטעמו וממצאי הבדיקה יועברו לעיני 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 בלבד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 שהדברים יימסרו לתביעה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באת כוחו דאז של המערער הודיעה כי המערער </w:t>
      </w:r>
      <w:r>
        <w:rPr>
          <w:rFonts w:ascii="Calibri" w:hAnsi="Calibri" w:cs="Calibri"/>
          <w:rtl w:val="true"/>
        </w:rPr>
        <w:t>אינו משתף עמה פעולה בנושא</w:t>
      </w:r>
      <w:r>
        <w:rPr>
          <w:rFonts w:ascii="Calibri" w:hAnsi="Calibri" w:cs="Calibri"/>
          <w:rtl w:val="true"/>
        </w:rPr>
        <w:t xml:space="preserve"> והודיעה על התפטרותה מהתיק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>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1.11.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הודיע </w:t>
      </w:r>
      <w:r>
        <w:rPr>
          <w:rFonts w:ascii="Calibri" w:hAnsi="Calibri" w:cs="Calibri"/>
          <w:rtl w:val="true"/>
        </w:rPr>
        <w:t>בא כוח</w:t>
      </w:r>
      <w:r>
        <w:rPr>
          <w:rFonts w:ascii="Calibri" w:hAnsi="Calibri" w:cs="Calibri"/>
          <w:rtl w:val="true"/>
        </w:rPr>
        <w:t xml:space="preserve"> המאשימה כי </w:t>
      </w:r>
      <w:r>
        <w:rPr>
          <w:rFonts w:ascii="Calibri" w:hAnsi="Calibri" w:cs="Calibri"/>
          <w:rtl w:val="true"/>
        </w:rPr>
        <w:t xml:space="preserve">המערער כשיר לדעת המאשימה </w:t>
      </w:r>
      <w:r>
        <w:rPr>
          <w:rFonts w:ascii="Calibri" w:hAnsi="Calibri" w:cs="Calibri"/>
          <w:rtl w:val="true"/>
        </w:rPr>
        <w:t>לעמוד לדין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וכי המאשימה </w:t>
      </w:r>
      <w:r>
        <w:rPr>
          <w:rFonts w:ascii="Calibri" w:hAnsi="Calibri" w:cs="Calibri"/>
          <w:rtl w:val="true"/>
        </w:rPr>
        <w:t>חוזרת בה מהבקשה לשלוח א</w:t>
      </w:r>
      <w:r>
        <w:rPr>
          <w:rFonts w:ascii="Calibri" w:hAnsi="Calibri" w:cs="Calibri"/>
          <w:rtl w:val="true"/>
        </w:rPr>
        <w:t xml:space="preserve">ותו </w:t>
      </w:r>
      <w:r>
        <w:rPr>
          <w:rFonts w:ascii="Calibri" w:hAnsi="Calibri" w:cs="Calibri"/>
          <w:rtl w:val="true"/>
        </w:rPr>
        <w:t>לבדיקה פסיכיאטרית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בית המשפט הורה למנות למערער </w:t>
      </w:r>
      <w:r>
        <w:rPr>
          <w:rFonts w:ascii="Calibri" w:hAnsi="Calibri" w:cs="Calibri"/>
          <w:rtl w:val="true"/>
        </w:rPr>
        <w:t>סניגור מהסניגוריה הציבורית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תחילה הופיע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עדי ברקאי</w:t>
      </w:r>
      <w:r>
        <w:rPr>
          <w:rFonts w:ascii="Calibri" w:hAnsi="Calibri" w:cs="Calibri"/>
          <w:rtl w:val="true"/>
        </w:rPr>
        <w:t xml:space="preserve"> שביקש תוך זמן קצר להשתחרר מהייצוג בשל חילוקי דעות בינו לבין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בהמשך </w:t>
      </w:r>
      <w:r>
        <w:rPr>
          <w:rFonts w:ascii="Calibri" w:hAnsi="Calibri" w:cs="Calibri"/>
          <w:rtl w:val="true"/>
        </w:rPr>
        <w:t>התייצב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יוסי חמצני מטעם הסניגוריה הציבורית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ואף הוא השתחרר </w:t>
      </w:r>
      <w:r>
        <w:rPr>
          <w:rFonts w:ascii="Calibri" w:hAnsi="Calibri" w:cs="Calibri"/>
          <w:rtl w:val="true"/>
        </w:rPr>
        <w:t xml:space="preserve">מהייצוג על רקע חילוקי דעות עם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וחוסר שיתוף פעולה מצדו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התרשם כי אין טעם </w:t>
      </w:r>
      <w:r>
        <w:rPr>
          <w:rFonts w:ascii="Calibri" w:hAnsi="Calibri" w:cs="Calibri"/>
          <w:rtl w:val="true"/>
        </w:rPr>
        <w:t xml:space="preserve">במינוי סניגור ציבורי </w:t>
      </w:r>
      <w:r>
        <w:rPr>
          <w:rFonts w:ascii="Calibri" w:hAnsi="Calibri" w:cs="Calibri"/>
          <w:rtl w:val="true"/>
        </w:rPr>
        <w:t xml:space="preserve">נוסף על </w:t>
      </w:r>
      <w:r>
        <w:rPr>
          <w:rFonts w:ascii="Calibri" w:hAnsi="Calibri" w:cs="Calibri"/>
          <w:rtl w:val="true"/>
        </w:rPr>
        <w:t>רקע התנהלות ה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הוכיח כי אינו מעוניין בייצוג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שמ</w:t>
      </w:r>
      <w:r>
        <w:rPr>
          <w:rFonts w:ascii="Calibri" w:hAnsi="Calibri" w:cs="Calibri"/>
          <w:rtl w:val="true"/>
        </w:rPr>
        <w:t xml:space="preserve">יעת הראיות החלה ביום </w:t>
      </w:r>
      <w:r>
        <w:rPr>
          <w:rFonts w:cs="Calibri" w:ascii="Calibri" w:hAnsi="Calibri"/>
        </w:rPr>
        <w:t>7.3.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 שהמערער מייצג את 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משפט קמא ציין בהכרעת הדין כי עשה ככל שניתן כדי </w:t>
      </w:r>
      <w:r>
        <w:rPr>
          <w:rFonts w:ascii="Calibri" w:hAnsi="Calibri" w:cs="Calibri"/>
          <w:rtl w:val="true"/>
        </w:rPr>
        <w:t>למקד א</w:t>
      </w:r>
      <w:r>
        <w:rPr>
          <w:rFonts w:ascii="Calibri" w:hAnsi="Calibri" w:cs="Calibri"/>
          <w:rtl w:val="true"/>
        </w:rPr>
        <w:t>ת המערער בהגנתו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תכנים בעלי גוון של רדיפה המשיכו לעלות מצדו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העלאת טענות עובדתיות ומשפטיות ממוקדות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הגשת בקשות משפטיות מפורטות לתיק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וחקירות נגדיות ממושכות של עדי התביעה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ציין כי המערער התנגד באופן נחרץ </w:t>
      </w:r>
      <w:r>
        <w:rPr>
          <w:rFonts w:ascii="Calibri" w:hAnsi="Calibri" w:cs="Calibri"/>
          <w:rtl w:val="true"/>
        </w:rPr>
        <w:t>לעבור בדיקה פסיכיאטרית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ומאחר שהתרש</w:t>
      </w:r>
      <w:r>
        <w:rPr>
          <w:rFonts w:ascii="Calibri" w:hAnsi="Calibri" w:cs="Calibri"/>
          <w:rtl w:val="true"/>
        </w:rPr>
        <w:t xml:space="preserve">ם כי המערער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כשיר לעמוד לדין חרף התכנים הרדיפתיים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 להמשיך באופן האמור את ניהול ההליך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 הנאשם מייצג את עצמו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 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שהמערער סיים עדות ראשית במסגרת פרשת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 קודם לחקירתו הנגדית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דחה בית משפט קמא בקשת פסלות שהוגשה על ידי המערער תוך התייחסות למצבו הנפשי</w:t>
      </w:r>
      <w:r>
        <w:rPr>
          <w:rFonts w:cs="Calibri" w:ascii="Calibri" w:hAnsi="Calibri"/>
          <w:rtl w:val="true"/>
        </w:rPr>
        <w:t>: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נוכח התנגדות הנאשם ועל בסיס התרשמותי שלי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לא ראיתי לנכון לכפות הליכי בדיקה פסיכיאטרית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לצורך בחינת כשירותו לעמוד לדין</w:t>
      </w:r>
      <w:r>
        <w:rPr>
          <w:rFonts w:cs="Century" w:ascii="Century" w:hAnsi="Century"/>
          <w:rtl w:val="true"/>
          <w:lang w:eastAsia="he-IL"/>
        </w:rPr>
        <w:t xml:space="preserve">) </w:t>
      </w:r>
      <w:r>
        <w:rPr>
          <w:rFonts w:ascii="Century" w:hAnsi="Century" w:cs="Century"/>
          <w:rtl w:val="true"/>
          <w:lang w:eastAsia="he-IL"/>
        </w:rPr>
        <w:t>על הנאשם עד ליום זה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יחד עם זאת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כשאני מדגישה שוב שהנאשם אינו מיוצג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קיימת ערנות מצידי למצבו הנפשי של הנאשם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בישיבת יום </w:t>
      </w:r>
      <w:r>
        <w:rPr>
          <w:rFonts w:cs="Century" w:ascii="Century" w:hAnsi="Century"/>
          <w:lang w:eastAsia="he-IL"/>
        </w:rPr>
        <w:t>19.9.17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 xml:space="preserve">הנאשם התפרץ והיה נתון בסערת רגשות ניכרת לעין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כפי שהדבר משתקף בפרוטוקול שצוטט על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ascii="Century" w:hAnsi="Century" w:cs="Century"/>
          <w:rtl w:val="true"/>
          <w:lang w:eastAsia="he-IL"/>
        </w:rPr>
        <w:t>ידי ב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כ המאשימה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 xml:space="preserve">דבריי אליו לא היו כלל במסגרת איום או </w:t>
      </w:r>
      <w:r>
        <w:rPr>
          <w:rFonts w:cs="Century" w:ascii="Century" w:hAnsi="Century"/>
          <w:rtl w:val="true"/>
          <w:lang w:eastAsia="he-IL"/>
        </w:rPr>
        <w:t>'</w:t>
      </w:r>
      <w:r>
        <w:rPr>
          <w:rFonts w:ascii="Century" w:hAnsi="Century" w:cs="Century"/>
          <w:rtl w:val="true"/>
          <w:lang w:eastAsia="he-IL"/>
        </w:rPr>
        <w:t>שיימינג</w:t>
      </w:r>
      <w:r>
        <w:rPr>
          <w:rFonts w:cs="Century" w:ascii="Century" w:hAnsi="Century"/>
          <w:rtl w:val="true"/>
          <w:lang w:eastAsia="he-IL"/>
        </w:rPr>
        <w:t xml:space="preserve">', </w:t>
      </w:r>
      <w:r>
        <w:rPr>
          <w:rFonts w:ascii="Century" w:hAnsi="Century" w:cs="Century"/>
          <w:rtl w:val="true"/>
          <w:lang w:eastAsia="he-IL"/>
        </w:rPr>
        <w:t>אלא ציון עובדה כי ייתכן והתנהגות זו תחייב אותי לשקול שוב כפיית בדיקה פסיכיאטרית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למיטב זכרוני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איש לא נכח באולם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ובכל מקרה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לא היו באמירות המצוטטות כדי לפגוע בנאשם – אלא ההפך הוא הנכון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חרף ההתפרצות והתנהלות הנאשם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נותרתי בדעתי שלא לכפות עליו הליכי בדיקה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אך בוודאי שראוי היה לתעד את הדברים לפרוטוקול המוקלט</w:t>
      </w:r>
      <w:r>
        <w:rPr>
          <w:rFonts w:cs="Century" w:ascii="Century" w:hAnsi="Century"/>
          <w:rtl w:val="true"/>
          <w:lang w:eastAsia="he-IL"/>
        </w:rPr>
        <w:t>."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Calibri" w:hAnsi="Calibri" w:cs="Calibri"/>
          <w:sz w:val="26"/>
          <w:szCs w:val="30"/>
          <w:lang w:eastAsia="he-IL"/>
        </w:rPr>
      </w:pPr>
      <w:r>
        <w:rPr>
          <w:rFonts w:cs="Calibri" w:ascii="Calibri" w:hAnsi="Calibri"/>
          <w:sz w:val="26"/>
          <w:szCs w:val="30"/>
          <w:rtl w:val="true"/>
          <w:lang w:eastAsia="he-IL"/>
        </w:rPr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המערער הגיש ערעור על דחיית בקשת הפסלות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הערעור נדחה על ידי </w:t>
      </w:r>
      <w:r>
        <w:rPr>
          <w:rFonts w:ascii="Calibri" w:hAnsi="Calibri" w:cs="Calibri"/>
          <w:rtl w:val="true"/>
        </w:rPr>
        <w:t>הנשיאה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שאף היא התייחסה בהחלטתה </w:t>
      </w:r>
      <w:r>
        <w:rPr>
          <w:rFonts w:ascii="Calibri" w:hAnsi="Calibri" w:cs="Calibri"/>
          <w:rtl w:val="true"/>
        </w:rPr>
        <w:t>למצבו הנפשי של ה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והעירה כי על אף שבית משפט קמא ער למצבו הנפשי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מוטב לחזור ולבחון שוב את האפשרות לשלוח אותו לאבחון פסיכיאטרי </w:t>
      </w:r>
      <w:r>
        <w:rPr>
          <w:rFonts w:cs="David" w:ascii="David" w:hAnsi="David"/>
          <w:rtl w:val="true"/>
          <w:lang w:eastAsia="he-IL"/>
        </w:rPr>
        <w:t>(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lang w:eastAsia="he-IL"/>
          </w:rPr>
          <w:t>8544/17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David" w:ascii="David" w:hAnsi="David"/>
          <w:lang w:eastAsia="he-IL"/>
        </w:rPr>
        <w:t>7.11.2017</w:t>
      </w:r>
      <w:r>
        <w:rPr>
          <w:rFonts w:cs="David" w:ascii="David" w:hAnsi="David"/>
          <w:rtl w:val="true"/>
          <w:lang w:eastAsia="he-IL"/>
        </w:rPr>
        <w:t xml:space="preserve">)). </w:t>
      </w:r>
      <w:r>
        <w:rPr>
          <w:rFonts w:ascii="David" w:hAnsi="David" w:cs="David"/>
          <w:rtl w:val="true"/>
          <w:lang w:eastAsia="he-IL"/>
        </w:rPr>
        <w:t>בהמשך לכך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הורה בית משפט קמא בהחלטתו מ</w:t>
      </w:r>
      <w:r>
        <w:rPr>
          <w:rFonts w:ascii="David" w:hAnsi="David" w:cs="David"/>
          <w:rtl w:val="true"/>
          <w:lang w:eastAsia="he-IL"/>
        </w:rPr>
        <w:t xml:space="preserve">יום </w:t>
      </w:r>
      <w:r>
        <w:rPr>
          <w:rFonts w:cs="David" w:ascii="David" w:hAnsi="David"/>
          <w:lang w:eastAsia="he-IL"/>
        </w:rPr>
        <w:t>16.11.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lang w:eastAsia="he-IL"/>
        </w:rPr>
        <w:t>17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כי יש לשלוח את המערער</w:t>
      </w:r>
      <w:r>
        <w:rPr>
          <w:rFonts w:ascii="David" w:hAnsi="David" w:cs="David"/>
          <w:rtl w:val="true"/>
          <w:lang w:eastAsia="he-IL"/>
        </w:rPr>
        <w:t xml:space="preserve"> לבדיקה פסיכיאטרית לפי </w:t>
      </w:r>
      <w:hyperlink r:id="rId23">
        <w:r>
          <w:rPr>
            <w:rStyle w:val="Hyperlink"/>
            <w:rFonts w:ascii="Century" w:hAnsi="Century" w:cs="Century"/>
            <w:rtl w:val="true"/>
            <w:lang w:eastAsia="he-IL"/>
          </w:rPr>
          <w:t>סעיף</w:t>
        </w:r>
        <w:r>
          <w:rPr>
            <w:rStyle w:val="Hyperlink"/>
            <w:rFonts w:ascii="Century" w:hAnsi="Century" w:cs="Century"/>
            <w:rtl w:val="true"/>
            <w:lang w:eastAsia="he-IL"/>
          </w:rPr>
          <w:t xml:space="preserve"> </w:t>
        </w:r>
        <w:r>
          <w:rPr>
            <w:rStyle w:val="Hyperlink"/>
            <w:rFonts w:cs="Century" w:ascii="Century" w:hAnsi="Century"/>
            <w:lang w:eastAsia="he-IL"/>
          </w:rPr>
          <w:t>15</w:t>
        </w:r>
        <w:r>
          <w:rPr>
            <w:rStyle w:val="Hyperlink"/>
            <w:rFonts w:cs="Century" w:ascii="Century" w:hAnsi="Century"/>
            <w:rtl w:val="true"/>
            <w:lang w:eastAsia="he-IL"/>
          </w:rPr>
          <w:t>(</w:t>
        </w:r>
        <w:r>
          <w:rPr>
            <w:rStyle w:val="Hyperlink"/>
            <w:rFonts w:ascii="Century" w:hAnsi="Century" w:cs="Century"/>
            <w:rtl w:val="true"/>
            <w:lang w:eastAsia="he-IL"/>
          </w:rPr>
          <w:t>ג</w:t>
        </w:r>
        <w:r>
          <w:rPr>
            <w:rStyle w:val="Hyperlink"/>
            <w:rFonts w:cs="Century" w:ascii="Century" w:hAnsi="Century"/>
            <w:rtl w:val="true"/>
            <w:lang w:eastAsia="he-IL"/>
          </w:rPr>
          <w:t>)</w:t>
        </w:r>
      </w:hyperlink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ל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בחולי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נפש</w:t>
        </w:r>
      </w:hyperlink>
      <w:r>
        <w:rPr>
          <w:rFonts w:cs="Century" w:ascii="Century" w:hAnsi="Century"/>
          <w:rtl w:val="true"/>
          <w:lang w:eastAsia="he-IL"/>
        </w:rPr>
        <w:t>,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ה</w:t>
      </w:r>
      <w:r>
        <w:rPr>
          <w:rFonts w:ascii="David" w:hAnsi="David" w:cs="David"/>
          <w:rtl w:val="true"/>
          <w:lang w:eastAsia="he-IL"/>
        </w:rPr>
        <w:t>תשנ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א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lang w:eastAsia="he-IL"/>
        </w:rPr>
        <w:t>1991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lang w:eastAsia="he-IL"/>
        </w:rPr>
        <w:t>9</w:t>
      </w:r>
      <w:r>
        <w:rPr>
          <w:rFonts w:cs="David" w:ascii="David" w:hAnsi="David"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ab/>
      </w:r>
      <w:r>
        <w:rPr>
          <w:rFonts w:ascii="David" w:hAnsi="David" w:cs="David"/>
          <w:rtl w:val="true"/>
          <w:lang w:eastAsia="he-IL"/>
        </w:rPr>
        <w:t xml:space="preserve">ביום </w:t>
      </w:r>
      <w:r>
        <w:rPr>
          <w:rFonts w:cs="David" w:ascii="David" w:hAnsi="David"/>
          <w:lang w:eastAsia="he-IL"/>
        </w:rPr>
        <w:t>11.12.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lang w:eastAsia="he-IL"/>
        </w:rPr>
        <w:t>17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הוגשה</w:t>
      </w:r>
      <w:r>
        <w:rPr>
          <w:rFonts w:ascii="David" w:hAnsi="David" w:cs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 xml:space="preserve">חוות דעת </w:t>
      </w:r>
      <w:r>
        <w:rPr>
          <w:rFonts w:ascii="David" w:hAnsi="David" w:cs="David"/>
          <w:rtl w:val="true"/>
          <w:lang w:eastAsia="he-IL"/>
        </w:rPr>
        <w:t>שנערכה על</w:t>
      </w:r>
      <w:r>
        <w:rPr>
          <w:rFonts w:ascii="David" w:hAnsi="David" w:cs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ידי ד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ר אלטמרק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מנהל היחידה לפסיכיאטריה משפטית במרכז הרפואי לבריאות הנפש לב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 w:cs="David"/>
          <w:rtl w:val="true"/>
          <w:lang w:eastAsia="he-IL"/>
        </w:rPr>
        <w:t>השרון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 xml:space="preserve">יחד עם </w:t>
      </w:r>
      <w:r>
        <w:rPr>
          <w:rFonts w:ascii="David" w:hAnsi="David" w:cs="David"/>
          <w:rtl w:val="true"/>
          <w:lang w:eastAsia="he-IL"/>
        </w:rPr>
        <w:t>ד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ר שייט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פסיכולוגית קלינית מומחית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ובה נקבע כלהלן</w:t>
      </w:r>
      <w:r>
        <w:rPr>
          <w:rFonts w:cs="David" w:ascii="David" w:hAnsi="David"/>
          <w:rtl w:val="true"/>
          <w:lang w:eastAsia="he-IL"/>
        </w:rPr>
        <w:t>: "</w:t>
      </w:r>
      <w:r>
        <w:rPr>
          <w:rFonts w:ascii="Century" w:hAnsi="Century" w:cs="Century"/>
          <w:rtl w:val="true"/>
          <w:lang w:eastAsia="he-IL"/>
        </w:rPr>
        <w:t>א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ה</w:t>
      </w:r>
      <w:r>
        <w:rPr>
          <w:rFonts w:ascii="Century" w:hAnsi="Century" w:cs="Century"/>
          <w:rtl w:val="true"/>
          <w:lang w:eastAsia="he-IL"/>
        </w:rPr>
        <w:t xml:space="preserve">מערער </w:t>
      </w:r>
      <w:r>
        <w:rPr>
          <w:rFonts w:ascii="Century" w:hAnsi="Century" w:cs="Century"/>
          <w:rtl w:val="true"/>
          <w:lang w:eastAsia="he-IL"/>
        </w:rPr>
        <w:t>סובל ממחלת נפש במובן המשפטי</w:t>
      </w:r>
      <w:r>
        <w:rPr>
          <w:rFonts w:cs="Century" w:ascii="Century" w:hAnsi="Century"/>
          <w:rtl w:val="true"/>
          <w:lang w:eastAsia="he-IL"/>
        </w:rPr>
        <w:t xml:space="preserve">; </w:t>
      </w:r>
      <w:r>
        <w:rPr>
          <w:rFonts w:ascii="Century" w:hAnsi="Century" w:cs="Century"/>
          <w:rtl w:val="true"/>
          <w:lang w:eastAsia="he-IL"/>
        </w:rPr>
        <w:t xml:space="preserve">המערער </w:t>
      </w:r>
      <w:r>
        <w:rPr>
          <w:rFonts w:ascii="Century" w:hAnsi="Century" w:cs="Century"/>
          <w:rtl w:val="true"/>
          <w:lang w:eastAsia="he-IL"/>
        </w:rPr>
        <w:t>מצוי כעת במצב פסיכוטי דלוזיונאלי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שיפוטו פגום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הוא אינו מסוגל לעקוב באופן מושכל</w:t>
      </w:r>
      <w:r>
        <w:rPr>
          <w:rFonts w:ascii="David" w:hAnsi="David" w:cs="David"/>
          <w:rtl w:val="true"/>
          <w:lang w:eastAsia="he-IL"/>
        </w:rPr>
        <w:t xml:space="preserve"> אחר הליכי המשפט המתנהלים נגדו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תפיסתו ביחס לנושאי התפקידים באולם בית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 w:cs="David"/>
          <w:rtl w:val="true"/>
          <w:lang w:eastAsia="he-IL"/>
        </w:rPr>
        <w:t>המשפט מושפעת על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 w:cs="David"/>
          <w:rtl w:val="true"/>
          <w:lang w:eastAsia="he-IL"/>
        </w:rPr>
        <w:t>ידי מחשבת השווא המאפיינת אותו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 xml:space="preserve">ועל כן הוא </w:t>
      </w:r>
      <w:r>
        <w:rPr>
          <w:rFonts w:ascii="Century" w:hAnsi="Century" w:cs="Century"/>
          <w:rtl w:val="true"/>
          <w:lang w:eastAsia="he-IL"/>
        </w:rPr>
        <w:t>אינו מסוגל לעמוד לדין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 w:cs="David"/>
          <w:rtl w:val="true"/>
          <w:lang w:eastAsia="he-IL"/>
        </w:rPr>
        <w:t>ג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בעת ביצוע העבירות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בהעדר כל תיעוד פסיכיאטרי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וכן על בסיס אופי העבירות הכוללות תכנון ותחכום ובשל משכן הרב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 xml:space="preserve">ההנחה היא ששיפוטו היה שמור והוא </w:t>
      </w:r>
      <w:r>
        <w:rPr>
          <w:rFonts w:ascii="Century" w:hAnsi="Century" w:cs="Century"/>
          <w:rtl w:val="true"/>
          <w:lang w:eastAsia="he-IL"/>
        </w:rPr>
        <w:t>הבין את טיב ואת תוצאות מעשיו</w:t>
      </w:r>
      <w:r>
        <w:rPr>
          <w:rFonts w:cs="Century" w:ascii="Century" w:hAnsi="Century"/>
          <w:rtl w:val="true"/>
          <w:lang w:eastAsia="he-IL"/>
        </w:rPr>
        <w:t xml:space="preserve">". </w:t>
      </w:r>
      <w:r>
        <w:rPr>
          <w:rFonts w:ascii="Century" w:hAnsi="Century" w:cs="Century"/>
          <w:rtl w:val="true"/>
          <w:lang w:eastAsia="he-IL"/>
        </w:rPr>
        <w:t xml:space="preserve">בחוות הדעת הומלץ על </w:t>
      </w:r>
      <w:r>
        <w:rPr>
          <w:rFonts w:ascii="Century" w:hAnsi="Century" w:cs="Century"/>
          <w:rtl w:val="true"/>
          <w:lang w:eastAsia="he-IL"/>
        </w:rPr>
        <w:t>טיפול פסיכיאטרי מרפאתי במסגרת אמבולטורית</w:t>
      </w:r>
      <w:r>
        <w:rPr>
          <w:rFonts w:cs="Century" w:ascii="Century" w:hAnsi="Century"/>
          <w:rtl w:val="true"/>
          <w:lang w:eastAsia="he-IL"/>
        </w:rPr>
        <w:t>.</w:t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  <w:tab/>
      </w:r>
      <w:r>
        <w:rPr>
          <w:rFonts w:ascii="David" w:hAnsi="David" w:cs="David"/>
          <w:rtl w:val="true"/>
          <w:lang w:eastAsia="he-IL"/>
        </w:rPr>
        <w:t>בעקבות חוות הדעת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 xml:space="preserve">בית משפט קמא הורה שוב על </w:t>
      </w:r>
      <w:r>
        <w:rPr>
          <w:rFonts w:ascii="David" w:hAnsi="David" w:cs="David"/>
          <w:rtl w:val="true"/>
          <w:lang w:eastAsia="he-IL"/>
        </w:rPr>
        <w:t>מינוי של סניגור ציבורי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ועו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ד עמית בר מונה לייצג את ה</w:t>
      </w:r>
      <w:r>
        <w:rPr>
          <w:rFonts w:ascii="David" w:hAnsi="David" w:cs="David"/>
          <w:rtl w:val="true"/>
          <w:lang w:eastAsia="he-IL"/>
        </w:rPr>
        <w:t>מערער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 w:cs="David"/>
          <w:rtl w:val="true"/>
          <w:lang w:eastAsia="he-IL"/>
        </w:rPr>
        <w:t>כל אותה עת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 xml:space="preserve">עמד המערער באופן נחרץ על דעתו כי הוא </w:t>
      </w:r>
      <w:r>
        <w:rPr>
          <w:rFonts w:ascii="David" w:hAnsi="David" w:cs="David"/>
          <w:rtl w:val="true"/>
          <w:lang w:eastAsia="he-IL"/>
        </w:rPr>
        <w:t>כשיר לעמוד לדין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 w:cs="David"/>
          <w:rtl w:val="true"/>
          <w:lang w:eastAsia="he-IL"/>
        </w:rPr>
        <w:t>ד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ר אלטמרק וד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ר שייט נחקרו על</w:t>
      </w:r>
      <w:r>
        <w:rPr>
          <w:rFonts w:ascii="David" w:hAnsi="David" w:cs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 xml:space="preserve">ידי </w:t>
      </w:r>
      <w:r>
        <w:rPr>
          <w:rFonts w:ascii="David" w:hAnsi="David" w:cs="David"/>
          <w:rtl w:val="true"/>
          <w:lang w:eastAsia="he-IL"/>
        </w:rPr>
        <w:t xml:space="preserve">בא כוח </w:t>
      </w:r>
      <w:r>
        <w:rPr>
          <w:rFonts w:ascii="David" w:hAnsi="David" w:cs="David"/>
          <w:rtl w:val="true"/>
          <w:lang w:eastAsia="he-IL"/>
        </w:rPr>
        <w:t xml:space="preserve">המאשימה ביום </w:t>
      </w:r>
      <w:r>
        <w:rPr>
          <w:rFonts w:cs="David" w:ascii="David" w:hAnsi="David"/>
          <w:lang w:eastAsia="he-IL"/>
        </w:rPr>
        <w:t>27.3.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ואילו ע</w:t>
      </w:r>
      <w:r>
        <w:rPr>
          <w:rFonts w:ascii="David" w:hAnsi="David" w:cs="David"/>
          <w:rtl w:val="true"/>
          <w:lang w:eastAsia="he-IL"/>
        </w:rPr>
        <w:t>ו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ד בר נמנע מחקירת</w:t>
      </w:r>
      <w:r>
        <w:rPr>
          <w:rFonts w:ascii="David" w:hAnsi="David" w:cs="David"/>
          <w:rtl w:val="true"/>
          <w:lang w:eastAsia="he-IL"/>
        </w:rPr>
        <w:t xml:space="preserve">ם </w:t>
      </w:r>
      <w:r>
        <w:rPr>
          <w:rFonts w:ascii="David" w:hAnsi="David" w:cs="David"/>
          <w:rtl w:val="true"/>
          <w:lang w:eastAsia="he-IL"/>
        </w:rPr>
        <w:t>על</w:t>
      </w:r>
      <w:r>
        <w:rPr>
          <w:rFonts w:ascii="David" w:hAnsi="David" w:cs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פי הוראות ה</w:t>
      </w:r>
      <w:r>
        <w:rPr>
          <w:rFonts w:ascii="David" w:hAnsi="David" w:cs="David"/>
          <w:rtl w:val="true"/>
          <w:lang w:eastAsia="he-IL"/>
        </w:rPr>
        <w:t>מערער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 w:cs="David"/>
          <w:rtl w:val="true"/>
          <w:lang w:eastAsia="he-IL"/>
        </w:rPr>
        <w:t>הן בא כוח המאשימה והן עו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 xml:space="preserve">ד בר טענו כי יש לקבוע שהמערער </w:t>
      </w:r>
      <w:r>
        <w:rPr>
          <w:rFonts w:ascii="David" w:hAnsi="David" w:cs="David"/>
          <w:rtl w:val="true"/>
          <w:lang w:eastAsia="he-IL"/>
        </w:rPr>
        <w:t>כשיר לעמוד לדין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הגם ש</w:t>
      </w:r>
      <w:r>
        <w:rPr>
          <w:rFonts w:ascii="David" w:hAnsi="David" w:cs="David"/>
          <w:rtl w:val="true"/>
          <w:lang w:eastAsia="he-IL"/>
        </w:rPr>
        <w:t>עו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ד בר</w:t>
      </w:r>
      <w:r>
        <w:rPr>
          <w:rFonts w:ascii="David" w:hAnsi="David" w:cs="David"/>
          <w:rtl w:val="true"/>
          <w:lang w:eastAsia="he-IL"/>
        </w:rPr>
        <w:t xml:space="preserve"> ביקש </w:t>
      </w:r>
      <w:r>
        <w:rPr>
          <w:rFonts w:ascii="David" w:hAnsi="David" w:cs="David"/>
          <w:rtl w:val="true"/>
          <w:lang w:eastAsia="he-IL"/>
        </w:rPr>
        <w:t>לטעון כי ה</w:t>
      </w:r>
      <w:r>
        <w:rPr>
          <w:rFonts w:ascii="David" w:hAnsi="David" w:cs="David"/>
          <w:rtl w:val="true"/>
          <w:lang w:eastAsia="he-IL"/>
        </w:rPr>
        <w:t xml:space="preserve">מערער </w:t>
      </w:r>
      <w:r>
        <w:rPr>
          <w:rFonts w:ascii="David" w:hAnsi="David" w:cs="David"/>
          <w:rtl w:val="true"/>
          <w:lang w:eastAsia="he-IL"/>
        </w:rPr>
        <w:t>אינו מסוגל לעמוד לדין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 xml:space="preserve">אך המערער לא התיר לו </w:t>
      </w:r>
      <w:r>
        <w:rPr>
          <w:rFonts w:ascii="David" w:hAnsi="David" w:cs="David"/>
          <w:rtl w:val="true"/>
          <w:lang w:eastAsia="he-IL"/>
        </w:rPr>
        <w:t>להגיש סיכומים מטעמו</w:t>
      </w:r>
      <w:r>
        <w:rPr>
          <w:rFonts w:ascii="David" w:hAnsi="David" w:cs="David"/>
          <w:rtl w:val="true"/>
          <w:lang w:eastAsia="he-IL"/>
        </w:rPr>
        <w:t xml:space="preserve"> בעניין זה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David" w:ascii="David" w:hAnsi="David"/>
          <w:lang w:eastAsia="he-IL"/>
        </w:rPr>
        <w:t>10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ascii="David" w:hAnsi="David" w:cs="David"/>
          <w:rtl w:val="true"/>
          <w:lang w:eastAsia="he-IL"/>
        </w:rPr>
        <w:t>על אף ההסכמה בין הצדדים על כשירותו של המערער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בית המשפט סבר כי בנסיבות שנוצרו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יש להפנות את עניינו לפאנל מומחים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שיחווה דעתו על שאלת מסוגלותו לעמוד לדין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 w:cs="David"/>
          <w:rtl w:val="true"/>
          <w:lang w:eastAsia="he-IL"/>
        </w:rPr>
        <w:t>בהתאם לכך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 xml:space="preserve">מונה פאנל מומחים על ידי </w:t>
      </w:r>
      <w:r>
        <w:rPr>
          <w:rFonts w:ascii="David" w:hAnsi="David" w:cs="David"/>
          <w:rtl w:val="true"/>
          <w:lang w:eastAsia="he-IL"/>
        </w:rPr>
        <w:t>הפסיכיאטרית המחוזית</w:t>
      </w:r>
      <w:r>
        <w:rPr>
          <w:rFonts w:cs="David" w:ascii="David" w:hAnsi="David"/>
          <w:rtl w:val="true"/>
          <w:lang w:eastAsia="he-IL"/>
        </w:rPr>
        <w:t>,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בראשותו של ד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 xml:space="preserve">ר צבי פישל </w:t>
      </w:r>
      <w:r>
        <w:rPr>
          <w:rFonts w:ascii="David" w:hAnsi="David" w:cs="David"/>
          <w:rtl w:val="true"/>
          <w:lang w:eastAsia="he-IL"/>
        </w:rPr>
        <w:t>–</w:t>
      </w:r>
      <w:r>
        <w:rPr>
          <w:rFonts w:ascii="David" w:hAnsi="David" w:cs="David"/>
          <w:rtl w:val="true"/>
          <w:lang w:eastAsia="he-IL"/>
        </w:rPr>
        <w:t xml:space="preserve"> מנהל מחלקה ג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 w:cs="David"/>
          <w:rtl w:val="true"/>
          <w:lang w:eastAsia="he-IL"/>
        </w:rPr>
        <w:t>בבית</w:t>
      </w:r>
      <w:r>
        <w:rPr>
          <w:rFonts w:ascii="David" w:hAnsi="David" w:cs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החולים גהה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 w:cs="David"/>
          <w:rtl w:val="true"/>
          <w:lang w:eastAsia="he-IL"/>
        </w:rPr>
        <w:t>סגניתו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ד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ר שירי קמחי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 w:cs="David"/>
          <w:rtl w:val="true"/>
          <w:lang w:eastAsia="he-IL"/>
        </w:rPr>
        <w:t>נשר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 w:cs="David"/>
          <w:rtl w:val="true"/>
          <w:lang w:eastAsia="he-IL"/>
        </w:rPr>
        <w:t>ד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ר אהוד ברגר</w:t>
      </w:r>
      <w:r>
        <w:rPr>
          <w:rFonts w:ascii="David" w:hAnsi="David" w:cs="David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–</w:t>
      </w:r>
      <w:r>
        <w:rPr>
          <w:rFonts w:ascii="David" w:hAnsi="David" w:cs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מנהל המיון</w:t>
      </w:r>
      <w:r>
        <w:rPr>
          <w:rFonts w:cs="David" w:ascii="David" w:hAnsi="David"/>
          <w:rtl w:val="true"/>
          <w:lang w:eastAsia="he-IL"/>
        </w:rPr>
        <w:t>;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וגל כהן –</w:t>
      </w:r>
      <w:r>
        <w:rPr>
          <w:rFonts w:ascii="David" w:hAnsi="David" w:cs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קרימינולוגית קלינית</w:t>
      </w:r>
      <w:r>
        <w:rPr>
          <w:rFonts w:cs="David" w:ascii="David" w:hAnsi="David"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 xml:space="preserve">המערער מצידו המציא </w:t>
      </w:r>
      <w:r>
        <w:rPr>
          <w:rFonts w:ascii="Calibri" w:hAnsi="Calibri" w:cs="Calibri"/>
          <w:rtl w:val="true"/>
        </w:rPr>
        <w:t>לעיון הפאנל 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דעת פסיכודיאגנוסטית </w:t>
      </w:r>
      <w:r>
        <w:rPr>
          <w:rFonts w:ascii="Calibri" w:hAnsi="Calibri" w:cs="Calibri"/>
          <w:rtl w:val="true"/>
        </w:rPr>
        <w:t>פרטית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החתומה 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 הפסיכולוג שאול 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פורת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ולפיה </w:t>
      </w:r>
      <w:r>
        <w:rPr>
          <w:rFonts w:ascii="Calibri" w:hAnsi="Calibri" w:cs="Calibri"/>
          <w:rtl w:val="true"/>
        </w:rPr>
        <w:t xml:space="preserve">בתחום האינטלקטואלי תפקודו נמצא מאוזן ברמה ממוצעת גבוהה מאוד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עילוי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ואין הפרעות נפשיות מאג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וריות בתפקודו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הפסיכולוג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אבחנה של מצב פסיכוטי דלוזיונאלי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פאנל המומחים הגיע למסקנה כי בעת ביצוע העבירות </w:t>
      </w:r>
      <w:r>
        <w:rPr>
          <w:rFonts w:ascii="Calibri" w:hAnsi="Calibri" w:cs="Calibri"/>
          <w:sz w:val="20"/>
          <w:sz w:val="20"/>
          <w:rtl w:val="true"/>
        </w:rPr>
        <w:t xml:space="preserve">המערער </w:t>
      </w:r>
      <w:r>
        <w:rPr>
          <w:rFonts w:ascii="Calibri" w:hAnsi="Calibri" w:cs="Calibri"/>
          <w:rtl w:val="true"/>
        </w:rPr>
        <w:t>ידע להבחין בין טוב לרע ולהסביר את מניעיו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 היה אחראי למעשיו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 לכשירותו של המערער נקבע 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Ruller5"/>
        <w:ind w:end="1282"/>
        <w:jc w:val="both"/>
        <w:rPr>
          <w:rFonts w:cs="Miriam"/>
          <w:b/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לאור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המידע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והבדיקה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שנערכה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מתרשמים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לקיום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פסיכוטי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מתמשך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כחלק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מהפרעה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דלוזיונאלית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הפרעה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סכיזופרניה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איננה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בשיפוט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ולפיכך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ידיו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נבעו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ממצב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חוסר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פלילית</w:t>
      </w:r>
      <w:r>
        <w:rPr>
          <w:rtl w:val="true"/>
          <w:lang w:eastAsia="he-IL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כעת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ולנהל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דיון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הנמנע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לנהל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הדיון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להצדיק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מניעה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קיום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והכרזתו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דיונית</w:t>
      </w:r>
      <w:r>
        <w:rPr>
          <w:rFonts w:cs="Century" w:ascii="Century" w:hAnsi="Century"/>
          <w:rtl w:val="true"/>
          <w:lang w:eastAsia="he-IL"/>
        </w:rPr>
        <w:t>.</w:t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  <w:t>לגבי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להליך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מגלה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דרישה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קפדנית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שיתוף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הפעולה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המייצגים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סטייה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גרמה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לפקפק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באמון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סניגוריו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המייצגים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ממחשבה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הללו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הרודפים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להצביע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נוקשות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אישיותית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לציין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מאורגן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מהמערכת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הדלוזיונאלית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שלו</w:t>
      </w:r>
      <w:r>
        <w:rPr>
          <w:rFonts w:cs="Century" w:ascii="Century" w:hAnsi="Century"/>
          <w:rtl w:val="true"/>
          <w:lang w:eastAsia="he-IL"/>
        </w:rPr>
        <w:t>.</w:t>
      </w:r>
      <w:r>
        <w:rPr>
          <w:rFonts w:cs="Miriam"/>
          <w:b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והתייחסותו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להכריע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הנבדק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מתמצא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המשפטיים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המתנהלים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בעניינו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להציג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לדין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הדגשה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הוספה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).</w:t>
      </w:r>
    </w:p>
    <w:p>
      <w:pPr>
        <w:pStyle w:val="Ruller41"/>
        <w:ind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וה</w:t>
      </w:r>
      <w:r>
        <w:rPr>
          <w:rFonts w:ascii="Calibri" w:hAnsi="Calibri" w:cs="Calibri"/>
          <w:rtl w:val="true"/>
        </w:rPr>
        <w:t>מערער ביקשו אפוא להמשיך בדיון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בר הסתייג מחוות הדעת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הודיע כי </w:t>
      </w:r>
      <w:r>
        <w:rPr>
          <w:rFonts w:ascii="Calibri" w:hAnsi="Calibri" w:cs="Calibri"/>
          <w:rtl w:val="true"/>
        </w:rPr>
        <w:t>לא יפעל בניגוד לעמדת ה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ציין כי </w:t>
      </w:r>
      <w:r>
        <w:rPr>
          <w:rFonts w:ascii="Calibri" w:hAnsi="Calibri" w:cs="Calibri"/>
          <w:rtl w:val="true"/>
        </w:rPr>
        <w:t>הימנעות ה</w:t>
      </w:r>
      <w:r>
        <w:rPr>
          <w:rFonts w:ascii="Calibri" w:hAnsi="Calibri" w:cs="Calibri"/>
          <w:rtl w:val="true"/>
        </w:rPr>
        <w:t xml:space="preserve">הגנה </w:t>
      </w:r>
      <w:r>
        <w:rPr>
          <w:rFonts w:ascii="Calibri" w:hAnsi="Calibri" w:cs="Calibri"/>
          <w:rtl w:val="true"/>
        </w:rPr>
        <w:t>להציג טיעונים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משמעה כי ה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ascii="Calibri" w:hAnsi="Calibri" w:cs="Calibri"/>
          <w:rtl w:val="true"/>
        </w:rPr>
        <w:t>כשיר לעמוד לדין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מביע עמדות מושכלות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 לכבד את עמדותיו באופן 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בשלב זה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בר שוחרר מלייצג את ה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לבקשת המערער הוסיף ללוותו באולם בית המשפט ולסייע לו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 xml:space="preserve">במתווה </w:t>
      </w:r>
      <w:r>
        <w:rPr>
          <w:rFonts w:ascii="David" w:hAnsi="David" w:cs="David"/>
          <w:rtl w:val="true"/>
          <w:lang w:eastAsia="he-IL"/>
        </w:rPr>
        <w:t xml:space="preserve">זה </w:t>
      </w:r>
      <w:r>
        <w:rPr>
          <w:rFonts w:ascii="David" w:hAnsi="David" w:cs="David"/>
          <w:rtl w:val="true"/>
          <w:lang w:eastAsia="he-IL"/>
        </w:rPr>
        <w:t>הסתיימה פרשת ההגנה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ובעוד המאשימה הגישה סיכומים ממוקדים הנוגעים לאישומים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 xml:space="preserve">המערער </w:t>
      </w:r>
      <w:r>
        <w:rPr>
          <w:rFonts w:ascii="David" w:hAnsi="David" w:cs="David"/>
          <w:rtl w:val="true"/>
          <w:lang w:eastAsia="he-IL"/>
        </w:rPr>
        <w:t>הגיש סיכומים שכללו</w:t>
      </w:r>
      <w:r>
        <w:rPr>
          <w:rFonts w:ascii="David" w:hAnsi="David" w:cs="David"/>
          <w:rtl w:val="true"/>
          <w:lang w:eastAsia="he-IL"/>
        </w:rPr>
        <w:t xml:space="preserve"> בעיקר </w:t>
      </w:r>
      <w:r>
        <w:rPr>
          <w:rFonts w:ascii="David" w:hAnsi="David" w:cs="David"/>
          <w:rtl w:val="true"/>
          <w:lang w:eastAsia="he-IL"/>
        </w:rPr>
        <w:t>טענות שאינן נוגעות לאישומים</w:t>
      </w:r>
      <w:r>
        <w:rPr>
          <w:rFonts w:ascii="David" w:hAnsi="David" w:cs="David"/>
          <w:rtl w:val="true"/>
          <w:lang w:eastAsia="he-IL"/>
        </w:rPr>
        <w:t xml:space="preserve"> ואף לא ניצל את </w:t>
      </w:r>
      <w:r>
        <w:rPr>
          <w:rFonts w:ascii="Century" w:hAnsi="Century" w:cs="Century"/>
          <w:rtl w:val="true"/>
          <w:lang w:eastAsia="he-IL"/>
        </w:rPr>
        <w:t>האפשרות שניתנה לו להגיש סיכומים משלימים בכתב במענה לסיכומי התביעה</w:t>
      </w:r>
      <w:r>
        <w:rPr>
          <w:rFonts w:cs="Century" w:ascii="Century" w:hAnsi="Century"/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  <w:tab/>
      </w:r>
      <w:r>
        <w:rPr>
          <w:rFonts w:ascii="David" w:hAnsi="David" w:cs="David"/>
          <w:rtl w:val="true"/>
          <w:lang w:eastAsia="he-IL"/>
        </w:rPr>
        <w:t>עד כאן תיאור השתלשלות הדברים בבית משפט קמא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ab/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 w:cs="David"/>
          <w:rtl w:val="true"/>
          <w:lang w:eastAsia="he-IL"/>
        </w:rPr>
        <w:t>לאחר הרשעתו על ידי בית משפט קמא ולאחר שנגזר דינו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הגיש המערער הודעת ערעור לבית משפט זה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באמצעות עו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 xml:space="preserve">ד ברק כהן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 w:cs="David"/>
          <w:rtl w:val="true"/>
          <w:lang w:eastAsia="he-IL"/>
        </w:rPr>
        <w:t>עורך הדין השביעי במספר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 w:cs="David"/>
          <w:rtl w:val="true"/>
          <w:lang w:eastAsia="he-IL"/>
        </w:rPr>
        <w:t xml:space="preserve">בערעור נטען כי 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המערער אינו כשיר לעמוד לדין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 w:cs="David"/>
          <w:rtl w:val="true"/>
          <w:lang w:eastAsia="he-IL"/>
        </w:rPr>
        <w:t>אף לא היה כשיר לעמוד לדין בהליך בפני בית משפט קמא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 w:cs="David"/>
          <w:rtl w:val="true"/>
          <w:lang w:eastAsia="he-IL"/>
        </w:rPr>
        <w:t>זהו הטיעון המרכזי בערעור זה</w:t>
      </w:r>
      <w:r>
        <w:rPr>
          <w:rFonts w:cs="David" w:ascii="David" w:hAnsi="David"/>
          <w:rtl w:val="true"/>
          <w:lang w:eastAsia="he-IL"/>
        </w:rPr>
        <w:t xml:space="preserve">". </w:t>
      </w:r>
      <w:r>
        <w:rPr>
          <w:rFonts w:ascii="David" w:hAnsi="David" w:cs="David"/>
          <w:rtl w:val="true"/>
          <w:lang w:eastAsia="he-IL"/>
        </w:rPr>
        <w:t>ואכן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כתב הערעור עוסק אך ורק בנושא אי כשירותו הנטענת של המערער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 w:cs="David"/>
          <w:rtl w:val="true"/>
          <w:lang w:eastAsia="he-IL"/>
        </w:rPr>
        <w:t>נימוקי הערעור הוגשו על ידי עו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ד מתן לקר ועו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 w:cs="David"/>
          <w:rtl w:val="true"/>
          <w:lang w:eastAsia="he-IL"/>
        </w:rPr>
        <w:t>ד אלבר פרץ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שגם הופיעו בפנינו וטענו בשם המערער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 w:cs="David"/>
          <w:rtl w:val="true"/>
          <w:lang w:eastAsia="he-IL"/>
        </w:rPr>
        <w:t>נטען כי המערער אינו כשיר לעמוד לדין ובשל 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ייצוגו היה כושל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 w:cs="David"/>
          <w:rtl w:val="true"/>
          <w:lang w:eastAsia="he-IL"/>
        </w:rPr>
        <w:t>כי לא ניתנה אפשרות לייצוג הולם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 w:cs="David"/>
          <w:rtl w:val="true"/>
          <w:lang w:eastAsia="he-IL"/>
        </w:rPr>
        <w:t>וכי במהלך כמעט כל המשפט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מפרשת התביעה ועד לעדות המערער במסגרת פרשת ההגנה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 w:cs="David"/>
          <w:rtl w:val="true"/>
          <w:lang w:eastAsia="he-IL"/>
        </w:rPr>
        <w:t>המערער נמצא ללא ייצוג הולם במשפט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lang w:eastAsia="he-IL"/>
        </w:rPr>
        <w:t>13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ascii="David" w:hAnsi="David" w:cs="David"/>
          <w:rtl w:val="true"/>
          <w:lang w:eastAsia="he-IL"/>
        </w:rPr>
        <w:t xml:space="preserve">אקדים ואומר כי דין הטענה לאי כשירות המערער לעמוד לדין </w:t>
      </w:r>
      <w:r>
        <w:rPr>
          <w:rFonts w:ascii="Times New Roman" w:hAnsi="Times New Roman" w:cs="Times New Roman"/>
          <w:rtl w:val="true"/>
          <w:lang w:eastAsia="he-IL"/>
        </w:rPr>
        <w:t>–</w:t>
      </w:r>
      <w:r>
        <w:rPr>
          <w:rFonts w:ascii="David" w:hAnsi="David" w:cs="David"/>
          <w:rtl w:val="true"/>
          <w:lang w:eastAsia="he-IL"/>
        </w:rPr>
        <w:t xml:space="preserve"> להידחות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  <w:lang w:eastAsia="he-IL"/>
        </w:rPr>
        <w:tab/>
      </w:r>
      <w:r>
        <w:rPr>
          <w:rFonts w:ascii="Century" w:hAnsi="Century" w:cs="Century"/>
          <w:rtl w:val="true"/>
          <w:lang w:eastAsia="he-IL"/>
        </w:rPr>
        <w:t xml:space="preserve">ההבחנה בין אי שפיות בעת המעשה </w:t>
      </w:r>
      <w:r>
        <w:rPr>
          <w:rFonts w:ascii="Century" w:hAnsi="Century" w:cs="Century"/>
          <w:rtl w:val="true"/>
        </w:rPr>
        <w:t xml:space="preserve">לפי 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לבין </w:t>
      </w:r>
      <w:r>
        <w:rPr>
          <w:rFonts w:ascii="Century" w:hAnsi="Century" w:cs="Century"/>
          <w:rtl w:val="true"/>
          <w:lang w:eastAsia="he-IL"/>
        </w:rPr>
        <w:t xml:space="preserve">אי כשירות דיונית בשלב העמדה לדין לפי </w:t>
      </w:r>
      <w:hyperlink r:id="rId27">
        <w:r>
          <w:rPr>
            <w:rStyle w:val="Hyperlink"/>
            <w:rFonts w:ascii="Century" w:hAnsi="Century" w:cs="Century"/>
            <w:rtl w:val="true"/>
            <w:lang w:eastAsia="he-IL"/>
          </w:rPr>
          <w:t>סעיף</w:t>
        </w:r>
        <w:r>
          <w:rPr>
            <w:rStyle w:val="Hyperlink"/>
            <w:rFonts w:ascii="Century" w:hAnsi="Century" w:cs="Century"/>
            <w:rtl w:val="true"/>
            <w:lang w:eastAsia="he-IL"/>
          </w:rPr>
          <w:t xml:space="preserve"> </w:t>
        </w:r>
        <w:r>
          <w:rPr>
            <w:rStyle w:val="Hyperlink"/>
            <w:rFonts w:cs="Century" w:ascii="Century" w:hAnsi="Century"/>
            <w:lang w:eastAsia="he-IL"/>
          </w:rPr>
          <w:t>170</w:t>
        </w:r>
      </w:hyperlink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הפלילי</w:t>
        </w:r>
      </w:hyperlink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cs="Century" w:ascii="Century" w:hAnsi="Century"/>
          <w:rtl w:val="true"/>
          <w:lang w:eastAsia="he-IL"/>
        </w:rPr>
        <w:t>[</w:t>
      </w:r>
      <w:r>
        <w:rPr>
          <w:rFonts w:ascii="Century" w:hAnsi="Century" w:cs="Century"/>
          <w:rtl w:val="true"/>
          <w:lang w:eastAsia="he-IL"/>
        </w:rPr>
        <w:t>נוסח משולב</w:t>
      </w:r>
      <w:r>
        <w:rPr>
          <w:rFonts w:cs="Century" w:ascii="Century" w:hAnsi="Century"/>
          <w:rtl w:val="true"/>
          <w:lang w:eastAsia="he-IL"/>
        </w:rPr>
        <w:t xml:space="preserve">] </w:t>
      </w:r>
      <w:r>
        <w:rPr>
          <w:rFonts w:ascii="Century" w:hAnsi="Century" w:cs="Century"/>
          <w:rtl w:val="true"/>
          <w:lang w:eastAsia="he-IL"/>
        </w:rPr>
        <w:t>התשמ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ב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cs="Century" w:ascii="Century" w:hAnsi="Century"/>
          <w:lang w:eastAsia="he-IL"/>
        </w:rPr>
        <w:t>1982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cs="Century" w:ascii="Century" w:hAnsi="Century"/>
          <w:rtl w:val="true"/>
          <w:lang w:eastAsia="he-IL"/>
        </w:rPr>
        <w:t>–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 xml:space="preserve">היא הבחנה מוכרת וידועה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 דיני ב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9078/09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14.2.2012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אי שפיות מביאה לזיכוי הנאשם </w:t>
      </w:r>
      <w:r>
        <w:rPr>
          <w:rFonts w:cs="Century" w:ascii="Century" w:hAnsi="Century"/>
          <w:rtl w:val="true"/>
        </w:rPr>
        <w:t>(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2675/13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3.2.2015</w:t>
      </w:r>
      <w:r>
        <w:rPr>
          <w:rFonts w:cs="Century" w:ascii="Century" w:hAnsi="Century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1237/15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וחנון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5.7.2015</w:t>
      </w:r>
      <w:r>
        <w:rPr>
          <w:rFonts w:cs="Century" w:ascii="Century" w:hAnsi="Century"/>
          <w:rtl w:val="true"/>
        </w:rPr>
        <w:t xml:space="preserve">)) </w:t>
      </w:r>
      <w:r>
        <w:rPr>
          <w:rFonts w:ascii="Century" w:hAnsi="Century" w:cs="Century"/>
          <w:rtl w:val="true"/>
        </w:rPr>
        <w:t>ואי כשירות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מביאה להפסקת ההליכים נגד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ניתן לחדש ההליכים עם השיפור במצבו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ענייננו מתמקד בטענת הכשירות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ובנושא זה חרשה הפסיקה זה מכבר תלמים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הכרה באי כשירות נאשם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נדרשים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מסוגלות</w:t>
      </w:r>
      <w:r>
        <w:rPr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יראו נאשם ככשיר לעמוד לדין אם הוא מסוגל </w:t>
      </w:r>
      <w:r>
        <w:rPr>
          <w:rFonts w:ascii="Century" w:hAnsi="Century" w:cs="Century"/>
          <w:rtl w:val="true"/>
        </w:rPr>
        <w:t xml:space="preserve">לתקשר עם עורך דינו </w:t>
      </w:r>
      <w:r>
        <w:rPr>
          <w:rFonts w:ascii="Century" w:hAnsi="Century" w:cs="Century"/>
          <w:rtl w:val="true"/>
        </w:rPr>
        <w:t xml:space="preserve">באופן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ולהבין את ההליך המשפטי</w:t>
      </w:r>
      <w:r>
        <w:rPr>
          <w:rFonts w:ascii="Century" w:hAnsi="Century" w:cs="Century"/>
          <w:rtl w:val="true"/>
        </w:rPr>
        <w:t xml:space="preserve"> ולו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אם הוא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32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715/78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לג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228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231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2111/93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מח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133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1994</w:t>
      </w:r>
      <w:r>
        <w:rPr>
          <w:rFonts w:cs="Century" w:ascii="Century" w:hAnsi="Century"/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3230/05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22.1.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07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גולה</w:t>
      </w:r>
      <w:r>
        <w:rPr>
          <w:rFonts w:cs="Century" w:ascii="Century" w:hAnsi="Century"/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7924/07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5.5.2008</w:t>
      </w:r>
      <w:r>
        <w:rPr>
          <w:rFonts w:cs="Century" w:ascii="Century" w:hAnsi="Century"/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3193/07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2.4.2009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7492/07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28.10.2009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7747/08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-10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5.8.2010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10166/09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11.10.2010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Century" w:ascii="Century" w:hAnsi="Century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7535/17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25.5.2021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בקשי</w:t>
      </w:r>
      <w:r>
        <w:rPr>
          <w:rFonts w:cs="Century" w:ascii="Century" w:hAnsi="Century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9197/18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alibri" w:hAnsi="Calibri" w:eastAsia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הנה כי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היעדר מסוגלות לעמוד לדין </w:t>
      </w:r>
      <w:r>
        <w:rPr>
          <w:rFonts w:ascii="Calibri" w:hAnsi="Calibri" w:cs="Calibri"/>
          <w:rtl w:val="true"/>
        </w:rPr>
        <w:t xml:space="preserve">משמעו </w:t>
      </w:r>
      <w:r>
        <w:rPr>
          <w:rFonts w:ascii="Calibri" w:hAnsi="Calibri" w:cs="Calibri"/>
          <w:rtl w:val="true"/>
        </w:rPr>
        <w:t>חוסר יכולת לעקוב באופן מושכל אחר ההליך הפלילי וליטול בו חלק</w:t>
      </w:r>
      <w:r>
        <w:rPr>
          <w:rFonts w:cs="Calibri" w:ascii="Calibri" w:hAnsi="Calibri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המקרה שלפנינו רחוק עד מאוד מכך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</w:rPr>
        <w:t>15</w:t>
      </w:r>
      <w:r>
        <w:rPr>
          <w:rFonts w:eastAsia="Calibri" w:cs="Calibri" w:ascii="Calibri" w:hAnsi="Calibri"/>
          <w:rtl w:val="true"/>
        </w:rPr>
        <w:t>.</w:t>
      </w: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כמו בכל נושא שבמומחיות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ההכרעה בדבר כשירותו של הנאשם לעמוד לדין אינה בידי המומחים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אלא מסורה לבית המשפט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לדוגמה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עניין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גולה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entury" w:hAnsi="Century" w:cs="Century"/>
          <w:rtl w:val="true"/>
        </w:rPr>
        <w:t>לעניין כשירותו של נאשם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משקל נכבד במיוחד להתרשמותה של הערכאה הדיונית מיכולתו של הנאשם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לתקשר עם עורך דינו באופן בסיסי ולהבין את ההליך המשפטי אשר מתנהל נגדו במובן זה שהוא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מודע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להימצאותו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התפקידים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נגדו</w:t>
      </w:r>
      <w:r>
        <w:rPr>
          <w:rFonts w:cs="Century" w:ascii="Century" w:hAnsi="Century"/>
          <w:rtl w:val="true"/>
        </w:rPr>
        <w:t>'" (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5401/18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5.2.2019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9687/09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17.1.2013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התנאי של מחלת נפש מתקיים 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 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המערער סובל </w:t>
      </w:r>
      <w:r>
        <w:rPr>
          <w:rFonts w:ascii="Calibri" w:hAnsi="Calibri" w:cs="Calibri"/>
          <w:rtl w:val="true"/>
        </w:rPr>
        <w:t>ממחלת 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על פי מומחי הפאנל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עוצמת המחלה קטנה מזו שתוארה על ידי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 אלטמרק</w:t>
      </w:r>
      <w:r>
        <w:rPr>
          <w:rFonts w:ascii="Calibri" w:hAnsi="Calibri" w:cs="Calibri"/>
          <w:rtl w:val="true"/>
        </w:rPr>
        <w:t xml:space="preserve"> בחוות דעתו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 שציין בית משפט קמא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מומחי הפאנל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היו ערים לתכנים הרדיפתיים שמשמיע הנאשם ולטענות בדבר גידולים עוריים כתוצאה מקרינה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שעולה מחוות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אלא שצוין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מבחינה רפואית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 דלוזיונאלית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כמו סכיזופרניה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 פוגמת בשיפוט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כן הנאשם כשיר מהותית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ענייננו מתמקד אפוא בתנאי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 המסוגלות לעמוד לדין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entury" w:hAnsi="Century" w:cs="Century"/>
          <w:rtl w:val="true"/>
        </w:rPr>
        <w:t>התביעה וההגנה הסכימו כי המערער כשיר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עצמו הביע לכל אורך הדרך דעה נחרצת כי הוא כשיר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פאנל המומחים מצא כי המערער כשיר לעמוד לדין וכי על אף המחלה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</w:t>
      </w:r>
      <w:r>
        <w:rPr>
          <w:rFonts w:ascii="Calibri" w:hAnsi="Calibri" w:cs="Calibri"/>
          <w:rtl w:val="true"/>
        </w:rPr>
        <w:t>מסוגל להבין הליכי משפט ולנהל דיון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רודפים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להסתכלות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הדלוזיונאלית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קמא היה ער לכל אורך הדרך לשאלת כשירותו של המערער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והתייחס לנושא זה בהרחבה בפסק דינו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וזו הייתה התרשמותו הבלתי אמצעית של בית משפט קמא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הרדיפתיים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הביזארית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ממוקד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בסוגיות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אפקטיבית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התכונן</w:t>
      </w:r>
      <w:r>
        <w:rPr>
          <w:rtl w:val="true"/>
        </w:rPr>
        <w:t xml:space="preserve">;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לחולי</w:t>
      </w:r>
      <w:r>
        <w:rPr>
          <w:rtl w:val="true"/>
        </w:rPr>
        <w:t xml:space="preserve">. </w:t>
      </w:r>
      <w:r>
        <w:rPr>
          <w:rtl w:val="true"/>
        </w:rPr>
        <w:t>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שהובילה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Calibri" w:ascii="Calibri" w:hAnsi="Calibri"/>
          <w:rtl w:val="true"/>
        </w:rPr>
        <w:t xml:space="preserve">[...] </w:t>
      </w:r>
      <w:r>
        <w:rPr>
          <w:rFonts w:ascii="Calibri" w:hAnsi="Calibri" w:cs="Calibri"/>
          <w:rtl w:val="true"/>
        </w:rPr>
        <w:t>נוכח הקשיים הרבים שהתעוררו בהליך מול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יכולה אני לקבוע כיום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היבט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אפשרי</w:t>
      </w:r>
      <w:r>
        <w:rPr>
          <w:rFonts w:cs="Century" w:ascii="Century" w:hAnsi="Century"/>
          <w:rtl w:val="true"/>
        </w:rPr>
        <w:t>"(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עורך דין במקצועו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הבין אפוא את מהות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הרבה יותר מהרף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הבסיסי</w:t>
      </w:r>
      <w:r>
        <w:rPr>
          <w:rFonts w:ascii="Century" w:hAnsi="Century" w:cs="Century"/>
          <w:rtl w:val="true"/>
        </w:rPr>
        <w:t xml:space="preserve"> הנדרש לצורך כשירות לדין על פי ההלכה הפסוקה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הלכה עמנו כי אין דרכה של ערכאת ערעור להתערב בממצאי עובדה ומהימנות שנקבעו על ידי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כוחה של הלכה זו במקרה דנן כפול ומכופל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בהינתן שכוחה של ההלכה יפה גם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1828/14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27.6.2019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בקשי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ספק סביר בדבר העדר כש</w:t>
      </w:r>
      <w:r>
        <w:rPr>
          <w:rFonts w:ascii="Calibri" w:hAnsi="Calibri" w:eastAsia="Calibri" w:cs="Calibri"/>
          <w:rtl w:val="true"/>
        </w:rPr>
        <w:t>י</w:t>
      </w:r>
      <w:r>
        <w:rPr>
          <w:rFonts w:ascii="Calibri" w:hAnsi="Calibri" w:eastAsia="Calibri" w:cs="Calibri"/>
          <w:rtl w:val="true"/>
        </w:rPr>
        <w:t>רותו של הנאשם לעמוד לדי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להעדר כש</w:t>
      </w:r>
      <w:r>
        <w:rPr>
          <w:rFonts w:ascii="Calibri" w:hAnsi="Calibri" w:eastAsia="Calibri" w:cs="Calibri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רות </w:t>
      </w:r>
      <w:r>
        <w:rPr>
          <w:rFonts w:ascii="Calibri" w:hAnsi="Calibri" w:eastAsia="Calibri" w:cs="Calibri"/>
          <w:rtl w:val="true"/>
        </w:rPr>
        <w:t xml:space="preserve">לעמוד בנטל של </w:t>
      </w:r>
      <w:r>
        <w:rPr>
          <w:rFonts w:ascii="Calibri" w:hAnsi="Calibri" w:eastAsia="Calibri" w:cs="Calibri"/>
          <w:rtl w:val="true"/>
        </w:rPr>
        <w:t>מאזן הסתברויות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דעה זו הבעתי </w:t>
      </w:r>
      <w:r>
        <w:rPr>
          <w:rFonts w:ascii="Century" w:hAnsi="Century" w:eastAsia="Calibri" w:cs="Century"/>
          <w:rtl w:val="true"/>
        </w:rPr>
        <w:t>כבר ב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4694/20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24-23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2.9.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כפועל יוצא מטענתו כי לא היה כשיר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המערער לכשל בייצוגו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כתוצאה מכך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משדחינו את הטענה לאי כשירות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נשמטת גם הטענה לכשל בייצוג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התייחס בהכרעת הדין גם לכך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alibri" w:hAnsi="Calibri" w:cs="Calibri"/>
        </w:rPr>
      </w:pPr>
      <w:r>
        <w:rPr>
          <w:rtl w:val="true"/>
        </w:rPr>
        <w:t>"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הוא קיבל את כל הסיוע האפשרי ממייצגיו ויועציו 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מצד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 – כמובן במגבלות 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וכפי 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המשפט מצווה לסייע לנאשם בלתי מיוצג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 אם הוא עורך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 בהכשרתו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פסקה </w:t>
      </w:r>
      <w:r>
        <w:rPr>
          <w:rFonts w:cs="Calibri" w:ascii="Calibri" w:hAnsi="Calibri"/>
        </w:rPr>
        <w:t>68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לא למותר להזכיר את ההלכה לפיה בית המשפט לא ישעה לטענת כשל בייצוג ללא התייחסות של הסניגור הקודם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ובמקרה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הסניגורים הקודמים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וכי טענה לכשל בייצוג תתקבל במקרים חריגים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שבהם ניתן להצביע על קיומו של עיוות 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בהרחבה 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1779/22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40-34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18.6.2023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יפים לענייננו הדברים שנאמרו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שם נטען לכשל בייצוג לצד טענת אי כשירות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4.6.2018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סותרות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ומהוות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תצהירו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6229/07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מוופק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20.11.2008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עניין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מוופק</w:t>
      </w:r>
      <w:r>
        <w:rPr>
          <w:rtl w:val="true"/>
        </w:rPr>
        <w:t xml:space="preserve">); </w:t>
      </w:r>
      <w:hyperlink r:id="rId48">
        <w:bookmarkStart w:id="15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9447/12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bookmarkEnd w:id="15"/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2.2.2014</w:t>
      </w:r>
      <w:r>
        <w:rPr>
          <w:rtl w:val="true"/>
        </w:rPr>
        <w:t xml:space="preserve">))"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שגם טענת הכשל בייצוג דינה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לצד טענת אי הכשירות והכשל בייצוג העלה המערער שורה של טענות נוספות אליהן אתייחס להלן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רק בתום פרשת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העלה טענה מקדמית לפיה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האישום </w:t>
      </w:r>
      <w:r>
        <w:rPr>
          <w:rFonts w:ascii="Calibri" w:hAnsi="Calibri" w:cs="Calibri"/>
          <w:rtl w:val="true"/>
        </w:rPr>
        <w:t>בטל מעיקרו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 העדר אישור של היועץ המשפטי לממשלה</w:t>
      </w:r>
      <w:r>
        <w:rPr>
          <w:rFonts w:ascii="Calibri" w:hAnsi="Calibri" w:cs="Calibri"/>
          <w:rtl w:val="true"/>
        </w:rPr>
        <w:t xml:space="preserve"> להגשתו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טענה זו נדחתה בהחלטת בית משפט קמא מיום </w:t>
      </w:r>
      <w:r>
        <w:rPr>
          <w:rFonts w:cs="Calibri" w:ascii="Calibri" w:hAnsi="Calibri"/>
        </w:rPr>
        <w:t>17.1.2017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 עתר לבג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ץ בעניין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לצד טענות נוספות בדבר </w:t>
      </w:r>
      <w:r>
        <w:rPr>
          <w:sz w:val="28"/>
          <w:sz w:val="28"/>
          <w:rtl w:val="true"/>
        </w:rPr>
        <w:t>טענות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רדיפתו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הרשויות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שחיתות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במסדרונות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השלטון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4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בג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732/17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מיסוי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וכלכלה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9.3.2017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היועץ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בסיפא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לעתירה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יחפוץ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פתוחה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תינתן</w:t>
      </w:r>
      <w:r>
        <w:rPr>
          <w:sz w:val="28"/>
          <w:rtl w:val="true"/>
        </w:rPr>
        <w:t>".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משכך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אתייחס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לטענה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זו</w:t>
      </w:r>
      <w:r>
        <w:rPr>
          <w:color w:val="000000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sz w:val="28"/>
        </w:rPr>
        <w:t>23</w:t>
      </w:r>
      <w:r>
        <w:rPr>
          <w:sz w:val="28"/>
          <w:rtl w:val="true"/>
        </w:rPr>
        <w:t>.</w:t>
        <w:tab/>
      </w:r>
      <w:r>
        <w:rPr>
          <w:rFonts w:ascii="Calibri" w:hAnsi="Calibri" w:cs="Calibri"/>
          <w:rtl w:val="true"/>
        </w:rPr>
        <w:t>לשיטתו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 מתייחס למילוי תפקידו כבא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 של היועץ המשפטי לממשלה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ועל כן חל סעיף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להנחיית </w:t>
      </w:r>
      <w:r>
        <w:rPr>
          <w:rFonts w:ascii="Century" w:hAnsi="Century" w:cs="Century"/>
          <w:rtl w:val="true"/>
        </w:rPr>
        <w:t>היועמ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4.1004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ולפיה מתבקש אישור היועץ המשפטי לממשלה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כאשר מוגש כתב אישום נגד עורך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והאישום קשור ליחסיו של עורך הדין או לקוחו עם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הפרקליטות או רשות תובעת או חוקרת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מילוי תפקידו כעורך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אישום בעבירה של הפרעה לשוטר במילוי תפקידו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העלבת עובד 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בידוי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השמדת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הדחה בחקירה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ascii="Century" w:hAnsi="Century" w:cs="Century"/>
          <w:rtl w:val="true"/>
        </w:rPr>
        <w:t>דין הטענה להידחות באשר לטעמי ההנחייה לא חלה כלל על עניינו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ולחילופין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דין הטענה להידחות מהטעם עליו עמד בית משפט קמא בהחלטתו מיום </w:t>
      </w:r>
      <w:r>
        <w:rPr>
          <w:rFonts w:cs="Century" w:ascii="Century" w:hAnsi="Century"/>
        </w:rPr>
        <w:t>17.1.2017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בסעיף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לאותה הנחייה נקבע כי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5"/>
        <w:ind w:end="1282"/>
        <w:jc w:val="both"/>
        <w:rPr>
          <w:rFonts w:ascii="Arial" w:hAnsi="Arial" w:cs="Arial"/>
        </w:rPr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להסמיך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שאישורו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31.3.2004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האציל היועץ המשפטי לממשלה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 מזוז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פרקליטת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המשנה לעניינים פליליים ואת המשנה לתפקידים מיוחדים ליתן אישור מוקדם להגשת כתב אישום כנגד עורך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הזהירות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23.10.2014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אישר המשנה לפרקליט המדינה לעניינים פליליים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 אברבנאל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הגשת כתב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האישום כנגד המערער בהתאם להנחיה</w:t>
      </w:r>
      <w:r>
        <w:rPr>
          <w:rFonts w:cs="Arial" w:ascii="Arial" w:hAnsi="Arial"/>
          <w:rtl w:val="true"/>
        </w:rPr>
        <w:t>.</w:t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שכתב האישום הוגש כדין ועל פי אישור הגורם המוסמך לו האציל היועץ המשפטי את סמכותו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השימוע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המערער טען כי זכות השימוע שלו נפגעה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השימוע הופסק לאחר כשעתיים וחצי בהן נשמעו טענותיו באמצעות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יוספה טפיירו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הספיקה להעלות את מלוא טענותיו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דין הטענה להידחות מהטעמים שפורטו בהכרעת הדין ובתשובת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עובר להגשת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נשלח למערער כתב החשדות באמצעות דוא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והמערער אישר כי קיבל את המסמך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המסמך נשלח בדוא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בשל קושי לאתר את כתובתו של המערער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 התעלם מכתב החשדות ולכן לא התקיים שימוע לפני הגשת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כתב האישום הוגש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27.10.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בדיון שהתקיים ביום </w:t>
      </w:r>
      <w:r>
        <w:rPr>
          <w:rFonts w:cs="Calibri" w:ascii="Calibri" w:hAnsi="Calibri"/>
        </w:rPr>
        <w:t>26.1.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פני 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נשיאת 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לורך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התקבלה 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המשפט </w:t>
      </w:r>
      <w:r>
        <w:rPr>
          <w:rFonts w:ascii="Calibri" w:hAnsi="Calibri" w:cs="Calibri"/>
          <w:rtl w:val="true"/>
        </w:rPr>
        <w:t>כי המערער יחזור בו מטענתו לביטול כתב האישום וי</w:t>
      </w:r>
      <w:r>
        <w:rPr>
          <w:rFonts w:ascii="Calibri" w:hAnsi="Calibri" w:cs="Calibri"/>
          <w:rtl w:val="true"/>
        </w:rPr>
        <w:t>קוים הליך שימוע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באותה עת </w:t>
      </w:r>
      <w:r>
        <w:rPr>
          <w:rFonts w:ascii="Calibri" w:hAnsi="Calibri" w:cs="Calibri"/>
          <w:rtl w:val="true"/>
        </w:rPr>
        <w:t>היה הנאשם מיוצג 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ד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 גיל עשת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בשל </w:t>
      </w:r>
      <w:r>
        <w:rPr>
          <w:rFonts w:ascii="Calibri" w:hAnsi="Calibri" w:cs="Calibri"/>
          <w:rtl w:val="true"/>
        </w:rPr>
        <w:t>חילופי ייצוג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המועד שתואם לשימוע לא התקיים ו</w:t>
      </w:r>
      <w:r>
        <w:rPr>
          <w:rFonts w:ascii="Calibri" w:hAnsi="Calibri" w:cs="Calibri"/>
          <w:rtl w:val="true"/>
        </w:rPr>
        <w:t>תואם מועד חדש עם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אילן שדי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גם מועד זה </w:t>
      </w:r>
      <w:r>
        <w:rPr>
          <w:rFonts w:ascii="Calibri" w:hAnsi="Calibri" w:cs="Calibri"/>
          <w:rtl w:val="true"/>
        </w:rPr>
        <w:t xml:space="preserve">לא יצא לפועל בשל חילוקי דעות </w:t>
      </w:r>
      <w:r>
        <w:rPr>
          <w:rFonts w:ascii="Calibri" w:hAnsi="Calibri" w:cs="Calibri"/>
          <w:rtl w:val="true"/>
        </w:rPr>
        <w:t>בין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שדי לבין המערער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 היה בכל אלה כדי לצאת ידי חובת השימוע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אך למרות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התקיימה ישיבת שימוע ביום </w:t>
      </w:r>
      <w:r>
        <w:rPr>
          <w:rFonts w:cs="Calibri" w:ascii="Calibri" w:hAnsi="Calibri"/>
        </w:rPr>
        <w:t>4.8.2015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המערער היה מיוצג באותה עת על ידי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יוספה טפיירו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איני סבור כי זמן של שעתיים וחצי לצורך שימוע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נחשב כשימוע 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 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 השתלשלות הדברים כמתואר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ברי כי ככל שנפל פגם בהליך השימוע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ואיני סבור כי נפל פגם כלשהו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אין מקום בשלב זה לדון בטענה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היסטורית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שההליך מוצה עד תום משך שבע שנים בערכאה הדיונית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שהמערער מערים קשיים בהתנהלותו על בירור התיק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קנוניה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שחיתויות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לרדיפה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קונספירציה</w:t>
      </w:r>
      <w:r>
        <w:rPr>
          <w:rFonts w:cs="Miriam" w:ascii="Century" w:hAnsi="Century"/>
          <w:b/>
          <w:spacing w:val="0"/>
          <w:szCs w:val="24"/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תיקים</w:t>
      </w:r>
      <w:r>
        <w:rPr>
          <w:rFonts w:cs="Calibri" w:ascii="Calibri" w:hAnsi="Calibri"/>
          <w:rtl w:val="true"/>
        </w:rPr>
        <w:t xml:space="preserve">": </w:t>
      </w:r>
      <w:r>
        <w:rPr>
          <w:rFonts w:ascii="Calibri" w:hAnsi="Calibri" w:cs="Calibri"/>
          <w:rtl w:val="true"/>
        </w:rPr>
        <w:t>המדובר בטענות בעלמא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טענות חסרות בסיס ותשתית עובדתית כלשהי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שהועלו על ידי המערער גם בעתירות שונות שהגיש ואשר נזכרו לעיל </w:t>
      </w:r>
      <w:r>
        <w:rPr>
          <w:rFonts w:cs="Calibri" w:ascii="Calibri" w:hAnsi="Calibri"/>
          <w:rtl w:val="true"/>
        </w:rPr>
        <w:t>(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ץ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732/17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;</w:t>
        </w:r>
      </w:hyperlink>
      <w:r>
        <w:rPr>
          <w:rFonts w:cs="Calibri" w:ascii="Calibri" w:hAnsi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ץ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7836/14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איני רואה להידרש לטענת המערער כי לא התאפשר לו להעיד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עדי מפתח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 מהעד קמרון וכלה בראש השב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ומפכ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המשטרה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סכסוך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זו למעשה הטענה היחידה שהעלה המערער לגופה של הכרעת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היא מתייחסת לאישום הראשון 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 בסכסוך אזרחי בינו לבין רשויות המס שלא היה אמור כלל להתגבש לכתב 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לא היה אמור להעביר את הכספים שגבה לרשות המיסים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 שטרם הגיע המועד לכך על פי ההסכם בו התקשרו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כך שמדובר בשכר טרחה או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מקדמה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על חשבון שכר טרחה המגיע לו</w:t>
      </w:r>
      <w:r>
        <w:rPr>
          <w:rFonts w:cs="Calibri" w:ascii="Calibri" w:hAnsi="Calibri"/>
          <w:rtl w:val="true"/>
        </w:rPr>
        <w:t>.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לטענה זו אין כל 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 עומדת בניגוד לכל הראיות שהובאו והעדויות שנשמעו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סעיף </w:t>
      </w:r>
      <w:r>
        <w:rPr>
          <w:rFonts w:cs="Calibri" w:ascii="Calibri" w:hAnsi="Calibri"/>
        </w:rPr>
        <w:t>10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להסכם קובע כי המערער מתחייב </w:t>
      </w:r>
      <w:r>
        <w:rPr>
          <w:rFonts w:ascii="Arial" w:hAnsi="Arial" w:cs="Arial"/>
          <w:rtl w:val="true"/>
          <w:lang w:eastAsia="he-IL"/>
        </w:rPr>
        <w:t>להעביר את כספי המימוש לאחראי בניכוי שכר טרחתו</w:t>
      </w:r>
      <w:r>
        <w:rPr>
          <w:rFonts w:cs="Arial" w:ascii="Arial" w:hAnsi="Arial"/>
          <w:rtl w:val="true"/>
          <w:lang w:eastAsia="he-IL"/>
        </w:rPr>
        <w:t>: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למשוך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לטובת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האגף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ע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הכספים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גבה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בניכוי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טרחתו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בכפוף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cs="Miriam" w:ascii="Century" w:hAnsi="Century"/>
          <w:b/>
          <w:spacing w:val="0"/>
          <w:szCs w:val="24"/>
          <w:lang w:eastAsia="he-IL"/>
        </w:rPr>
        <w:t>11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להלן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ולמסור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השיק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האחראי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ליומיים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סיום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הפעולות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בתיק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>".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המערער סיים את הטיפול בתיקים כאשר מימש את הנכסים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במקום להעביר את הכסף לרשות המיסים בניכוי שכר טרחתו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הכספים נמשכו לחשבונותיו הפרטיים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לא למותר לציין כי המערער לא הציג כל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התחשבנות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בינו לבין רשות המיסים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שלשל את הכספים לכיסו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כפי שעשה באישומים </w:t>
      </w:r>
      <w:r>
        <w:rPr>
          <w:rFonts w:cs="Calibri" w:ascii="Calibri" w:hAnsi="Calibri"/>
        </w:rPr>
        <w:t>4-2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הגיעו דברים לידי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שהיו אלה רשמי ההוצאה לפועל ש</w:t>
      </w:r>
      <w:r>
        <w:rPr>
          <w:rFonts w:ascii="Calibri" w:hAnsi="Calibri" w:cs="Calibri"/>
          <w:rtl w:val="true"/>
        </w:rPr>
        <w:t>הפנו את עניינו של ה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ascii="Calibri" w:hAnsi="Calibri" w:cs="Calibri"/>
          <w:rtl w:val="true"/>
        </w:rPr>
        <w:t xml:space="preserve">למחלקה המשפטית של רשות האכיפה </w:t>
      </w:r>
      <w:r>
        <w:rPr>
          <w:rFonts w:ascii="Calibri" w:hAnsi="Calibri" w:cs="Calibri"/>
          <w:rtl w:val="true"/>
        </w:rPr>
        <w:t>והגבייה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שיבחנו אם יש מקום להעביר את הטיפול בנושא ל</w:t>
      </w:r>
      <w:r>
        <w:rPr>
          <w:rFonts w:ascii="Calibri" w:hAnsi="Calibri" w:cs="Calibri"/>
          <w:rtl w:val="true"/>
        </w:rPr>
        <w:t>חקירה משטרתית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לדוגמה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 את ערנותו של רשם ההוצאה לפועל דאז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ניר נחשון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שהורה למערער </w:t>
      </w:r>
      <w:r>
        <w:rPr>
          <w:rFonts w:ascii="Calibri" w:hAnsi="Calibri" w:cs="Calibri"/>
          <w:rtl w:val="true"/>
        </w:rPr>
        <w:t>להגיש 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חות כספיים בצירוף אסמכתאות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בעשרות תיקי מימוש נכסים בהיקף כספי העולה על מיליוני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למרות שהמערער מימש </w:t>
      </w:r>
      <w:r>
        <w:rPr>
          <w:rFonts w:ascii="Calibri" w:hAnsi="Calibri" w:cs="Calibri"/>
          <w:rtl w:val="true"/>
        </w:rPr>
        <w:t>בתיקים 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 הנכסים לפני שנים 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חרף החלטות שניתנו בנושא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המערער </w:t>
      </w:r>
      <w:r>
        <w:rPr>
          <w:rFonts w:ascii="Calibri" w:hAnsi="Calibri" w:cs="Calibri"/>
          <w:rtl w:val="true"/>
        </w:rPr>
        <w:t>לא הציג אסמכתאות לכספים המצויים בידיו בנאמנות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והרשם נחשון הביע תמיהה על 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החשדות כלפי המערער התעוררו לאחר שהלה סירב להמציא </w:t>
      </w:r>
      <w:r>
        <w:rPr>
          <w:rFonts w:ascii="Calibri" w:hAnsi="Calibri" w:cs="Calibri"/>
          <w:rtl w:val="true"/>
        </w:rPr>
        <w:t>אסמכתאות בנקאיות לרשות המסים ולרשמי ההוצ</w:t>
      </w:r>
      <w:r>
        <w:rPr>
          <w:rFonts w:ascii="Calibri" w:hAnsi="Calibri" w:cs="Calibri"/>
          <w:rtl w:val="true"/>
        </w:rPr>
        <w:t>אה לפועל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כך התגלגלה 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בראשיתה היתה חקירה סמויה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בעקבות צווים שניתנו לבנקים </w:t>
      </w:r>
      <w:r>
        <w:rPr>
          <w:rFonts w:ascii="Calibri" w:hAnsi="Calibri" w:cs="Calibri"/>
          <w:rtl w:val="true"/>
        </w:rPr>
        <w:t xml:space="preserve">גילו </w:t>
      </w:r>
      <w:r>
        <w:rPr>
          <w:rFonts w:ascii="Calibri" w:hAnsi="Calibri" w:cs="Calibri"/>
          <w:rtl w:val="true"/>
        </w:rPr>
        <w:t xml:space="preserve">החוקרים </w:t>
      </w:r>
      <w:r>
        <w:rPr>
          <w:rFonts w:ascii="Calibri" w:hAnsi="Calibri" w:cs="Calibri"/>
          <w:rtl w:val="true"/>
        </w:rPr>
        <w:t xml:space="preserve">כי בין השנים </w:t>
      </w:r>
      <w:r>
        <w:rPr>
          <w:rFonts w:cs="Calibri" w:ascii="Calibri" w:hAnsi="Calibri"/>
        </w:rPr>
        <w:t>2012-2003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המערער העביר </w:t>
      </w:r>
      <w:r>
        <w:rPr>
          <w:rFonts w:ascii="Calibri" w:hAnsi="Calibri" w:cs="Calibri"/>
          <w:rtl w:val="true"/>
        </w:rPr>
        <w:t>מחשבונות הנאמנות לחשבון משרדו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מיליון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alibri" w:hAnsi="Calibri" w:cs="Calibri"/>
          <w:b/>
          <w:spacing w:val="0"/>
          <w:szCs w:val="24"/>
        </w:rPr>
      </w:pPr>
      <w:r>
        <w:rPr>
          <w:rFonts w:cs="Calibri" w:ascii="Calibri" w:hAnsi="Calibri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פתחנו ואמרנו כי המערער לא תקף כמעט את ממצאי בית משפט קמא בכל הנוגע לגופם של אישומים ולגופן של ראיות ועדויות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בטענות של המערער לא מצאנו 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נמנע מלערער על גזר 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המערער הושת עונש כבד של תשע 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כפי שציין בית משפט קמא בגזר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חטא לתפקידו כנאמן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מעל באמון אזרחים פרטיים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ברשויות המדינה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נתנו בו מבטחם בעת ששימש ככונס נכסים</w:t>
      </w:r>
      <w:r>
        <w:rPr>
          <w:rFonts w:ascii="Century" w:hAnsi="Century" w:cs="Century"/>
          <w:rtl w:val="true"/>
        </w:rPr>
        <w:t xml:space="preserve"> ובכך </w:t>
      </w:r>
      <w:r>
        <w:rPr>
          <w:rFonts w:ascii="Calibri" w:hAnsi="Calibri" w:cs="Calibri"/>
          <w:rtl w:val="true"/>
        </w:rPr>
        <w:t xml:space="preserve">הפר את </w:t>
      </w:r>
      <w:r>
        <w:rPr>
          <w:rFonts w:ascii="Century" w:hAnsi="Century" w:cs="Century"/>
          <w:rtl w:val="true"/>
        </w:rPr>
        <w:t>האמון הבסיסי בין עורך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דין ללקוח</w:t>
      </w:r>
      <w:r>
        <w:rPr>
          <w:rFonts w:ascii="Century" w:hAnsi="Century" w:cs="Century"/>
          <w:rtl w:val="true"/>
        </w:rPr>
        <w:t xml:space="preserve"> על כל ההשלכות הכרוכות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יפים לענייננו הדברים הבאים שנאמרו בעניינו של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שסרח והושת עליו עונש מאסר של תשע שנים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משנה משקל יש לתת לכך שהמערער הוא עורך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שנאמנות ויושר אמורים להיות נר לרגליו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ללא שמירה על האמון הבסיסי בין עורך דין ללקוחו לא יוכל לסכון מקצוע עריכת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וחמור מכך – אנשים לא יוכלו לתת מבטחם בעורכי דין חרף הצורך להיזקק לשירותים משפטיים לשם הגנה על זכויותיהם</w:t>
      </w:r>
      <w:r>
        <w:rPr>
          <w:rFonts w:cs="Century" w:ascii="Century" w:hAnsi="Century"/>
          <w:rtl w:val="true"/>
        </w:rPr>
        <w:t>" (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1082/14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23.7.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1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ד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מינץ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הבריח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הכשירות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שמתמודדים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המתחייבת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eastAsia="Arial TUR" w:cs="Arial TUR"/>
          <w:sz w:val="22"/>
        </w:rPr>
      </w:pPr>
      <w:r>
        <w:rPr>
          <w:rFonts w:eastAsia="Arial TUR" w:cs="Arial TUR" w:ascii="Arial TUR" w:hAnsi="Arial TUR"/>
          <w:sz w:val="22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8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2.7.2023</w:t>
      </w:r>
      <w:r>
        <w:rPr>
          <w:rFonts w:cs="Century" w:ascii="Century" w:hAnsi="Century"/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22007980</w:t>
      </w:r>
      <w:r>
        <w:rPr>
          <w:sz w:val="16"/>
          <w:rtl w:val="true"/>
        </w:rPr>
        <w:t>_</w:t>
      </w:r>
      <w:r>
        <w:rPr>
          <w:sz w:val="16"/>
        </w:rPr>
        <w:t>E20.docx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54678313-798/22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798/22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דוד לוי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1">
    <w:name w:val="פיסקת רשימה1"/>
    <w:basedOn w:val="Normal"/>
    <w:qFormat/>
    <w:pPr>
      <w:overflowPunct w:val="true"/>
      <w:autoSpaceDE w:val="true"/>
      <w:spacing w:before="0" w:after="0"/>
      <w:ind w:hanging="0" w:start="720" w:end="0"/>
      <w:contextualSpacing/>
      <w:textAlignment w:val="auto"/>
    </w:pPr>
    <w:rPr>
      <w:rFonts w:ascii="David" w:hAnsi="David" w:cs="Davi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8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383" TargetMode="External"/><Relationship Id="rId6" Type="http://schemas.openxmlformats.org/officeDocument/2006/relationships/hyperlink" Target="http://www.nevo.co.il/law/70301/393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20.1" TargetMode="External"/><Relationship Id="rId9" Type="http://schemas.openxmlformats.org/officeDocument/2006/relationships/hyperlink" Target="http://www.nevo.co.il/law/84255/220.5" TargetMode="External"/><Relationship Id="rId10" Type="http://schemas.openxmlformats.org/officeDocument/2006/relationships/hyperlink" Target="http://www.nevo.co.il/law/70314" TargetMode="External"/><Relationship Id="rId11" Type="http://schemas.openxmlformats.org/officeDocument/2006/relationships/hyperlink" Target="http://www.nevo.co.il/law/70314/15.c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70" TargetMode="External"/><Relationship Id="rId14" Type="http://schemas.openxmlformats.org/officeDocument/2006/relationships/hyperlink" Target="http://www.nevo.co.il/law/74985" TargetMode="External"/><Relationship Id="rId15" Type="http://schemas.openxmlformats.org/officeDocument/2006/relationships/hyperlink" Target="http://www.nevo.co.il/law/70301/393" TargetMode="External"/><Relationship Id="rId16" Type="http://schemas.openxmlformats.org/officeDocument/2006/relationships/hyperlink" Target="http://www.nevo.co.il/law/70301/38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84255/220.1" TargetMode="External"/><Relationship Id="rId19" Type="http://schemas.openxmlformats.org/officeDocument/2006/relationships/hyperlink" Target="http://www.nevo.co.il/law/84255" TargetMode="External"/><Relationship Id="rId20" Type="http://schemas.openxmlformats.org/officeDocument/2006/relationships/hyperlink" Target="http://www.nevo.co.il/law/84255/220.5" TargetMode="External"/><Relationship Id="rId21" Type="http://schemas.openxmlformats.org/officeDocument/2006/relationships/hyperlink" Target="http://www.nevo.co.il/case/18676503" TargetMode="External"/><Relationship Id="rId22" Type="http://schemas.openxmlformats.org/officeDocument/2006/relationships/hyperlink" Target="http://www.nevo.co.il/case/23353996" TargetMode="External"/><Relationship Id="rId23" Type="http://schemas.openxmlformats.org/officeDocument/2006/relationships/hyperlink" Target="http://www.nevo.co.il/law/70314/15.c" TargetMode="External"/><Relationship Id="rId24" Type="http://schemas.openxmlformats.org/officeDocument/2006/relationships/hyperlink" Target="http://www.nevo.co.il/law/70314" TargetMode="External"/><Relationship Id="rId25" Type="http://schemas.openxmlformats.org/officeDocument/2006/relationships/hyperlink" Target="http://www.nevo.co.il/law/70301/34h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4903/170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case/6248885" TargetMode="External"/><Relationship Id="rId30" Type="http://schemas.openxmlformats.org/officeDocument/2006/relationships/hyperlink" Target="http://www.nevo.co.il/case/6887645" TargetMode="External"/><Relationship Id="rId31" Type="http://schemas.openxmlformats.org/officeDocument/2006/relationships/hyperlink" Target="http://www.nevo.co.il/case/20033619" TargetMode="External"/><Relationship Id="rId32" Type="http://schemas.openxmlformats.org/officeDocument/2006/relationships/hyperlink" Target="http://www.nevo.co.il/case/17931422" TargetMode="External"/><Relationship Id="rId33" Type="http://schemas.openxmlformats.org/officeDocument/2006/relationships/hyperlink" Target="http://www.nevo.co.il/case/17914645" TargetMode="External"/><Relationship Id="rId34" Type="http://schemas.openxmlformats.org/officeDocument/2006/relationships/hyperlink" Target="http://www.nevo.co.il/case/5716790" TargetMode="External"/><Relationship Id="rId35" Type="http://schemas.openxmlformats.org/officeDocument/2006/relationships/hyperlink" Target="http://www.nevo.co.il/case/6238583" TargetMode="External"/><Relationship Id="rId36" Type="http://schemas.openxmlformats.org/officeDocument/2006/relationships/hyperlink" Target="http://www.nevo.co.il/case/5696782" TargetMode="External"/><Relationship Id="rId37" Type="http://schemas.openxmlformats.org/officeDocument/2006/relationships/hyperlink" Target="http://www.nevo.co.il/case/5756456" TargetMode="External"/><Relationship Id="rId38" Type="http://schemas.openxmlformats.org/officeDocument/2006/relationships/hyperlink" Target="http://www.nevo.co.il/case/5691865" TargetMode="External"/><Relationship Id="rId39" Type="http://schemas.openxmlformats.org/officeDocument/2006/relationships/hyperlink" Target="http://www.nevo.co.il/case/6243138" TargetMode="External"/><Relationship Id="rId40" Type="http://schemas.openxmlformats.org/officeDocument/2006/relationships/hyperlink" Target="http://www.nevo.co.il/case/24263019" TargetMode="External"/><Relationship Id="rId41" Type="http://schemas.openxmlformats.org/officeDocument/2006/relationships/hyperlink" Target="http://www.nevo.co.il/case/25270716" TargetMode="External"/><Relationship Id="rId42" Type="http://schemas.openxmlformats.org/officeDocument/2006/relationships/hyperlink" Target="http://www.nevo.co.il/case/24493087" TargetMode="External"/><Relationship Id="rId43" Type="http://schemas.openxmlformats.org/officeDocument/2006/relationships/hyperlink" Target="http://www.nevo.co.il/case/5979806" TargetMode="External"/><Relationship Id="rId44" Type="http://schemas.openxmlformats.org/officeDocument/2006/relationships/hyperlink" Target="http://www.nevo.co.il/case/13041923" TargetMode="External"/><Relationship Id="rId45" Type="http://schemas.openxmlformats.org/officeDocument/2006/relationships/hyperlink" Target="http://www.nevo.co.il/case/26830309" TargetMode="External"/><Relationship Id="rId46" Type="http://schemas.openxmlformats.org/officeDocument/2006/relationships/hyperlink" Target="http://www.nevo.co.il/case/28396294" TargetMode="External"/><Relationship Id="rId47" Type="http://schemas.openxmlformats.org/officeDocument/2006/relationships/hyperlink" Target="http://www.nevo.co.il/case/6054993" TargetMode="External"/><Relationship Id="rId48" Type="http://schemas.openxmlformats.org/officeDocument/2006/relationships/hyperlink" Target="http://www.nevo.co.il/case/6249168" TargetMode="External"/><Relationship Id="rId49" Type="http://schemas.openxmlformats.org/officeDocument/2006/relationships/hyperlink" Target="http://www.nevo.co.il/case/22189161" TargetMode="External"/><Relationship Id="rId50" Type="http://schemas.openxmlformats.org/officeDocument/2006/relationships/hyperlink" Target="http://www.nevo.co.il/case/22189161" TargetMode="External"/><Relationship Id="rId51" Type="http://schemas.openxmlformats.org/officeDocument/2006/relationships/hyperlink" Target="http://www.nevo.co.il/case/18676503" TargetMode="External"/><Relationship Id="rId52" Type="http://schemas.openxmlformats.org/officeDocument/2006/relationships/hyperlink" Target="http://www.nevo.co.il/case/11303307" TargetMode="External"/><Relationship Id="rId53" Type="http://schemas.openxmlformats.org/officeDocument/2006/relationships/hyperlink" Target="https://supreme.court.gov.il/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2023-07-05T10:25:00Z</dcterms:created>
  <dc:creator>h4</dc:creator>
  <dc:description/>
  <cp:keywords/>
  <dc:language>en-IL</dc:language>
  <cp:lastModifiedBy>hofit</cp:lastModifiedBy>
  <cp:lastPrinted>2023-07-02T12:02:00Z</cp:lastPrinted>
  <dcterms:modified xsi:type="dcterms:W3CDTF">2023-07-05T10:25:00Z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לוי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18676503:2;23353996;6248885;6887645;20033619;17931422;17914645;5716790;6238583;5696782;5756456;5691865;6243138;24263019;25270716;24493087;5979806;13041923;26830309;28396294;6054993;6249168;22189161:2;11303307</vt:lpwstr>
  </property>
  <property fmtid="{D5CDD505-2E9C-101B-9397-08002B2CF9AE}" pid="9" name="CITY">
    <vt:lpwstr/>
  </property>
  <property fmtid="{D5CDD505-2E9C-101B-9397-08002B2CF9AE}" pid="10" name="DATE">
    <vt:lpwstr>20230702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ארז;ד' מינץ</vt:lpwstr>
  </property>
  <property fmtid="{D5CDD505-2E9C-101B-9397-08002B2CF9AE}" pid="14" name="LAWLISTTMP1">
    <vt:lpwstr>74985</vt:lpwstr>
  </property>
  <property fmtid="{D5CDD505-2E9C-101B-9397-08002B2CF9AE}" pid="15" name="LAWLISTTMP2">
    <vt:lpwstr>70301/393;383;034h</vt:lpwstr>
  </property>
  <property fmtid="{D5CDD505-2E9C-101B-9397-08002B2CF9AE}" pid="16" name="LAWLISTTMP3">
    <vt:lpwstr>84255/220.1;220.5</vt:lpwstr>
  </property>
  <property fmtid="{D5CDD505-2E9C-101B-9397-08002B2CF9AE}" pid="17" name="LAWLISTTMP4">
    <vt:lpwstr>70314/015.c</vt:lpwstr>
  </property>
  <property fmtid="{D5CDD505-2E9C-101B-9397-08002B2CF9AE}" pid="18" name="LAWLISTTMP5">
    <vt:lpwstr>74903/170</vt:lpwstr>
  </property>
  <property fmtid="{D5CDD505-2E9C-101B-9397-08002B2CF9AE}" pid="19" name="LAWYER">
    <vt:lpwstr>עמרי כהן;מתן לקר;אלברט (אבי) פרץ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דיון פלילי</vt:lpwstr>
  </property>
  <property fmtid="{D5CDD505-2E9C-101B-9397-08002B2CF9AE}" pid="34" name="NOSE14">
    <vt:lpwstr>דיון פלילי</vt:lpwstr>
  </property>
  <property fmtid="{D5CDD505-2E9C-101B-9397-08002B2CF9AE}" pid="35" name="NOSE15">
    <vt:lpwstr>דיון פלילי</vt:lpwstr>
  </property>
  <property fmtid="{D5CDD505-2E9C-101B-9397-08002B2CF9AE}" pid="36" name="NOSE16">
    <vt:lpwstr>דיון פלילי</vt:lpwstr>
  </property>
  <property fmtid="{D5CDD505-2E9C-101B-9397-08002B2CF9AE}" pid="37" name="NOSE17">
    <vt:lpwstr>עורכי-דין</vt:lpwstr>
  </property>
  <property fmtid="{D5CDD505-2E9C-101B-9397-08002B2CF9AE}" pid="38" name="NOSE18">
    <vt:lpwstr>עורכי-דין</vt:lpwstr>
  </property>
  <property fmtid="{D5CDD505-2E9C-101B-9397-08002B2CF9AE}" pid="39" name="NOSE19">
    <vt:lpwstr/>
  </property>
  <property fmtid="{D5CDD505-2E9C-101B-9397-08002B2CF9AE}" pid="40" name="NOSE1ID">
    <vt:lpwstr>77;77;18;18;18;18;78;78</vt:lpwstr>
  </property>
  <property fmtid="{D5CDD505-2E9C-101B-9397-08002B2CF9AE}" pid="41" name="NOSE21">
    <vt:lpwstr>אחריות פלילית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העמדה לדין</vt:lpwstr>
  </property>
  <property fmtid="{D5CDD505-2E9C-101B-9397-08002B2CF9AE}" pid="45" name="NOSE24">
    <vt:lpwstr>העמדה לדין</vt:lpwstr>
  </property>
  <property fmtid="{D5CDD505-2E9C-101B-9397-08002B2CF9AE}" pid="46" name="NOSE25">
    <vt:lpwstr>העמדה לדין</vt:lpwstr>
  </property>
  <property fmtid="{D5CDD505-2E9C-101B-9397-08002B2CF9AE}" pid="47" name="NOSE26">
    <vt:lpwstr>העמדה לדין</vt:lpwstr>
  </property>
  <property fmtid="{D5CDD505-2E9C-101B-9397-08002B2CF9AE}" pid="48" name="NOSE27">
    <vt:lpwstr>יחסי עורך-דין ולקוח</vt:lpwstr>
  </property>
  <property fmtid="{D5CDD505-2E9C-101B-9397-08002B2CF9AE}" pid="49" name="NOSE28">
    <vt:lpwstr>ייצוג</vt:lpwstr>
  </property>
  <property fmtid="{D5CDD505-2E9C-101B-9397-08002B2CF9AE}" pid="50" name="NOSE29">
    <vt:lpwstr/>
  </property>
  <property fmtid="{D5CDD505-2E9C-101B-9397-08002B2CF9AE}" pid="51" name="NOSE2ID">
    <vt:lpwstr>1428;1446;463;463;463;463;1464;1468</vt:lpwstr>
  </property>
  <property fmtid="{D5CDD505-2E9C-101B-9397-08002B2CF9AE}" pid="52" name="NOSE31">
    <vt:lpwstr>כשירות לעמוד לדין</vt:lpwstr>
  </property>
  <property fmtid="{D5CDD505-2E9C-101B-9397-08002B2CF9AE}" pid="53" name="NOSE310">
    <vt:lpwstr/>
  </property>
  <property fmtid="{D5CDD505-2E9C-101B-9397-08002B2CF9AE}" pid="54" name="NOSE32">
    <vt:lpwstr>מדיניות ענישה: עבירות שנעברו בידי עורך דין</vt:lpwstr>
  </property>
  <property fmtid="{D5CDD505-2E9C-101B-9397-08002B2CF9AE}" pid="55" name="NOSE33">
    <vt:lpwstr>נאשם שאינו מסוגל לעמוד לדין</vt:lpwstr>
  </property>
  <property fmtid="{D5CDD505-2E9C-101B-9397-08002B2CF9AE}" pid="56" name="NOSE34">
    <vt:lpwstr>תנאיה</vt:lpwstr>
  </property>
  <property fmtid="{D5CDD505-2E9C-101B-9397-08002B2CF9AE}" pid="57" name="NOSE35">
    <vt:lpwstr>אישור היועץ המשפטי לממשלה</vt:lpwstr>
  </property>
  <property fmtid="{D5CDD505-2E9C-101B-9397-08002B2CF9AE}" pid="58" name="NOSE36">
    <vt:lpwstr>חולה נפש</vt:lpwstr>
  </property>
  <property fmtid="{D5CDD505-2E9C-101B-9397-08002B2CF9AE}" pid="59" name="NOSE37">
    <vt:lpwstr>יחסי אמון</vt:lpwstr>
  </property>
  <property fmtid="{D5CDD505-2E9C-101B-9397-08002B2CF9AE}" pid="60" name="NOSE38">
    <vt:lpwstr>כשל בייצוג</vt:lpwstr>
  </property>
  <property fmtid="{D5CDD505-2E9C-101B-9397-08002B2CF9AE}" pid="61" name="NOSE39">
    <vt:lpwstr/>
  </property>
  <property fmtid="{D5CDD505-2E9C-101B-9397-08002B2CF9AE}" pid="62" name="NOSE3ID">
    <vt:lpwstr>8651;16252;3623;3628;3615;3621;9098;14470</vt:lpwstr>
  </property>
  <property fmtid="{D5CDD505-2E9C-101B-9397-08002B2CF9AE}" pid="63" name="PADIDATE">
    <vt:lpwstr>20230703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798</vt:lpwstr>
  </property>
  <property fmtid="{D5CDD505-2E9C-101B-9397-08002B2CF9AE}" pid="69" name="PROCYEAR">
    <vt:lpwstr>22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410120230702</vt:lpwstr>
  </property>
  <property fmtid="{D5CDD505-2E9C-101B-9397-08002B2CF9AE}" pid="73" name="TYPE_N_DATE">
    <vt:lpwstr>41020230702</vt:lpwstr>
  </property>
  <property fmtid="{D5CDD505-2E9C-101B-9397-08002B2CF9AE}" pid="74" name="VOLUME">
    <vt:lpwstr/>
  </property>
  <property fmtid="{D5CDD505-2E9C-101B-9397-08002B2CF9AE}" pid="75" name="WORDNUMPAGES">
    <vt:lpwstr>18</vt:lpwstr>
  </property>
</Properties>
</file>