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7989/17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דשקוב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45061-05-15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6.9.2017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22.3.2018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מססה</w:t>
            </w:r>
          </w:p>
        </w:tc>
      </w:tr>
    </w:tbl>
    <w:p>
      <w:pPr>
        <w:pStyle w:val="Ruller31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חלואה</w:t>
            </w:r>
          </w:p>
        </w:tc>
      </w:tr>
    </w:tbl>
    <w:p>
      <w:pPr>
        <w:pStyle w:val="Ruller31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64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1996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שיהוי ממושך בהגשת כתב אישום שנגרם בעטיה של התנהלות רשויות התביעה הוא שיקול רלוונטי במלאכת גזירת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ומשקלו ייקבע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למשך השיהוי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העבירה וטיבה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ותרומת הנאשם לעיכוב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מקום להקל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הקלה נוספת שהועמדה על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בעונשו של המערער נוכח השיהוי הניכר והבלתי מוסבר שנפל בהגשת כתב האישום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בחלוף למעלה משלוש שנים מיום הגשת הצהרת התובע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כתב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אישום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הגשתו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הרשעת המערער על יסוד הודאתו במסגרת הסדר טיעון בשתי עבירות של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בעבירת הפקרה אחרי פגיעה ובעבירת שיבוש מהלכי משפט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בגדרו הוטל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פסילה מלהחזיק או לקבל רישיון נהיגה למשך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מיום השחרור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על תנאי ופיצויים לנפגעי העבירה בסך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יצויין כי כתב האישום נגד המערער הוגש בחלוף למעלה משלוש שנים מיום הגשת הצהרת התובע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מכוון לחומרת העונש בעניין רכיבי המאסר בפועל ופסילת רישיון הנהיגה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חלקית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יכול להיות חולק על החומרה הגלומה במעשים שבהם הודה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 ענישה הולמת ומרתיעה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גרם בנהיגתו הרשלנית נזק כבד להולכי רגל שהלכו על המדרכה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הפגיעה הוא נמלט מהזירה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דיווח שרכבו נגנב טרם מועד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והדיח את חברתו למסור גרסה שקרית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אלו של ביצוע העבירות מצדיקות להטיל על המערער עונש של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סבור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בשים לב להיקף ההתערבות הנוהג של ערכאת הערעור בעונש שגזרה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הערעור דנא מגלה עילה להתערב במסקנה שלפיה היה מקום לסטות מהמלצת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מטעמים אלה לא נמצא להקל ברכיב בעונש הנוגע למשך תקופת פסילת רישיון הנהיגה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בנתון לכך שלא עומדות לחובתו עבירות תעבורה קודמות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נדחו טענות המערער שלפיהן יש להקל בעונשו נוכח היקף הראיות הדל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ברשות המשיבה להוכחת המעשים שיוחסו לו או בשל מחדלים שונים מצדה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שנפלו בחקירה ויש בהם כדי להחליש את התשתית הראייתית הקיימת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בעבירות נושא כתב האישום המתוקן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בסיס הודאתו בעובדותיו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משאלה הם פני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והערעור אינו מכוון להכרעת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להידרש לטענות במישור זה בשלב גזירת 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32"/>
          <w:szCs w:val="32"/>
        </w:rPr>
      </w:pPr>
      <w:r>
        <w:rPr>
          <w:spacing w:val="0"/>
          <w:sz w:val="24"/>
          <w:sz w:val="24"/>
          <w:szCs w:val="26"/>
          <w:rtl w:val="true"/>
        </w:rPr>
        <w:t>בצד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האמור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נוספת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השיהוי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הניכר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והבלתי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מוסבר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שנפל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בהגשת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נגדו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בחלוף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משלוש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הצהרת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התובע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כידוע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שיהוי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ממושך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בהגשת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בעטיה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התנהלות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רשויות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רלוונטי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במלאכת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ומשקלו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ייקבע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ומבלי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למצות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השיהוי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וטיבה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ותרומת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לעיכוב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הוחלט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להפחית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6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24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בניכוי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מעצרו</w:t>
      </w:r>
      <w:r>
        <w:rPr>
          <w:spacing w:val="0"/>
          <w:sz w:val="24"/>
          <w:szCs w:val="26"/>
          <w:rtl w:val="true"/>
        </w:rPr>
        <w:t>)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חלקי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יעמדו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בעינם</w:t>
      </w:r>
      <w:r>
        <w:rPr>
          <w:spacing w:val="0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Ruller31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pacing w:val="0"/>
          <w:sz w:val="28"/>
          <w:szCs w:val="24"/>
        </w:rPr>
      </w:pPr>
      <w:bookmarkStart w:id="13" w:name="Writer_Name"/>
      <w:bookmarkEnd w:id="13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pacing w:val="0"/>
          <w:sz w:val="28"/>
          <w:szCs w:val="24"/>
        </w:rPr>
      </w:pPr>
      <w:r>
        <w:rPr>
          <w:rFonts w:cs="Century" w:ascii="Century" w:hAnsi="Century"/>
          <w:spacing w:val="0"/>
          <w:sz w:val="28"/>
          <w:szCs w:val="24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ערעור על גזר הדין של בית המשפט המחוזי מרכז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לוד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שבגדרו הושת על המערער עונש של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פסילה מלהחזיק או לקבל</w:t>
      </w:r>
      <w:bookmarkStart w:id="16" w:name="Carmel"/>
      <w:bookmarkEnd w:id="16"/>
      <w:r>
        <w:rPr>
          <w:rFonts w:ascii="Century" w:hAnsi="Century" w:cs="Century"/>
          <w:rtl w:val="true"/>
        </w:rPr>
        <w:t xml:space="preserve"> רישיון נהיגה למשך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השחרור ממאסר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בתנאים שפורטו בגזר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ופיצויים לנפגעי העבירה בסך כולל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 xml:space="preserve">הורשע על יסוד הודאתו במסגרת הסדר טיעון בשתי עבירות של חבלה חמורה 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בעבירת הפקרה אחרי פגיעה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ובעבירת שיבוש מהלכי משפט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19.3.2012</w:t>
      </w:r>
      <w:r>
        <w:rPr>
          <w:rtl w:val="true"/>
        </w:rPr>
        <w:t xml:space="preserve"> </w:t>
      </w:r>
      <w:r>
        <w:rPr>
          <w:rtl w:val="true"/>
        </w:rPr>
        <w:t xml:space="preserve">עובר לשעה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נטל המערער תרופה המכילה אוקסיקונטין </w:t>
      </w:r>
      <w:r>
        <w:rPr>
          <w:rtl w:val="true"/>
        </w:rPr>
        <w:t>(</w:t>
      </w:r>
      <w:r>
        <w:rPr>
          <w:rtl w:val="true"/>
        </w:rPr>
        <w:t xml:space="preserve">המוגדר </w:t>
      </w:r>
      <w:r>
        <w:rPr>
          <w:rtl w:val="true"/>
        </w:rPr>
        <w:t>"</w:t>
      </w:r>
      <w:r>
        <w:rPr>
          <w:rtl w:val="true"/>
        </w:rPr>
        <w:t>סם מסוכן</w:t>
      </w:r>
      <w:r>
        <w:rPr>
          <w:rtl w:val="true"/>
        </w:rPr>
        <w:t xml:space="preserve">"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), </w:t>
      </w:r>
      <w:r>
        <w:rPr>
          <w:rtl w:val="true"/>
        </w:rPr>
        <w:t>מבלי שהיה בידו מרשם רופא תקף לנטילת התרופה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17:40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נהג המערער ברכב</w:t>
      </w:r>
      <w:r>
        <w:rPr>
          <w:rtl w:val="true"/>
        </w:rPr>
        <w:t xml:space="preserve">. </w:t>
      </w:r>
      <w:r>
        <w:rPr>
          <w:rtl w:val="true"/>
        </w:rPr>
        <w:t>המערער לא שם ליבו אל הדרך</w:t>
      </w:r>
      <w:r>
        <w:rPr>
          <w:rtl w:val="true"/>
        </w:rPr>
        <w:t xml:space="preserve">, </w:t>
      </w:r>
      <w:r>
        <w:rPr>
          <w:rtl w:val="true"/>
        </w:rPr>
        <w:t>סטה עם הרכב ימינה</w:t>
      </w:r>
      <w:r>
        <w:rPr>
          <w:rtl w:val="true"/>
        </w:rPr>
        <w:t xml:space="preserve">, </w:t>
      </w:r>
      <w:r>
        <w:rPr>
          <w:rtl w:val="true"/>
        </w:rPr>
        <w:t>עלה על המדרכה</w:t>
      </w:r>
      <w:r>
        <w:rPr>
          <w:rtl w:val="true"/>
        </w:rPr>
        <w:t xml:space="preserve">, </w:t>
      </w:r>
      <w:r>
        <w:rPr>
          <w:rtl w:val="true"/>
        </w:rPr>
        <w:t>ופגע עם קדמת הרכב בהולך רגל אחד</w:t>
      </w:r>
      <w:r>
        <w:rPr>
          <w:rtl w:val="true"/>
        </w:rPr>
        <w:t xml:space="preserve">, </w:t>
      </w:r>
      <w:r>
        <w:rPr>
          <w:rtl w:val="true"/>
        </w:rPr>
        <w:t>אשר מעצמת המכה ראשו נחבט בשמשת הרכב</w:t>
      </w:r>
      <w:r>
        <w:rPr>
          <w:rtl w:val="true"/>
        </w:rPr>
        <w:t xml:space="preserve">, </w:t>
      </w:r>
      <w:r>
        <w:rPr>
          <w:rtl w:val="true"/>
        </w:rPr>
        <w:t xml:space="preserve">וכן פגע בהולך רגל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הרגל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התאונה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כתוצאה מהתאונה נגרמו לאחד מהולכי הרגל שברים בברך</w:t>
      </w:r>
      <w:r>
        <w:rPr>
          <w:rtl w:val="true"/>
        </w:rPr>
        <w:t xml:space="preserve">, </w:t>
      </w:r>
      <w:r>
        <w:rPr>
          <w:rtl w:val="true"/>
        </w:rPr>
        <w:t>בשלוש צלעות ובעצם האף</w:t>
      </w:r>
      <w:r>
        <w:rPr>
          <w:rtl w:val="true"/>
        </w:rPr>
        <w:t xml:space="preserve">; </w:t>
      </w:r>
      <w:r>
        <w:rPr>
          <w:rtl w:val="true"/>
        </w:rPr>
        <w:t>ופצע מדמם בירך</w:t>
      </w:r>
      <w:r>
        <w:rPr>
          <w:rtl w:val="true"/>
        </w:rPr>
        <w:t xml:space="preserve">. </w:t>
      </w:r>
      <w:r>
        <w:rPr>
          <w:rtl w:val="true"/>
        </w:rPr>
        <w:t xml:space="preserve">עקב כך הוא אושפז למשך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נותח וקיבל שתי מנות דם</w:t>
      </w:r>
      <w:r>
        <w:rPr>
          <w:rtl w:val="true"/>
        </w:rPr>
        <w:t xml:space="preserve">. </w:t>
      </w:r>
      <w:r>
        <w:rPr>
          <w:rtl w:val="true"/>
        </w:rPr>
        <w:t>להולך הרגל האחר נגרמו שבר ברגל ובזרוע</w:t>
      </w:r>
      <w:r>
        <w:rPr>
          <w:rtl w:val="true"/>
        </w:rPr>
        <w:t xml:space="preserve">, </w:t>
      </w:r>
      <w:r>
        <w:rPr>
          <w:rtl w:val="true"/>
        </w:rPr>
        <w:t xml:space="preserve">בעקבותיהם אושפז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המערער המשיך בנסיעה למרחק של כ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עצר את הרכב ונמלט רגלית מהמקום</w:t>
      </w:r>
      <w:r>
        <w:rPr>
          <w:rtl w:val="true"/>
        </w:rPr>
        <w:t xml:space="preserve">. </w:t>
      </w:r>
      <w:r>
        <w:rPr>
          <w:rtl w:val="true"/>
        </w:rPr>
        <w:t xml:space="preserve">דקות ספורות לאחר מכן התקשר המערער למוקד המשטרה ודיווח כי הרכב נגנב וכי גילה על כך בשעה </w:t>
      </w:r>
      <w:r>
        <w:rPr/>
        <w:t>16:30</w:t>
      </w:r>
      <w:r>
        <w:rPr>
          <w:rtl w:val="true"/>
        </w:rPr>
        <w:t xml:space="preserve">. </w:t>
      </w:r>
      <w:r>
        <w:rPr>
          <w:rtl w:val="true"/>
        </w:rPr>
        <w:t>מאוחר יותר אף פנה לו</w:t>
      </w:r>
      <w:r>
        <w:rPr>
          <w:rtl w:val="true"/>
        </w:rPr>
        <w:t>.</w:t>
      </w:r>
      <w:r>
        <w:rPr>
          <w:rtl w:val="true"/>
        </w:rPr>
        <w:t>י</w:t>
      </w:r>
      <w:r>
        <w:rPr>
          <w:rtl w:val="true"/>
        </w:rPr>
        <w:t xml:space="preserve">., </w:t>
      </w:r>
      <w:r>
        <w:rPr>
          <w:rtl w:val="true"/>
        </w:rPr>
        <w:t>וביקש ממנה כי תמסור למשטרה שהם יצאו מביתו לפני התאונה ואז התפצלו דרכיהם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פנו השניים לתחנת המשטרה כדי שהמערער ידווח על גניבת הרכב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להשלמת התמונה יוער כי בסמוך לאירוע נעצר המערער ומעצרו הוארך כמה פעמים עד ליום </w:t>
      </w:r>
      <w:r>
        <w:rPr/>
        <w:t>29.3.2012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 </w:t>
      </w:r>
      <w:r>
        <w:rPr>
          <w:rtl w:val="true"/>
        </w:rPr>
        <w:t>להאריך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הצהרת</w:t>
      </w:r>
      <w:r>
        <w:rPr>
          <w:rtl w:val="true"/>
        </w:rPr>
        <w:t xml:space="preserve"> </w:t>
      </w:r>
      <w:r>
        <w:rPr>
          <w:rtl w:val="true"/>
        </w:rPr>
        <w:t>תובע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בכפר סבא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סגנית הנשיאה </w:t>
      </w:r>
      <w:r>
        <w:rPr>
          <w:rFonts w:ascii="Miriam" w:hAnsi="Miriam" w:cs="Miriam"/>
          <w:spacing w:val="0"/>
          <w:szCs w:val="24"/>
          <w:rtl w:val="true"/>
        </w:rPr>
        <w:t>ר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קרלינסקי</w:t>
      </w:r>
      <w:r>
        <w:rPr>
          <w:rtl w:val="true"/>
        </w:rPr>
        <w:t xml:space="preserve">) </w:t>
      </w:r>
      <w:r>
        <w:rPr>
          <w:rtl w:val="true"/>
        </w:rPr>
        <w:t>דחה את הבקשה והורה על שחרור המערער למעצר בית מלא</w:t>
      </w:r>
      <w:r>
        <w:rPr>
          <w:rtl w:val="true"/>
        </w:rPr>
        <w:t xml:space="preserve">, </w:t>
      </w:r>
      <w:r>
        <w:rPr>
          <w:rtl w:val="true"/>
        </w:rPr>
        <w:t>בתנאים שפורטו בהחלטה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3.4.2012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tl w:val="true"/>
        </w:rPr>
        <w:t xml:space="preserve"> </w:t>
      </w:r>
      <w:r>
        <w:rPr>
          <w:rtl w:val="true"/>
        </w:rPr>
        <w:t>להסיר</w:t>
      </w:r>
      <w:r>
        <w:rPr>
          <w:rtl w:val="true"/>
        </w:rPr>
        <w:t xml:space="preserve"> – </w:t>
      </w:r>
      <w:r>
        <w:rPr>
          <w:rtl w:val="true"/>
        </w:rPr>
        <w:t>בהסכמת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–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 </w:t>
      </w:r>
      <w:r>
        <w:rPr>
          <w:rtl w:val="true"/>
        </w:rPr>
        <w:t>המגבילים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איסור</w:t>
      </w:r>
      <w:r>
        <w:rPr>
          <w:rtl w:val="true"/>
        </w:rPr>
        <w:t xml:space="preserve"> </w:t>
      </w:r>
      <w:r>
        <w:rPr>
          <w:rtl w:val="true"/>
        </w:rPr>
        <w:t>יציאה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 </w:t>
      </w:r>
      <w:r>
        <w:rPr>
          <w:rtl w:val="true"/>
        </w:rPr>
        <w:t>נותרו</w:t>
      </w:r>
      <w:r>
        <w:rPr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). </w:t>
      </w:r>
      <w:r>
        <w:rPr>
          <w:rtl w:val="true"/>
        </w:rPr>
        <w:t>למעלה</w:t>
      </w:r>
      <w:r>
        <w:rPr>
          <w:rtl w:val="true"/>
        </w:rPr>
        <w:t xml:space="preserve"> </w:t>
      </w:r>
      <w:r>
        <w:rPr>
          <w:rtl w:val="true"/>
        </w:rPr>
        <w:t>משלוש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25.5.2015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המקורי</w:t>
      </w:r>
      <w:r>
        <w:rPr>
          <w:rtl w:val="true"/>
        </w:rPr>
        <w:t xml:space="preserve">)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tl w:val="true"/>
        </w:rPr>
        <w:t xml:space="preserve"> </w:t>
      </w:r>
      <w:r>
        <w:rPr/>
        <w:t>28.11.2016</w:t>
      </w:r>
      <w:r>
        <w:rPr>
          <w:rtl w:val="true"/>
        </w:rPr>
        <w:t xml:space="preserve"> </w:t>
      </w:r>
      <w:r>
        <w:rPr>
          <w:rtl w:val="true"/>
        </w:rPr>
        <w:t>הגישו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 </w:t>
      </w:r>
      <w:r>
        <w:rPr>
          <w:rtl w:val="true"/>
        </w:rPr>
        <w:t>לאשר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שעובדותיו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28.11.2016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שיוחסו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ברישת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בהסכמת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הורה בית המשפט על הכנת תסקיר שירות מבחן בעניינו של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tl w:val="true"/>
        </w:rPr>
        <w:t xml:space="preserve">). </w:t>
      </w:r>
      <w:r>
        <w:rPr>
          <w:rtl w:val="true"/>
        </w:rPr>
        <w:t>בתסקיר צוין בין היתר כי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 xml:space="preserve">עלה לארץ מאוזבקיסטן בשנת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 xml:space="preserve">והוא בעל השכלה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עם תום לימודיו התיכוניים</w:t>
      </w:r>
      <w:r>
        <w:rPr>
          <w:rtl w:val="true"/>
        </w:rPr>
        <w:t xml:space="preserve">, </w:t>
      </w:r>
      <w:r>
        <w:rPr>
          <w:rtl w:val="true"/>
        </w:rPr>
        <w:t>המשיך המערער ללימודי הנדסאי בתחום המכונות והמכנוטרוניקה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התגייס לשירות בצה</w:t>
      </w:r>
      <w:r>
        <w:rPr>
          <w:rtl w:val="true"/>
        </w:rPr>
        <w:t>"</w:t>
      </w:r>
      <w:r>
        <w:rPr>
          <w:rtl w:val="true"/>
        </w:rPr>
        <w:t>ל אולם השתחרר לדבריו על רקע אי התאמה</w:t>
      </w:r>
      <w:r>
        <w:rPr>
          <w:rtl w:val="true"/>
        </w:rPr>
        <w:t xml:space="preserve">, </w:t>
      </w:r>
      <w:r>
        <w:rPr>
          <w:rtl w:val="true"/>
        </w:rPr>
        <w:t>לאחר שנשא בעונש מאסר בכלא צבאי בגין עריקות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לאחר התאונה</w:t>
      </w:r>
      <w:r>
        <w:rPr>
          <w:rtl w:val="true"/>
        </w:rPr>
        <w:t xml:space="preserve">, </w:t>
      </w:r>
      <w:r>
        <w:rPr>
          <w:rtl w:val="true"/>
        </w:rPr>
        <w:t>נישא המערער ולזוג נולד ילד</w:t>
      </w:r>
      <w:r>
        <w:rPr>
          <w:rtl w:val="true"/>
        </w:rPr>
        <w:t xml:space="preserve">. </w:t>
      </w:r>
      <w:r>
        <w:rPr>
          <w:rtl w:val="true"/>
        </w:rPr>
        <w:t>כיום נמצא המערער בהליכי גירושין</w:t>
      </w:r>
      <w:r>
        <w:rPr>
          <w:rtl w:val="true"/>
        </w:rPr>
        <w:t xml:space="preserve">, </w:t>
      </w:r>
      <w:r>
        <w:rPr>
          <w:rtl w:val="true"/>
        </w:rPr>
        <w:t>בין היתר על רקע שינוי מצבו הכלכלי לרעה</w:t>
      </w:r>
      <w:r>
        <w:rPr>
          <w:rtl w:val="true"/>
        </w:rPr>
        <w:t xml:space="preserve">. </w:t>
      </w:r>
      <w:r>
        <w:rPr>
          <w:rtl w:val="true"/>
        </w:rPr>
        <w:t>לצד דברים אלה עמד שירות המבחן על כך שהמערער נעדר עבר פלילי או תעבורתי</w:t>
      </w:r>
      <w:r>
        <w:rPr>
          <w:rtl w:val="true"/>
        </w:rPr>
        <w:t xml:space="preserve">; </w:t>
      </w:r>
      <w:r>
        <w:rPr>
          <w:rtl w:val="true"/>
        </w:rPr>
        <w:t>ועל כך שהאחרון מקבל אחריות מלאה על ביצוע העבירות שיוחסו לו ומביע חרטה על מעשיו</w:t>
      </w:r>
      <w:r>
        <w:rPr>
          <w:rtl w:val="true"/>
        </w:rPr>
        <w:t xml:space="preserve">. </w:t>
      </w: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>התרשמות שירות המבחן הייתה כי המערער ניהל אורח חיים נורמטיבי ומתפקד טרם ביצוע העבירות</w:t>
      </w:r>
      <w:r>
        <w:rPr>
          <w:rtl w:val="true"/>
        </w:rPr>
        <w:t xml:space="preserve">; </w:t>
      </w:r>
      <w:r>
        <w:rPr>
          <w:rtl w:val="true"/>
        </w:rPr>
        <w:t>כי הוא נמצא בראשית דרכו התעסוקתית והמשפחתית</w:t>
      </w:r>
      <w:r>
        <w:rPr>
          <w:rtl w:val="true"/>
        </w:rPr>
        <w:t xml:space="preserve">; </w:t>
      </w:r>
      <w:r>
        <w:rPr>
          <w:rtl w:val="true"/>
        </w:rPr>
        <w:t>וכי מאסר בפועל צפוי להביא להידרדרות במצבו הנפשי של המערער</w:t>
      </w:r>
      <w:r>
        <w:rPr>
          <w:rtl w:val="true"/>
        </w:rPr>
        <w:t xml:space="preserve">, </w:t>
      </w:r>
      <w:r>
        <w:rPr>
          <w:rtl w:val="true"/>
        </w:rPr>
        <w:t>ולהפגישו עם אוכלוסייה שולית</w:t>
      </w:r>
      <w:r>
        <w:rPr>
          <w:rtl w:val="true"/>
        </w:rPr>
        <w:t xml:space="preserve">. </w:t>
      </w:r>
      <w:r>
        <w:rPr>
          <w:rtl w:val="true"/>
        </w:rPr>
        <w:t>בסופו של יום בא שירות המבחן בהמלצה להטיל על המערער עונש מאסר שירוצה בדרך של עבודות שירות</w:t>
      </w:r>
      <w:r>
        <w:rPr>
          <w:rtl w:val="true"/>
        </w:rPr>
        <w:t xml:space="preserve">; </w:t>
      </w:r>
      <w:r>
        <w:rPr>
          <w:rtl w:val="true"/>
        </w:rPr>
        <w:t>צו מבחן למשך שנה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תיבחן האפשרות לשלב את המערער במסגרת טיפולית ובהליך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 xml:space="preserve">"; </w:t>
      </w:r>
      <w:r>
        <w:rPr>
          <w:rtl w:val="true"/>
        </w:rPr>
        <w:t>תשלום פיצויים לנפגעי העבירה</w:t>
      </w:r>
      <w:r>
        <w:rPr>
          <w:rtl w:val="true"/>
        </w:rPr>
        <w:t xml:space="preserve">; </w:t>
      </w:r>
      <w:r>
        <w:rPr>
          <w:rtl w:val="true"/>
        </w:rPr>
        <w:t>מאסר על תנאי</w:t>
      </w:r>
      <w:r>
        <w:rPr>
          <w:rtl w:val="true"/>
        </w:rPr>
        <w:t xml:space="preserve">; </w:t>
      </w:r>
      <w:r>
        <w:rPr>
          <w:rtl w:val="true"/>
        </w:rPr>
        <w:t>ופסילה של רישיון הנהיגה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בגזר דין מיום </w:t>
      </w:r>
      <w:r>
        <w:rPr/>
        <w:t>6.9.2017</w:t>
      </w:r>
      <w:r>
        <w:rPr>
          <w:rtl w:val="true"/>
        </w:rPr>
        <w:t xml:space="preserve"> </w:t>
      </w:r>
      <w:r>
        <w:rPr>
          <w:rtl w:val="true"/>
        </w:rPr>
        <w:t xml:space="preserve">קבע בית המשפט כי מתחם העונש ההולם לעבירות שבהן הורשע המערער 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פסילת רישיון בת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ופיצוי לנפגעי העבירה</w:t>
      </w:r>
      <w:r>
        <w:rPr>
          <w:rtl w:val="true"/>
        </w:rPr>
        <w:t xml:space="preserve">. </w:t>
      </w:r>
      <w:r>
        <w:rPr>
          <w:rtl w:val="true"/>
        </w:rPr>
        <w:t>בית המשפט עמד על מדיניות הענישה הנוהגת במקרים דומים שעניינם הפקרה אחרי פגיעה וכן על נסיבות ביצוע העבירות במקרה דנן</w:t>
      </w:r>
      <w:r>
        <w:rPr>
          <w:rtl w:val="true"/>
        </w:rPr>
        <w:t xml:space="preserve">, </w:t>
      </w:r>
      <w:r>
        <w:rPr>
          <w:rtl w:val="true"/>
        </w:rPr>
        <w:t>ובהן הנזק הרב שנגרם לנפגעים בעקבות האירוע</w:t>
      </w:r>
      <w:r>
        <w:rPr>
          <w:rtl w:val="true"/>
        </w:rPr>
        <w:t xml:space="preserve">, </w:t>
      </w:r>
      <w:r>
        <w:rPr>
          <w:rtl w:val="true"/>
        </w:rPr>
        <w:t>אשר אך בנס לא הסתיים בתוצאה קטלנית</w:t>
      </w:r>
      <w:r>
        <w:rPr>
          <w:rtl w:val="true"/>
        </w:rPr>
        <w:t xml:space="preserve">; </w:t>
      </w:r>
      <w:r>
        <w:rPr>
          <w:rtl w:val="true"/>
        </w:rPr>
        <w:t xml:space="preserve">נהיגתו של המערער ברכב לאחר שימוש בתרופה ללא מרשם תקף </w:t>
      </w:r>
      <w:r>
        <w:rPr>
          <w:rtl w:val="true"/>
        </w:rPr>
        <w:t>(</w:t>
      </w:r>
      <w:r>
        <w:rPr>
          <w:rtl w:val="true"/>
        </w:rPr>
        <w:t>אף כי צוין שלא יוחסה למערער עבירה בעניין זה</w:t>
      </w:r>
      <w:r>
        <w:rPr>
          <w:rtl w:val="true"/>
        </w:rPr>
        <w:t xml:space="preserve">); </w:t>
      </w:r>
      <w:r>
        <w:rPr>
          <w:rtl w:val="true"/>
        </w:rPr>
        <w:t>ופעילותו המחושבת של המערער לשיבוש הליכי המשפט</w:t>
      </w:r>
      <w:r>
        <w:rPr>
          <w:rtl w:val="true"/>
        </w:rPr>
        <w:t xml:space="preserve">. </w:t>
      </w:r>
      <w:r>
        <w:rPr>
          <w:rtl w:val="true"/>
        </w:rPr>
        <w:t>לצורך קביעת העונש בתוך המתחם שקל בית המשפט לזכותו של המערער את עברו הנקי</w:t>
      </w:r>
      <w:r>
        <w:rPr>
          <w:rtl w:val="true"/>
        </w:rPr>
        <w:t xml:space="preserve">; </w:t>
      </w:r>
      <w:r>
        <w:rPr>
          <w:rtl w:val="true"/>
        </w:rPr>
        <w:t>את העובדה שקיבל אחריות על מעשיו</w:t>
      </w:r>
      <w:r>
        <w:rPr>
          <w:rtl w:val="true"/>
        </w:rPr>
        <w:t xml:space="preserve">; </w:t>
      </w:r>
      <w:r>
        <w:rPr>
          <w:rtl w:val="true"/>
        </w:rPr>
        <w:t>את השיהוי שנקטה המשיבה בהגשת כתב האישום</w:t>
      </w:r>
      <w:r>
        <w:rPr>
          <w:rtl w:val="true"/>
        </w:rPr>
        <w:t xml:space="preserve">, </w:t>
      </w:r>
      <w:r>
        <w:rPr>
          <w:rtl w:val="true"/>
        </w:rPr>
        <w:t>מבלי שהונח לכך הסבר על ידה</w:t>
      </w:r>
      <w:r>
        <w:rPr>
          <w:rtl w:val="true"/>
        </w:rPr>
        <w:t xml:space="preserve">; </w:t>
      </w:r>
      <w:r>
        <w:rPr>
          <w:rtl w:val="true"/>
        </w:rPr>
        <w:t>ואת הקושי הצפוי למערער ולבני משפחתו כתוצאה ממאסרו מאחורי סורג ובריח</w:t>
      </w:r>
      <w:r>
        <w:rPr>
          <w:rtl w:val="true"/>
        </w:rPr>
        <w:t xml:space="preserve">. </w:t>
      </w:r>
      <w:r>
        <w:rPr>
          <w:rtl w:val="true"/>
        </w:rPr>
        <w:t>בצד האמור בית המשפט ציין כי האחריות לעיכוב בהליכים מיום שהוגש כתב האישום רובצת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לפתחו של המערער</w:t>
      </w:r>
      <w:r>
        <w:rPr>
          <w:rtl w:val="true"/>
        </w:rPr>
        <w:t xml:space="preserve">. </w:t>
      </w:r>
      <w:r>
        <w:rPr>
          <w:rtl w:val="true"/>
        </w:rPr>
        <w:t>על רקע שיקולים אלה גזר בית המשפט על המערער את העונשים האמורים לעיל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25.9.2017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 המערער בקשה לעיכוב ביצוע עונש המאסר בפועל לבית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וזו נדחתה ביום </w:t>
      </w:r>
      <w:r>
        <w:rPr>
          <w:rFonts w:cs="Century" w:ascii="Century" w:hAnsi="Century"/>
        </w:rPr>
        <w:t>15.10.2017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15.11.2017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 כי מתחם העונש ההולם שקבע בית המשפט המחוזי חורג ממדיניות הענישה הנוהגת בעבירות דומות</w:t>
      </w:r>
      <w:r>
        <w:rPr>
          <w:rtl w:val="true"/>
        </w:rPr>
        <w:t xml:space="preserve">. </w:t>
      </w:r>
      <w:r>
        <w:rPr>
          <w:rtl w:val="true"/>
        </w:rPr>
        <w:t>לחלופין טוען המערער כי אף אם מתחם העונש ההולם שנקבע מוצדק</w:t>
      </w:r>
      <w:r>
        <w:rPr>
          <w:rtl w:val="true"/>
        </w:rPr>
        <w:t xml:space="preserve">, </w:t>
      </w:r>
      <w:r>
        <w:rPr>
          <w:rtl w:val="true"/>
        </w:rPr>
        <w:t>היה על בית המשפט לחרוג לקולה בגזירת עונשו בנסיבות העניין</w:t>
      </w:r>
      <w:r>
        <w:rPr>
          <w:rtl w:val="true"/>
        </w:rPr>
        <w:t xml:space="preserve">, </w:t>
      </w:r>
      <w:r>
        <w:rPr>
          <w:rtl w:val="true"/>
        </w:rPr>
        <w:t>נוכח שיקולי שיקום</w:t>
      </w:r>
      <w:r>
        <w:rPr>
          <w:rtl w:val="true"/>
        </w:rPr>
        <w:t xml:space="preserve">, </w:t>
      </w:r>
      <w:r>
        <w:rPr>
          <w:rtl w:val="true"/>
        </w:rPr>
        <w:t>כעולה מהמלצת תסקיר שירות המבחן כי יושת עליו עונש מאסר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המערער מוסיף וטוען כי לא ניתן משקל מספק לשיהוי הניכר מצד המשיבה בהגשת כתב האישום ולעינוי הדין שנגרם לו כתוצאה מכך</w:t>
      </w:r>
      <w:r>
        <w:rPr>
          <w:rtl w:val="true"/>
        </w:rPr>
        <w:t xml:space="preserve">; </w:t>
      </w:r>
      <w:r>
        <w:rPr>
          <w:rtl w:val="true"/>
        </w:rPr>
        <w:t>לטענותיו בדבר מחדלי חקירה</w:t>
      </w:r>
      <w:r>
        <w:rPr>
          <w:rtl w:val="true"/>
        </w:rPr>
        <w:t xml:space="preserve">;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בפרט בהינתן היקף הראיות הדל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שהיה ברשות המשיבה</w:t>
      </w:r>
      <w:r>
        <w:rPr>
          <w:rtl w:val="true"/>
        </w:rPr>
        <w:t xml:space="preserve">; </w:t>
      </w:r>
      <w:r>
        <w:rPr>
          <w:rtl w:val="true"/>
        </w:rPr>
        <w:t>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שהאירוע נושא כתב האישום הוא משום חריג בהתנהלותו</w:t>
      </w:r>
      <w:r>
        <w:rPr>
          <w:rtl w:val="true"/>
        </w:rPr>
        <w:t xml:space="preserve">; </w:t>
      </w:r>
      <w:r>
        <w:rPr>
          <w:rtl w:val="true"/>
        </w:rPr>
        <w:t>ולהתקדמות ההליכים האזרחיים לפיצוי נפגעי העבירה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סומכת את ידיה על 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המערער לא הניח עילה להתערבות במתחם העונש ההולם שקבע בית המשפט לעבירות שביצע המערער</w:t>
      </w:r>
      <w:r>
        <w:rPr>
          <w:rtl w:val="true"/>
        </w:rPr>
        <w:t xml:space="preserve">, </w:t>
      </w:r>
      <w:r>
        <w:rPr>
          <w:rtl w:val="true"/>
        </w:rPr>
        <w:t>כמו גם בעונש שהוטל במסגרתו</w:t>
      </w:r>
      <w:r>
        <w:rPr>
          <w:rtl w:val="true"/>
        </w:rPr>
        <w:t xml:space="preserve">. </w:t>
      </w:r>
      <w:r>
        <w:rPr>
          <w:rtl w:val="true"/>
        </w:rPr>
        <w:t>המשיבה מדגישה כי השיהוי שנפל בהגשת כתב האישום היה שיקול מרכזי להגיע להסדר טיעון עם המערער</w:t>
      </w:r>
      <w:r>
        <w:rPr>
          <w:rtl w:val="true"/>
        </w:rPr>
        <w:t xml:space="preserve">, </w:t>
      </w:r>
      <w:r>
        <w:rPr>
          <w:rtl w:val="true"/>
        </w:rPr>
        <w:t>במסגרתו הושמטו עבירות רבות מכתב האישום המקורי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לעניין אחרון זה ניתן משקל ראוי בגזר הדין</w:t>
      </w:r>
      <w:r>
        <w:rPr>
          <w:rtl w:val="true"/>
        </w:rPr>
        <w:t xml:space="preserve">, </w:t>
      </w:r>
      <w:r>
        <w:rPr>
          <w:rtl w:val="true"/>
        </w:rPr>
        <w:t>לצד יתר הנסיבות המאפיינות את המקרה דנן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הונח לפנינו תסקיר משלים מטעם שירות המבחן מיום </w:t>
      </w:r>
      <w:r>
        <w:rPr/>
        <w:t>19.3.2018</w:t>
      </w:r>
      <w:r>
        <w:rPr>
          <w:rtl w:val="true"/>
        </w:rPr>
        <w:t xml:space="preserve">, </w:t>
      </w:r>
      <w:r>
        <w:rPr>
          <w:rtl w:val="true"/>
        </w:rPr>
        <w:t xml:space="preserve">שממנו עולה כי המערער </w:t>
      </w:r>
      <w:r>
        <w:rPr>
          <w:rtl w:val="true"/>
        </w:rPr>
        <w:t>–</w:t>
      </w:r>
      <w:r>
        <w:rPr>
          <w:rtl w:val="true"/>
        </w:rPr>
        <w:t xml:space="preserve"> הנושא במאסרו בבית סוהר צלמון </w:t>
      </w:r>
      <w:r>
        <w:rPr>
          <w:rtl w:val="true"/>
        </w:rPr>
        <w:t>–</w:t>
      </w:r>
      <w:r>
        <w:rPr>
          <w:rtl w:val="true"/>
        </w:rPr>
        <w:t xml:space="preserve"> מפגין התנהגות תקינה וחיובית</w:t>
      </w:r>
      <w:r>
        <w:rPr>
          <w:rtl w:val="true"/>
        </w:rPr>
        <w:t xml:space="preserve">; </w:t>
      </w:r>
      <w:r>
        <w:rPr>
          <w:rtl w:val="true"/>
        </w:rPr>
        <w:t>משתתף בטיפול קבוצתי ופרטני בתחום עבירות התעבורה</w:t>
      </w:r>
      <w:r>
        <w:rPr>
          <w:rtl w:val="true"/>
        </w:rPr>
        <w:t xml:space="preserve">; </w:t>
      </w:r>
      <w:r>
        <w:rPr>
          <w:rtl w:val="true"/>
        </w:rPr>
        <w:t>ומעוניין בפגישה עם נפגעי העבירות כדי להביע את צערו ולבקש את סליחתם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צוין כי המערער מטיל ספק באשר למעורבותו בתאונה</w:t>
      </w:r>
      <w:r>
        <w:rPr>
          <w:rtl w:val="true"/>
        </w:rPr>
        <w:t xml:space="preserve">, </w:t>
      </w:r>
      <w:r>
        <w:rPr>
          <w:rtl w:val="true"/>
        </w:rPr>
        <w:t>וטוען כי הודה בעבירות שיוחסו לו במטרה להביא לסיום ההליך המשפטי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ששקלנו את נימוקי הערעור והאזנו לטיעוני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 xml:space="preserve">הגענו למסקנה כי יש לקבל את הערעור </w:t>
      </w:r>
      <w:r>
        <w:rPr>
          <w:rtl w:val="true"/>
        </w:rPr>
        <w:t>–</w:t>
      </w:r>
      <w:r>
        <w:rPr>
          <w:rtl w:val="true"/>
        </w:rPr>
        <w:t xml:space="preserve"> באופן חלקי </w:t>
      </w:r>
      <w:r>
        <w:rPr>
          <w:rtl w:val="true"/>
        </w:rPr>
        <w:t>–</w:t>
      </w:r>
      <w:r>
        <w:rPr>
          <w:rtl w:val="true"/>
        </w:rPr>
        <w:t xml:space="preserve"> ולהקל בעונשו של המערער כפי שיפורט להלן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 יכול להיות חולק על החומרה הגלומה במעשים שבהם הודה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המצדיקים ענישה הולמת ומרתיעה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2619/14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30.11.2014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17.7.2014</w:t>
      </w:r>
      <w:r>
        <w:rPr>
          <w:rFonts w:cs="Century" w:ascii="Century" w:hAnsi="Century"/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21.5.2013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המערער גרם בנהיגתו הרשלנית נזק כבד להולכי רגל שהלכו על המדרכה</w:t>
      </w:r>
      <w:r>
        <w:rPr>
          <w:rtl w:val="true"/>
        </w:rPr>
        <w:t xml:space="preserve">. </w:t>
      </w:r>
      <w:r>
        <w:rPr>
          <w:rtl w:val="true"/>
        </w:rPr>
        <w:t>לאחר הפגיעה הוא נמלט מהזירה</w:t>
      </w:r>
      <w:r>
        <w:rPr>
          <w:rtl w:val="true"/>
        </w:rPr>
        <w:t xml:space="preserve">; </w:t>
      </w:r>
      <w:r>
        <w:rPr>
          <w:rtl w:val="true"/>
        </w:rPr>
        <w:t>דיווח שרכבו נגנב טרם מועד התאונה</w:t>
      </w:r>
      <w:r>
        <w:rPr>
          <w:rtl w:val="true"/>
        </w:rPr>
        <w:t xml:space="preserve">; </w:t>
      </w:r>
      <w:r>
        <w:rPr>
          <w:rtl w:val="true"/>
        </w:rPr>
        <w:t>והדיח את חברתו למסור גרסה שקרית במשטרה</w:t>
      </w:r>
      <w:r>
        <w:rPr>
          <w:rtl w:val="true"/>
        </w:rPr>
        <w:t xml:space="preserve">. </w:t>
      </w:r>
      <w:r>
        <w:rPr>
          <w:rtl w:val="true"/>
        </w:rPr>
        <w:t>כבית המשפט המחוזי</w:t>
      </w:r>
      <w:r>
        <w:rPr>
          <w:rtl w:val="true"/>
        </w:rPr>
        <w:t xml:space="preserve">, </w:t>
      </w:r>
      <w:r>
        <w:rPr>
          <w:rtl w:val="true"/>
        </w:rPr>
        <w:t>אף אנו סבורים כי נסיבות אלו של ביצוע העבירות מצדיקות להטיל על המערער עונש של מאסר בפועל</w:t>
      </w:r>
      <w:r>
        <w:rPr>
          <w:rtl w:val="true"/>
        </w:rPr>
        <w:t xml:space="preserve">, </w:t>
      </w:r>
      <w:r>
        <w:rPr>
          <w:rtl w:val="true"/>
        </w:rPr>
        <w:t>ואיננו סבורים</w:t>
      </w:r>
      <w:r>
        <w:rPr>
          <w:rtl w:val="true"/>
        </w:rPr>
        <w:t xml:space="preserve">, </w:t>
      </w:r>
      <w:r>
        <w:rPr>
          <w:rtl w:val="true"/>
        </w:rPr>
        <w:t>בין היתר בשים לב להיקף ההתערבות הנוהג של ערכאת הערעור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>כי הערעור דנא מגלה עילה להתערב במסקנה שלפיה היה מקום לסטות מהמלצת שירות המבחן</w:t>
      </w:r>
      <w:r>
        <w:rPr>
          <w:rtl w:val="true"/>
        </w:rPr>
        <w:t xml:space="preserve">. </w:t>
      </w:r>
      <w:r>
        <w:rPr>
          <w:rtl w:val="true"/>
        </w:rPr>
        <w:t>מטעמים אלה לא ראינו להקל ברכיב בעונש הנוגע למשך תקופת פסילת רישיון הנהיגה של המערער</w:t>
      </w:r>
      <w:r>
        <w:rPr>
          <w:rtl w:val="true"/>
        </w:rPr>
        <w:t xml:space="preserve">, </w:t>
      </w:r>
      <w:r>
        <w:rPr>
          <w:rtl w:val="true"/>
        </w:rPr>
        <w:t>אף בנתון לכך שלא עומדות לחובתו עבירות תעבורה קודמות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יש לדחות את טענותיו של המערער שלפיהן יש להקל בעונשו נוכח היקף הראיות הדל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שהיה ברשות המשיבה להוכחת המעשים שיוחסו לו או בשל מחדלים שונים מצדה</w:t>
      </w:r>
      <w:r>
        <w:rPr>
          <w:rtl w:val="true"/>
        </w:rPr>
        <w:t xml:space="preserve">, </w:t>
      </w:r>
      <w:r>
        <w:rPr>
          <w:rtl w:val="true"/>
        </w:rPr>
        <w:t>שנפלו בחקירה ויש בהם כדי להחליש את התשתית הראייתית הקיימת נגדו</w:t>
      </w:r>
      <w:r>
        <w:rPr>
          <w:rtl w:val="true"/>
        </w:rPr>
        <w:t xml:space="preserve">. </w:t>
      </w:r>
      <w:r>
        <w:rPr>
          <w:rtl w:val="true"/>
        </w:rPr>
        <w:t>המערער הורשע בעבירות נושא כתב האישום המתוקן במסגרת הסדר טיעון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בעובדותיו</w:t>
      </w:r>
      <w:r>
        <w:rPr>
          <w:rtl w:val="true"/>
        </w:rPr>
        <w:t xml:space="preserve">. </w:t>
      </w:r>
      <w:r>
        <w:rPr>
          <w:rtl w:val="true"/>
        </w:rPr>
        <w:t>משאלה הם פני הדברים</w:t>
      </w:r>
      <w:r>
        <w:rPr>
          <w:rtl w:val="true"/>
        </w:rPr>
        <w:t xml:space="preserve">, </w:t>
      </w:r>
      <w:r>
        <w:rPr>
          <w:rtl w:val="true"/>
        </w:rPr>
        <w:t>והערעור שלפנינו אינו מכוון להכרעת הדין</w:t>
      </w:r>
      <w:r>
        <w:rPr>
          <w:rtl w:val="true"/>
        </w:rPr>
        <w:t xml:space="preserve">, </w:t>
      </w:r>
      <w:r>
        <w:rPr>
          <w:rtl w:val="true"/>
        </w:rPr>
        <w:t>אין מקום להידרש לטענות במישור זה בשלב גזירת עונשו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אנו סבורים כי יש מקום להקל </w:t>
      </w:r>
      <w:r>
        <w:rPr>
          <w:rtl w:val="true"/>
        </w:rPr>
        <w:t>–</w:t>
      </w:r>
      <w:r>
        <w:rPr>
          <w:rtl w:val="true"/>
        </w:rPr>
        <w:t xml:space="preserve"> הקלה נוספת </w:t>
      </w:r>
      <w:r>
        <w:rPr>
          <w:rtl w:val="true"/>
        </w:rPr>
        <w:t>–</w:t>
      </w:r>
      <w:r>
        <w:rPr>
          <w:rtl w:val="true"/>
        </w:rPr>
        <w:t xml:space="preserve"> בעונשו של המערער נוכח השיהוי הניכר והבלתי מוסבר שנפל בהגשת כתב האישום נגדו</w:t>
      </w:r>
      <w:r>
        <w:rPr>
          <w:rtl w:val="true"/>
        </w:rPr>
        <w:t xml:space="preserve">, </w:t>
      </w:r>
      <w:r>
        <w:rPr>
          <w:rtl w:val="true"/>
        </w:rPr>
        <w:t>בחלוף למעלה משלוש שנים מיום הגשת הצהרת התובע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שיהוי ממושך בהגשת כתב אישום שנגרם בעטיה של התנהלות רשויות התביעה הוא שיקול רלוונטי במלאכת גזירת הדין</w:t>
      </w:r>
      <w:r>
        <w:rPr>
          <w:rtl w:val="true"/>
        </w:rPr>
        <w:t xml:space="preserve">, </w:t>
      </w:r>
      <w:r>
        <w:rPr>
          <w:rtl w:val="true"/>
        </w:rPr>
        <w:t xml:space="preserve">ומשקלו ייקבע </w:t>
      </w:r>
      <w:r>
        <w:rPr>
          <w:rtl w:val="true"/>
        </w:rPr>
        <w:t>–</w:t>
      </w:r>
      <w:r>
        <w:rPr>
          <w:rtl w:val="true"/>
        </w:rPr>
        <w:t xml:space="preserve"> בין היתר ומבלי למצות </w:t>
      </w:r>
      <w:r>
        <w:rPr>
          <w:rtl w:val="true"/>
        </w:rPr>
        <w:t>–</w:t>
      </w:r>
      <w:r>
        <w:rPr>
          <w:rtl w:val="true"/>
        </w:rPr>
        <w:t xml:space="preserve"> בשים לב למשך השיהוי</w:t>
      </w:r>
      <w:r>
        <w:rPr>
          <w:rtl w:val="true"/>
        </w:rPr>
        <w:t xml:space="preserve">, </w:t>
      </w:r>
      <w:r>
        <w:rPr>
          <w:rtl w:val="true"/>
        </w:rPr>
        <w:t>חומרת העבירה וטיבה</w:t>
      </w:r>
      <w:r>
        <w:rPr>
          <w:rtl w:val="true"/>
        </w:rPr>
        <w:t xml:space="preserve">, </w:t>
      </w:r>
      <w:r>
        <w:rPr>
          <w:rtl w:val="true"/>
        </w:rPr>
        <w:t xml:space="preserve">ותרומת הנאשם לעיכוב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יחזקאל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16.3.2011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27.11.2008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ברי כי התקופה שחלפה בין הגשת הצהרת התובע לבין הגשת כתב האישום בסופו של יום הייתה ממושכת ביותר</w:t>
      </w:r>
      <w:r>
        <w:rPr>
          <w:rtl w:val="true"/>
        </w:rPr>
        <w:t xml:space="preserve">, </w:t>
      </w:r>
      <w:r>
        <w:rPr>
          <w:rtl w:val="true"/>
        </w:rPr>
        <w:t>וגם לפנינו לא הוצג טעם מניח את הדעת להתנהלות זו</w:t>
      </w:r>
      <w:r>
        <w:rPr>
          <w:rtl w:val="true"/>
        </w:rPr>
        <w:t xml:space="preserve">, </w:t>
      </w:r>
      <w:r>
        <w:rPr>
          <w:rtl w:val="true"/>
        </w:rPr>
        <w:t>הכרוכה מטבע הדברים בעינוי דין ניכר עבור המערער</w:t>
      </w:r>
      <w:r>
        <w:rPr>
          <w:rtl w:val="true"/>
        </w:rPr>
        <w:t xml:space="preserve">. </w:t>
      </w:r>
      <w:r>
        <w:rPr>
          <w:rtl w:val="true"/>
        </w:rPr>
        <w:t>מטעם זה ראינו לקבל את הערעור בחלקו ולהפחית את עונש המאסר בפועל שהושת על המערער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כך שעונשו יעמוד על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יתר חלקי גזר הדין יעמדו בעינם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Garamond"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ניתן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היום</w:t>
      </w:r>
      <w:r>
        <w:rPr>
          <w:rFonts w:cs="Garamond" w:ascii="Garamond" w:hAnsi="Garamond"/>
          <w:sz w:val="24"/>
          <w:rtl w:val="true"/>
        </w:rPr>
        <w:t>, ‏</w:t>
      </w:r>
      <w:r>
        <w:rPr>
          <w:rFonts w:ascii="Garamond" w:hAnsi="Garamond" w:cs="Garamond"/>
          <w:sz w:val="24"/>
          <w:sz w:val="24"/>
          <w:rtl w:val="true"/>
        </w:rPr>
        <w:t>ג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ascii="Garamond" w:hAnsi="Garamond" w:cs="Garamond"/>
          <w:sz w:val="24"/>
          <w:sz w:val="24"/>
          <w:rtl w:val="true"/>
        </w:rPr>
        <w:t>באייר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התשע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ח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(‏</w:t>
      </w:r>
      <w:r>
        <w:rPr>
          <w:rFonts w:cs="Garamond" w:ascii="Garamond" w:hAnsi="Garamond"/>
          <w:sz w:val="24"/>
        </w:rPr>
        <w:t>18.4.2018</w:t>
      </w:r>
      <w:r>
        <w:rPr>
          <w:rFonts w:cs="Garamond" w:ascii="Garamond" w:hAnsi="Garamond"/>
          <w:sz w:val="24"/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tabs>
                <w:tab w:val="left" w:pos="800" w:leader="none"/>
                <w:tab w:val="left" w:pos="1474" w:leader="none"/>
              </w:tabs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ab/>
              <w:tab/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17079890</w:t>
      </w:r>
      <w:r>
        <w:rPr>
          <w:sz w:val="16"/>
          <w:rtl w:val="true"/>
        </w:rPr>
        <w:t>_</w:t>
      </w:r>
      <w:r>
        <w:rPr>
          <w:sz w:val="16"/>
        </w:rPr>
        <w:t>M03.doc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54678313-7989/17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7989/17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פבל דשקוב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0713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64.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98568" TargetMode="External"/><Relationship Id="rId10" Type="http://schemas.openxmlformats.org/officeDocument/2006/relationships/hyperlink" Target="http://www.nevo.co.il/law/98568/17.d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5227/64.c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98568/17.d" TargetMode="External"/><Relationship Id="rId18" Type="http://schemas.openxmlformats.org/officeDocument/2006/relationships/hyperlink" Target="http://www.nevo.co.il/law/98568" TargetMode="External"/><Relationship Id="rId19" Type="http://schemas.openxmlformats.org/officeDocument/2006/relationships/hyperlink" Target="http://www.nevo.co.il/case/16900335" TargetMode="External"/><Relationship Id="rId20" Type="http://schemas.openxmlformats.org/officeDocument/2006/relationships/hyperlink" Target="http://www.nevo.co.il/case/11269763" TargetMode="External"/><Relationship Id="rId21" Type="http://schemas.openxmlformats.org/officeDocument/2006/relationships/hyperlink" Target="http://www.nevo.co.il/case/5603999" TargetMode="External"/><Relationship Id="rId22" Type="http://schemas.openxmlformats.org/officeDocument/2006/relationships/hyperlink" Target="http://www.nevo.co.il/case/5957372" TargetMode="External"/><Relationship Id="rId23" Type="http://schemas.openxmlformats.org/officeDocument/2006/relationships/hyperlink" Target="http://www.nevo.co.il/case/5917803" TargetMode="External"/><Relationship Id="rId24" Type="http://schemas.openxmlformats.org/officeDocument/2006/relationships/hyperlink" Target="http://www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2018-05-21T14:50:00Z</dcterms:created>
  <dc:creator> </dc:creator>
  <dc:description/>
  <cp:keywords/>
  <dc:language>en-IL</dc:language>
  <cp:lastModifiedBy>orly</cp:lastModifiedBy>
  <cp:lastPrinted>2018-04-18T10:40:00Z</cp:lastPrinted>
  <dcterms:modified xsi:type="dcterms:W3CDTF">2018-05-21T14:50:00Z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פבל דשקוב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20307135;16900335;11269763;5603999;5957372;5917803</vt:lpwstr>
  </property>
  <property fmtid="{D5CDD505-2E9C-101B-9397-08002B2CF9AE}" pid="9" name="CITY">
    <vt:lpwstr/>
  </property>
  <property fmtid="{D5CDD505-2E9C-101B-9397-08002B2CF9AE}" pid="10" name="DATE">
    <vt:lpwstr>20180418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מזוז;ג' קרא</vt:lpwstr>
  </property>
  <property fmtid="{D5CDD505-2E9C-101B-9397-08002B2CF9AE}" pid="14" name="LAWLISTTMP1">
    <vt:lpwstr>70301/333;244</vt:lpwstr>
  </property>
  <property fmtid="{D5CDD505-2E9C-101B-9397-08002B2CF9AE}" pid="15" name="LAWLISTTMP2">
    <vt:lpwstr>5227/064.c</vt:lpwstr>
  </property>
  <property fmtid="{D5CDD505-2E9C-101B-9397-08002B2CF9AE}" pid="16" name="LAWLISTTMP3">
    <vt:lpwstr>4216</vt:lpwstr>
  </property>
  <property fmtid="{D5CDD505-2E9C-101B-9397-08002B2CF9AE}" pid="17" name="LAWLISTTMP4">
    <vt:lpwstr>98568/017.d</vt:lpwstr>
  </property>
  <property fmtid="{D5CDD505-2E9C-101B-9397-08002B2CF9AE}" pid="18" name="LAWYER">
    <vt:lpwstr>ורד חלואה;דוד מססה;ברכה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77;18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כתב-אישום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1446;482</vt:lpwstr>
  </property>
  <property fmtid="{D5CDD505-2E9C-101B-9397-08002B2CF9AE}" pid="51" name="NOSE31">
    <vt:lpwstr>מדיניות ענישה: שיקולים לקולה</vt:lpwstr>
  </property>
  <property fmtid="{D5CDD505-2E9C-101B-9397-08002B2CF9AE}" pid="52" name="NOSE310">
    <vt:lpwstr/>
  </property>
  <property fmtid="{D5CDD505-2E9C-101B-9397-08002B2CF9AE}" pid="53" name="NOSE32">
    <vt:lpwstr>הגשתו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8996;3719</vt:lpwstr>
  </property>
  <property fmtid="{D5CDD505-2E9C-101B-9397-08002B2CF9AE}" pid="62" name="PADIDATE">
    <vt:lpwstr>20180422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7989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410120180418</vt:lpwstr>
  </property>
  <property fmtid="{D5CDD505-2E9C-101B-9397-08002B2CF9AE}" pid="72" name="TYPE_N_DATE">
    <vt:lpwstr>41020180418</vt:lpwstr>
  </property>
  <property fmtid="{D5CDD505-2E9C-101B-9397-08002B2CF9AE}" pid="73" name="VOLUME">
    <vt:lpwstr/>
  </property>
  <property fmtid="{D5CDD505-2E9C-101B-9397-08002B2CF9AE}" pid="74" name="WORDNUMPAGES">
    <vt:lpwstr>7</vt:lpwstr>
  </property>
</Properties>
</file>