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799/19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מ</w:t>
            </w:r>
            <w:r>
              <w:rPr>
                <w:rtl w:val="true"/>
              </w:rPr>
              <w:t xml:space="preserve">' </w:t>
            </w:r>
            <w:r>
              <w:rPr>
                <w:rtl w:val="true"/>
              </w:rPr>
              <w:t>מזוז</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bl>
    <w:p>
      <w:pPr>
        <w:pStyle w:val="Ruller31"/>
        <w:spacing w:lineRule="auto" w:line="240"/>
        <w:ind w:end="0"/>
        <w:jc w:val="start"/>
        <w:rPr>
          <w:rFonts w:cs="Miriam"/>
          <w:b/>
          <w:bCs/>
        </w:rPr>
      </w:pPr>
      <w:r>
        <w:rPr>
          <w:rFonts w:cs="Miriam"/>
          <w:b/>
          <w:bCs/>
          <w:rtl w:val="true"/>
        </w:rPr>
      </w:r>
      <w:bookmarkStart w:id="1" w:name="LastJudge"/>
      <w:bookmarkStart w:id="2" w:name="LastJudge"/>
      <w:bookmarkEnd w:id="2"/>
    </w:p>
    <w:p>
      <w:pPr>
        <w:pStyle w:val="Ruller31"/>
        <w:spacing w:lineRule="auto" w:line="240"/>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טגבו</w:t>
            </w:r>
            <w:r>
              <w:rPr>
                <w:rFonts w:cs="Times New Roman;Times New Roman"/>
                <w:rtl w:val="true"/>
              </w:rPr>
              <w:t xml:space="preserve"> </w:t>
            </w:r>
            <w:r>
              <w:rPr>
                <w:rtl w:val="true"/>
              </w:rPr>
              <w:t>צ</w:t>
            </w:r>
            <w:r>
              <w:rPr>
                <w:rtl w:val="true"/>
              </w:rPr>
              <w:t>'</w:t>
            </w:r>
            <w:r>
              <w:rPr>
                <w:rtl w:val="true"/>
              </w:rPr>
              <w:t>קול</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4960" w:type="dxa"/>
        <w:jc w:val="start"/>
        <w:tblInd w:w="359" w:type="dxa"/>
        <w:tblLayout w:type="fixed"/>
        <w:tblCellMar>
          <w:top w:w="0" w:type="dxa"/>
          <w:start w:w="108" w:type="dxa"/>
          <w:bottom w:w="0" w:type="dxa"/>
          <w:end w:w="108" w:type="dxa"/>
        </w:tblCellMar>
      </w:tblPr>
      <w:tblGrid>
        <w:gridCol w:w="4960"/>
      </w:tblGrid>
      <w:tr>
        <w:trPr/>
        <w:tc>
          <w:tcPr>
            <w:tcW w:w="4960"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sz w:val="24"/>
                <w:szCs w:val="24"/>
                <w:rtl w:val="true"/>
              </w:rPr>
              <w:t>-</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19.12.2018</w:t>
            </w:r>
            <w:r>
              <w:rPr>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השופטת</w:t>
            </w:r>
            <w:r>
              <w:rPr>
                <w:rFonts w:cs="Times New Roman;Times New Roman"/>
                <w:sz w:val="24"/>
                <w:sz w:val="24"/>
                <w:szCs w:val="24"/>
                <w:rtl w:val="true"/>
              </w:rPr>
              <w:t xml:space="preserve"> </w:t>
            </w:r>
            <w:r>
              <w:rPr>
                <w:rFonts w:ascii="Century" w:hAnsi="Century" w:cs="Miriam"/>
                <w:b/>
                <w:b/>
                <w:szCs w:val="22"/>
                <w:rtl w:val="true"/>
              </w:rPr>
              <w:t>ד</w:t>
            </w:r>
            <w:r>
              <w:rPr>
                <w:rFonts w:cs="Miriam" w:ascii="Century" w:hAnsi="Century"/>
                <w:b/>
                <w:szCs w:val="22"/>
                <w:rtl w:val="true"/>
              </w:rPr>
              <w:t xml:space="preserve">' </w:t>
            </w:r>
            <w:r>
              <w:rPr>
                <w:rFonts w:ascii="Century" w:hAnsi="Century" w:cs="Miriam"/>
                <w:b/>
                <w:b/>
                <w:szCs w:val="22"/>
                <w:rtl w:val="true"/>
              </w:rPr>
              <w:t>כהן</w:t>
            </w:r>
            <w:r>
              <w:rPr>
                <w:rFonts w:cs="Miriam" w:ascii="Century" w:hAnsi="Century"/>
                <w:b/>
                <w:szCs w:val="22"/>
                <w:rtl w:val="true"/>
              </w:rPr>
              <w:t>-</w:t>
            </w:r>
            <w:r>
              <w:rPr>
                <w:rFonts w:ascii="Century" w:hAnsi="Century" w:cs="Miriam"/>
                <w:b/>
                <w:b/>
                <w:szCs w:val="22"/>
                <w:rtl w:val="true"/>
              </w:rPr>
              <w:t>לקח</w:t>
            </w:r>
            <w:r>
              <w:rPr>
                <w:sz w:val="24"/>
                <w:szCs w:val="24"/>
                <w:rtl w:val="true"/>
              </w:rPr>
              <w:t>)</w:t>
            </w:r>
            <w:r>
              <w:rPr>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20423-03-18</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ז</w:t>
            </w:r>
            <w:r>
              <w:rPr>
                <w:sz w:val="24"/>
                <w:szCs w:val="24"/>
                <w:rtl w:val="true"/>
              </w:rPr>
              <w:t xml:space="preserve">' </w:t>
            </w:r>
            <w:r>
              <w:rPr>
                <w:sz w:val="24"/>
                <w:sz w:val="24"/>
                <w:szCs w:val="24"/>
                <w:rtl w:val="true"/>
              </w:rPr>
              <w:t>בסיון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10.06.2019</w:t>
            </w:r>
            <w:r>
              <w:rPr>
                <w:rtl w:val="true"/>
              </w:rPr>
              <w:t xml:space="preserve">) </w:t>
            </w:r>
          </w:p>
        </w:tc>
      </w:tr>
    </w:tbl>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52"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גבריאל</w:t>
            </w:r>
            <w:r>
              <w:rPr>
                <w:rFonts w:cs="Times New Roman;Times New Roman"/>
                <w:rtl w:val="true"/>
              </w:rPr>
              <w:t xml:space="preserve"> </w:t>
            </w:r>
            <w:r>
              <w:rPr>
                <w:rtl w:val="true"/>
              </w:rPr>
              <w:t>טרונישוילי</w:t>
            </w:r>
          </w:p>
        </w:tc>
      </w:tr>
    </w:tbl>
    <w:p>
      <w:pPr>
        <w:pStyle w:val="Ruller31"/>
        <w:spacing w:lineRule="auto" w:line="240"/>
        <w:ind w:end="0"/>
        <w:jc w:val="start"/>
        <w:rPr>
          <w:sz w:val="4"/>
          <w:szCs w:val="8"/>
        </w:rPr>
      </w:pPr>
      <w:r>
        <w:rPr>
          <w:sz w:val="4"/>
          <w:szCs w:val="8"/>
          <w:rtl w:val="true"/>
        </w:rPr>
      </w:r>
    </w:p>
    <w:p>
      <w:pPr>
        <w:pStyle w:val="Ruller31"/>
        <w:spacing w:lineRule="auto" w:line="240"/>
        <w:ind w:end="0"/>
        <w:jc w:val="start"/>
        <w:rPr>
          <w:sz w:val="4"/>
          <w:szCs w:val="8"/>
        </w:rPr>
      </w:pPr>
      <w:r>
        <w:rPr>
          <w:sz w:val="4"/>
          <w:szCs w:val="8"/>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שרית</w:t>
            </w:r>
            <w:r>
              <w:rPr>
                <w:rFonts w:cs="Times New Roman;Times New Roman"/>
                <w:rtl w:val="true"/>
              </w:rPr>
              <w:t xml:space="preserve"> </w:t>
            </w:r>
            <w:r>
              <w:rPr>
                <w:rtl w:val="true"/>
              </w:rPr>
              <w:t>משגב</w:t>
            </w:r>
          </w:p>
        </w:tc>
      </w:tr>
    </w:tbl>
    <w:p>
      <w:pPr>
        <w:pStyle w:val="Normal"/>
        <w:tabs>
          <w:tab w:val="clear" w:pos="720"/>
          <w:tab w:val="left" w:pos="2552" w:leader="none"/>
        </w:tabs>
        <w:ind w:end="0"/>
        <w:jc w:val="start"/>
        <w:rPr>
          <w:sz w:val="8"/>
          <w:szCs w:val="10"/>
        </w:rPr>
      </w:pPr>
      <w:r>
        <w:rPr>
          <w:sz w:val="8"/>
          <w:szCs w:val="10"/>
          <w:rtl w:val="true"/>
        </w:rPr>
      </w:r>
    </w:p>
    <w:p>
      <w:pPr>
        <w:pStyle w:val="Normal"/>
        <w:tabs>
          <w:tab w:val="clear" w:pos="720"/>
          <w:tab w:val="left" w:pos="2552" w:leader="none"/>
        </w:tabs>
        <w:ind w:end="0"/>
        <w:jc w:val="start"/>
        <w:rPr>
          <w:sz w:val="8"/>
          <w:szCs w:val="10"/>
        </w:rPr>
      </w:pPr>
      <w:r>
        <w:rPr>
          <w:sz w:val="8"/>
          <w:szCs w:val="10"/>
          <w:rtl w:val="true"/>
        </w:rPr>
      </w:r>
    </w:p>
    <w:tbl>
      <w:tblPr>
        <w:bidiVisual w:val="true"/>
        <w:tblW w:w="8363" w:type="dxa"/>
        <w:jc w:val="start"/>
        <w:tblInd w:w="138"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למבוגרים</w:t>
            </w:r>
            <w:r>
              <w:rPr>
                <w:rtl w:val="true"/>
              </w:rPr>
              <w:t>:</w:t>
            </w:r>
          </w:p>
        </w:tc>
        <w:tc>
          <w:tcPr>
            <w:tcW w:w="5146" w:type="dxa"/>
            <w:tcBorders/>
          </w:tcPr>
          <w:p>
            <w:pPr>
              <w:pStyle w:val="BodyRuller1"/>
              <w:snapToGrid w:val="false"/>
              <w:ind w:end="0"/>
              <w:jc w:val="start"/>
              <w:rPr/>
            </w:pPr>
            <w:r>
              <w:rPr>
                <w:rtl w:val="true"/>
              </w:rPr>
            </w:r>
          </w:p>
          <w:p>
            <w:pPr>
              <w:pStyle w:val="BodyRuller1"/>
              <w:ind w:end="0"/>
              <w:jc w:val="start"/>
              <w:rPr/>
            </w:pPr>
            <w:r>
              <w:rPr>
                <w:rtl w:val="true"/>
              </w:rPr>
              <w:t>גב</w:t>
            </w:r>
            <w:r>
              <w:rPr>
                <w:rtl w:val="true"/>
              </w:rPr>
              <w:t xml:space="preserve">' </w:t>
            </w:r>
            <w:r>
              <w:rPr>
                <w:rtl w:val="true"/>
              </w:rPr>
              <w:t>ברכה</w:t>
            </w:r>
            <w:r>
              <w:rPr>
                <w:rFonts w:cs="Times New Roman;Times New Roman"/>
                <w:rtl w:val="true"/>
              </w:rPr>
              <w:t xml:space="preserve"> </w:t>
            </w:r>
            <w:r>
              <w:rPr>
                <w:rtl w:val="true"/>
              </w:rPr>
              <w:t>וייס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Tahoma" w:hAnsi="FrankRuehl;Tahoma" w:cs="FrankRuehl;Tahoma"/>
          <w:sz w:val="24"/>
        </w:rPr>
      </w:pPr>
      <w:r>
        <w:rPr>
          <w:rFonts w:cs="FrankRuehl;Tahoma" w:ascii="FrankRuehl;Tahoma" w:hAnsi="FrankRuehl;Tahoma"/>
          <w:sz w:val="24"/>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Tahoma" w:hAnsi="FrankRuehl;Tahoma" w:cs="FrankRuehl;Tahoma"/>
          <w:sz w:val="24"/>
        </w:rPr>
      </w:pPr>
      <w:r>
        <w:rPr>
          <w:rFonts w:ascii="FrankRuehl;Tahoma" w:hAnsi="FrankRuehl;Tahoma" w:cs="FrankRuehl;Tahoma"/>
          <w:sz w:val="24"/>
          <w:sz w:val="24"/>
          <w:rtl w:val="true"/>
        </w:rPr>
        <w:t>חקיקה שאוזכרה</w:t>
      </w:r>
      <w:r>
        <w:rPr>
          <w:rFonts w:cs="FrankRuehl;Tahoma" w:ascii="FrankRuehl;Tahoma" w:hAnsi="FrankRuehl;Tahoma"/>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ahoma" w:hAnsi="FrankRuehl;Tahoma" w:cs="FrankRuehl;Tahoma"/>
          <w:sz w:val="24"/>
        </w:rPr>
      </w:pPr>
      <w:hyperlink r:id="rId3">
        <w:r>
          <w:rPr>
            <w:rStyle w:val="Hyperlink"/>
            <w:rFonts w:ascii="FrankRuehl;Tahoma" w:hAnsi="FrankRuehl;Tahoma" w:cs="FrankRuehl;Tahoma"/>
            <w:color w:val="0000FF"/>
            <w:sz w:val="24"/>
            <w:sz w:val="24"/>
            <w:u w:val="single"/>
            <w:rtl w:val="true"/>
          </w:rPr>
          <w:t>חוק העונשין</w:t>
        </w:r>
        <w:r>
          <w:rPr>
            <w:rStyle w:val="Hyperlink"/>
            <w:rFonts w:cs="FrankRuehl;Tahoma" w:ascii="FrankRuehl;Tahoma" w:hAnsi="FrankRuehl;Tahoma"/>
            <w:color w:val="0000FF"/>
            <w:sz w:val="24"/>
            <w:u w:val="single"/>
            <w:rtl w:val="true"/>
          </w:rPr>
          <w:t xml:space="preserve">, </w:t>
        </w:r>
        <w:r>
          <w:rPr>
            <w:rStyle w:val="Hyperlink"/>
            <w:rFonts w:ascii="FrankRuehl;Tahoma" w:hAnsi="FrankRuehl;Tahoma" w:cs="FrankRuehl;Tahoma"/>
            <w:color w:val="0000FF"/>
            <w:sz w:val="24"/>
            <w:sz w:val="24"/>
            <w:u w:val="single"/>
            <w:rtl w:val="true"/>
          </w:rPr>
          <w:t>תשל</w:t>
        </w:r>
        <w:r>
          <w:rPr>
            <w:rStyle w:val="Hyperlink"/>
            <w:rFonts w:cs="FrankRuehl;Tahoma" w:ascii="FrankRuehl;Tahoma" w:hAnsi="FrankRuehl;Tahoma"/>
            <w:color w:val="0000FF"/>
            <w:sz w:val="24"/>
            <w:u w:val="single"/>
            <w:rtl w:val="true"/>
          </w:rPr>
          <w:t>"</w:t>
        </w:r>
        <w:r>
          <w:rPr>
            <w:rStyle w:val="Hyperlink"/>
            <w:rFonts w:ascii="FrankRuehl;Tahoma" w:hAnsi="FrankRuehl;Tahoma" w:cs="FrankRuehl;Tahoma"/>
            <w:color w:val="0000FF"/>
            <w:sz w:val="24"/>
            <w:sz w:val="24"/>
            <w:u w:val="single"/>
            <w:rtl w:val="true"/>
          </w:rPr>
          <w:t>ז</w:t>
        </w:r>
        <w:r>
          <w:rPr>
            <w:rStyle w:val="Hyperlink"/>
            <w:rFonts w:cs="FrankRuehl;Tahoma" w:ascii="FrankRuehl;Tahoma" w:hAnsi="FrankRuehl;Tahoma"/>
            <w:color w:val="0000FF"/>
            <w:sz w:val="24"/>
            <w:u w:val="single"/>
            <w:rtl w:val="true"/>
          </w:rPr>
          <w:t>-</w:t>
        </w:r>
        <w:r>
          <w:rPr>
            <w:rStyle w:val="Hyperlink"/>
            <w:rFonts w:cs="FrankRuehl;Tahoma" w:ascii="FrankRuehl;Tahoma" w:hAnsi="FrankRuehl;Tahoma"/>
            <w:color w:val="0000FF"/>
            <w:sz w:val="24"/>
            <w:u w:val="single"/>
          </w:rPr>
          <w:t>1977</w:t>
        </w:r>
      </w:hyperlink>
      <w:r>
        <w:rPr>
          <w:rFonts w:cs="FrankRuehl;Tahoma" w:ascii="FrankRuehl;Tahoma" w:hAnsi="FrankRuehl;Tahoma"/>
          <w:sz w:val="24"/>
          <w:rtl w:val="true"/>
        </w:rPr>
        <w:t xml:space="preserve">: </w:t>
      </w:r>
      <w:r>
        <w:rPr>
          <w:rFonts w:ascii="FrankRuehl;Tahoma" w:hAnsi="FrankRuehl;Tahoma" w:cs="FrankRuehl;Tahoma"/>
          <w:sz w:val="24"/>
          <w:sz w:val="24"/>
          <w:rtl w:val="true"/>
        </w:rPr>
        <w:t>סע</w:t>
      </w:r>
      <w:r>
        <w:rPr>
          <w:rFonts w:cs="FrankRuehl;Tahoma" w:ascii="FrankRuehl;Tahoma" w:hAnsi="FrankRuehl;Tahoma"/>
          <w:sz w:val="24"/>
          <w:rtl w:val="true"/>
        </w:rPr>
        <w:t xml:space="preserve">'  </w:t>
      </w:r>
      <w:hyperlink r:id="rId4">
        <w:r>
          <w:rPr>
            <w:rStyle w:val="Hyperlink"/>
            <w:rFonts w:cs="FrankRuehl;Tahoma" w:ascii="FrankRuehl;Tahoma" w:hAnsi="FrankRuehl;Tahoma"/>
            <w:color w:val="0000FF"/>
            <w:sz w:val="24"/>
            <w:u w:val="single"/>
          </w:rPr>
          <w:t>34</w:t>
        </w:r>
        <w:r>
          <w:rPr>
            <w:rStyle w:val="Hyperlink"/>
            <w:rFonts w:ascii="FrankRuehl;Tahoma" w:hAnsi="FrankRuehl;Tahoma" w:cs="FrankRuehl;Tahoma"/>
            <w:color w:val="0000FF"/>
            <w:sz w:val="24"/>
            <w:sz w:val="24"/>
            <w:u w:val="single"/>
            <w:rtl w:val="true"/>
          </w:rPr>
          <w:t>ט</w:t>
        </w:r>
        <w:r>
          <w:rPr>
            <w:rStyle w:val="Hyperlink"/>
            <w:rFonts w:cs="FrankRuehl;Tahoma" w:ascii="FrankRuehl;Tahoma" w:hAnsi="FrankRuehl;Tahoma"/>
            <w:color w:val="0000FF"/>
            <w:sz w:val="24"/>
            <w:u w:val="single"/>
            <w:rtl w:val="true"/>
          </w:rPr>
          <w:t>(</w:t>
        </w:r>
        <w:r>
          <w:rPr>
            <w:rStyle w:val="Hyperlink"/>
            <w:rFonts w:ascii="FrankRuehl;Tahoma" w:hAnsi="FrankRuehl;Tahoma" w:cs="FrankRuehl;Tahoma"/>
            <w:color w:val="0000FF"/>
            <w:sz w:val="24"/>
            <w:sz w:val="24"/>
            <w:u w:val="single"/>
            <w:rtl w:val="true"/>
          </w:rPr>
          <w:t>ב</w:t>
        </w:r>
        <w:r>
          <w:rPr>
            <w:rStyle w:val="Hyperlink"/>
            <w:rFonts w:cs="FrankRuehl;Tahoma" w:ascii="FrankRuehl;Tahoma" w:hAnsi="FrankRuehl;Tahoma"/>
            <w:color w:val="0000FF"/>
            <w:sz w:val="24"/>
            <w:u w:val="single"/>
            <w:rtl w:val="true"/>
          </w:rPr>
          <w:t>)</w:t>
        </w:r>
      </w:hyperlink>
      <w:r>
        <w:rPr>
          <w:rFonts w:cs="FrankRuehl;Tahoma" w:ascii="FrankRuehl;Tahoma" w:hAnsi="FrankRuehl;Tahoma"/>
          <w:sz w:val="24"/>
          <w:rtl w:val="true"/>
        </w:rPr>
        <w:t xml:space="preserve">, </w:t>
      </w:r>
      <w:hyperlink r:id="rId5">
        <w:r>
          <w:rPr>
            <w:rStyle w:val="Hyperlink"/>
            <w:rFonts w:cs="FrankRuehl;Tahoma" w:ascii="FrankRuehl;Tahoma" w:hAnsi="FrankRuehl;Tahoma"/>
            <w:color w:val="0000FF"/>
            <w:sz w:val="24"/>
            <w:u w:val="single"/>
          </w:rPr>
          <w:t>329</w:t>
        </w:r>
        <w:r>
          <w:rPr>
            <w:rStyle w:val="Hyperlink"/>
            <w:rFonts w:cs="FrankRuehl;Tahoma" w:ascii="FrankRuehl;Tahoma" w:hAnsi="FrankRuehl;Tahoma"/>
            <w:color w:val="0000FF"/>
            <w:sz w:val="24"/>
            <w:u w:val="single"/>
            <w:rtl w:val="true"/>
          </w:rPr>
          <w:t>(</w:t>
        </w:r>
        <w:r>
          <w:rPr>
            <w:rStyle w:val="Hyperlink"/>
            <w:rFonts w:ascii="FrankRuehl;Tahoma" w:hAnsi="FrankRuehl;Tahoma" w:cs="FrankRuehl;Tahoma"/>
            <w:color w:val="0000FF"/>
            <w:sz w:val="24"/>
            <w:sz w:val="24"/>
            <w:u w:val="single"/>
            <w:rtl w:val="true"/>
          </w:rPr>
          <w:t>א</w:t>
        </w:r>
        <w:r>
          <w:rPr>
            <w:rStyle w:val="Hyperlink"/>
            <w:rFonts w:cs="FrankRuehl;Tahoma" w:ascii="FrankRuehl;Tahoma" w:hAnsi="FrankRuehl;Tahoma"/>
            <w:color w:val="0000FF"/>
            <w:sz w:val="24"/>
            <w:u w:val="single"/>
            <w:rtl w:val="true"/>
          </w:rPr>
          <w:t>)(</w:t>
        </w:r>
        <w:r>
          <w:rPr>
            <w:rStyle w:val="Hyperlink"/>
            <w:rFonts w:cs="FrankRuehl;Tahoma" w:ascii="FrankRuehl;Tahoma" w:hAnsi="FrankRuehl;Tahoma"/>
            <w:color w:val="0000FF"/>
            <w:sz w:val="24"/>
            <w:u w:val="single"/>
          </w:rPr>
          <w:t>1</w:t>
        </w:r>
        <w:r>
          <w:rPr>
            <w:rStyle w:val="Hyperlink"/>
            <w:rFonts w:cs="FrankRuehl;Tahoma" w:ascii="FrankRuehl;Tahoma" w:hAnsi="FrankRuehl;Tahoma"/>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Tahoma" w:hAnsi="FrankRuehl;Tahoma" w:cs="FrankRuehl;Tahoma"/>
          <w:sz w:val="24"/>
        </w:rPr>
      </w:pPr>
      <w:r>
        <w:rPr>
          <w:rFonts w:cs="FrankRuehl;Tahoma" w:ascii="FrankRuehl;Tahoma" w:hAnsi="FrankRuehl;Tahoma"/>
          <w:sz w:val="24"/>
          <w:rtl w:val="true"/>
        </w:rPr>
      </w:r>
      <w:bookmarkStart w:id="7" w:name="LawTable_End"/>
      <w:bookmarkStart w:id="8" w:name="LawTable_End"/>
      <w:bookmarkEnd w:id="8"/>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bookmarkStart w:id="9" w:name="ABSTRACT_START"/>
      <w:bookmarkEnd w:id="9"/>
      <w:r>
        <w:rPr>
          <w:rFonts w:ascii="Times New Roman;Times New Roman" w:hAnsi="Times New Roman;Times New Roman" w:cs="Times New Roman;Times New Roman"/>
          <w:spacing w:val="0"/>
          <w:szCs w:val="26"/>
          <w:rtl w:val="true"/>
        </w:rPr>
        <w:t>מיני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נדחה ערעור על גזר הדין שהושת על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שכלל </w:t>
      </w:r>
      <w:r>
        <w:rPr>
          <w:rFonts w:cs="Times New Roman;Times New Roman" w:ascii="Times New Roman;Times New Roman" w:hAnsi="Times New Roman;Times New Roman"/>
          <w:spacing w:val="0"/>
          <w:szCs w:val="26"/>
        </w:rPr>
        <w:t>65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בפועל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לרבות הפעלת מאסר על תנאי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בגין הרשעתו בעבירת חבלה בכוונה מחמירה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נפסק כי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ראוי והולם וכי אין זה מקרה חריג שבו ערכאת הערעור תתערב בחומרת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תוך עמידה על מגמה של החמרה בענישה בעבירות אלימות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בפרט בנסיבות המקרה דנן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ותוך הדגשה כי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זקף לזכות המערער נסיבות מקילות שונות</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עבירות אלימות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התערבות ערכאת 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ענישה – מדיניות ענישה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שיקולים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עונשין – ערעור – התערבות במידת העונש</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ערעור על גזר</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דין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המחוזי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במסגרתו נדון המערער לעונש של </w:t>
      </w:r>
      <w:r>
        <w:rPr>
          <w:rFonts w:cs="Times New Roman;Times New Roman" w:ascii="Times New Roman;Times New Roman" w:hAnsi="Times New Roman;Times New Roman"/>
          <w:spacing w:val="0"/>
          <w:szCs w:val="26"/>
        </w:rPr>
        <w:t>60</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חודשי מאסר בפועל ולהפעלת </w:t>
      </w:r>
      <w:r>
        <w:rPr>
          <w:rFonts w:cs="Times New Roman;Times New Roman" w:ascii="Times New Roman;Times New Roman" w:hAnsi="Times New Roman;Times New Roman"/>
          <w:spacing w:val="0"/>
          <w:szCs w:val="26"/>
        </w:rPr>
        <w:t>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על תנאי במצטבר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כך שסך הכל נקבע שירצה </w:t>
      </w:r>
      <w:r>
        <w:rPr>
          <w:rFonts w:cs="Times New Roman;Times New Roman" w:ascii="Times New Roman;Times New Roman" w:hAnsi="Times New Roman;Times New Roman"/>
          <w:spacing w:val="0"/>
          <w:szCs w:val="26"/>
        </w:rPr>
        <w:t>65</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חודשי מאסר בפועל</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מיום מעצרו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כן נגזרו על המערער מאסרים על תנאי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זאת לאחר שהורשע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פי הודאתו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בעבירה של חבלה בכוונה מחמירה</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השופטת ברון ובהסכמת המשנה לנשיאה מלצר והשופט מזוז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ופסק כי</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כלל הוא כי ערכאת הערעור תתערב בחומרת העונש רק במקרים חריגים של טעות מהותית וברורה שנפלה בגזר הדין או של סטייה קיצונית ממדיניות הענישה הראויה והנוהגת במקרים דומים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עניינו של המערער אינו נמנה עם אותם מקרים חריגים שבהם ערכאת הערעור תתערב בחומרת העונש שהשיתה הערכאה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שנגזר על המערער ראוי והולם בהינתן הנסיבות ולנוכח הענישה הנוהגת במקרים דומים</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המערער הורשע בעבירת חבלה בכוונה מחמירה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אודות החומרה היתרה הגלומה בעבירות אלימות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לנוכח הפגיעה הקשה בערכים המוגנים של שלמות הגוף והנפש וההגנה על הביטחון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ועל הצורך בהרתעה מפני ביצוען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רקע התגברות מעשי האלימות אף ניכרת מגמה ברורה בפסיקה של החמרה בענישה בעבירות אלימות בכלל ובעבירת חבלה חמורה בנסיבות מחמירות בפרט</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כל שכן בעבירה של חבלה בכוונה מחמירה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בענייננו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נסיבות העבירה חמורות במיוחד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מעשה האלימות שביצע המערער התרחש בשעת לילה מאוחרת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לאחר שהמערער והמתלונן שהו בגן ציבורי ושתו משקאות אלכוהוליים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שסבר כי המתלונן מנסה לקיים עימו מגע מיני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תקף את המתלונן ולא חדל גם לאחר שהמתלונן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שהיה שרוע כל אותה עת על הרצפה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איבד את הכרתו ולא היווה כל איום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עד שהגיעה המשטרה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אף הודה בפני השוטר כי חפץ במות המתלונן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רק במזל האירוע לא הסתיים בנזק בלתי הפיך</w:t>
      </w:r>
      <w:r>
        <w:rPr>
          <w:rFonts w:cs="Times New Roman;Times New Roman" w:ascii="Times New Roman;Times New Roman" w:hAnsi="Times New Roman;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זקף לזכות המערער נסיבות מקילות שטען להן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ואלמלא נטילת אחריות וחרטה מצד המערער והרצון שהביע להשתלב באפיקים טיפוליים בכלא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שהושת עליו היה חמור 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לא ניתן להתעלם מעברו הפלילי של המערער שכולל עבירות אלימות שבגינן אף ריצה עונשי מאסר לא מבוטלים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שאין מדובר במעידה חד פעמית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בהתנהגות חוזרת ובמגמת החמרה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המאסר המותנה שהיה תלוי ועומד נגדו לא הרתיעו ולכך נודעת חומרה יתרה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שהרשיע את המערער בעבירה נוספת של תקיפת שוטר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התחשב בגזר דינו בעונש שהוטל על המערער בתיק נושא הערעור והשית עליו חודשיים מאסר בחפיפה למאסר כאן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והדבר מהווה סיבה נוספת שלא להתערב בעונש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אמנם המערער צרך אלכוהול עובר לביצוע העבירה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ואולם הוא הכניס עצמו מדעתו ומרצונו למצב שבו הוא מסכן את הציבור ואף את עצמו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והוא אינו יכול לצפות להתחשבות במצבו כנסיבה מקילה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ההיפך מכך</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Tahoma" w:hAnsi="FrankRuehl;Tahoma" w:cs="FrankRuehl;Tahoma"/>
          <w:spacing w:val="0"/>
          <w:sz w:val="24"/>
          <w:szCs w:val="26"/>
        </w:rPr>
      </w:pPr>
      <w:r>
        <w:rPr>
          <w:rFonts w:cs="FrankRuehl;Tahoma" w:ascii="FrankRuehl;Tahoma" w:hAnsi="FrankRuehl;Tahoma"/>
          <w:spacing w:val="0"/>
          <w:sz w:val="24"/>
          <w:szCs w:val="26"/>
          <w:rtl w:val="true"/>
        </w:rPr>
      </w:r>
      <w:bookmarkStart w:id="10" w:name="ABSTRACT_END"/>
      <w:bookmarkStart w:id="11" w:name="ABSTRACT_END"/>
      <w:bookmarkEnd w:id="11"/>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השופטת</w:t>
      </w:r>
      <w:r>
        <w:rPr>
          <w:rFonts w:cs="Times New Roman;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ברון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2"/>
        <w:numPr>
          <w:ilvl w:val="0"/>
          <w:numId w:val="1"/>
        </w:numPr>
        <w:ind w:hanging="0" w:start="0" w:end="0"/>
        <w:jc w:val="both"/>
        <w:rPr/>
      </w:pPr>
      <w:r>
        <w:rPr>
          <w:rFonts w:ascii="Arial TUR;Arial" w:hAnsi="Arial TUR;Arial" w:cs="Arial TUR;Arial"/>
          <w:sz w:val="22"/>
          <w:sz w:val="22"/>
          <w:rtl w:val="true"/>
        </w:rPr>
        <w:t>ערעור על גזר</w:t>
      </w:r>
      <w:r>
        <w:rPr>
          <w:rFonts w:cs="Arial TUR;Arial" w:ascii="Arial TUR;Arial" w:hAnsi="Arial TUR;Arial"/>
          <w:sz w:val="22"/>
          <w:rtl w:val="true"/>
        </w:rPr>
        <w:t>-</w:t>
      </w:r>
      <w:r>
        <w:rPr>
          <w:rFonts w:ascii="Arial TUR;Arial" w:hAnsi="Arial TUR;Arial" w:cs="Arial TUR;Arial"/>
          <w:sz w:val="22"/>
          <w:sz w:val="22"/>
          <w:rtl w:val="true"/>
        </w:rPr>
        <w:t>דינו של בית המשפט המחוזי</w:t>
      </w:r>
      <w:r>
        <w:rPr>
          <w:rtl w:val="true"/>
        </w:rPr>
        <w:t xml:space="preserve"> בירושלים ב</w:t>
      </w:r>
      <w:r>
        <w:rPr>
          <w:rtl w:val="true"/>
        </w:rPr>
        <w:t>-</w:t>
      </w:r>
      <w:hyperlink r:id="rId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20423-03-18</w:t>
        </w:r>
      </w:hyperlink>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rtl w:val="true"/>
        </w:rPr>
        <w:t xml:space="preserve">כבוד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Fonts w:cs="Miriam" w:ascii="Century" w:hAnsi="Century"/>
          <w:b/>
          <w:spacing w:val="0"/>
          <w:sz w:val="22"/>
          <w:szCs w:val="24"/>
          <w:rtl w:val="true"/>
        </w:rPr>
        <w:t>-</w:t>
      </w:r>
      <w:r>
        <w:rPr>
          <w:rFonts w:ascii="Century" w:hAnsi="Century" w:cs="Miriam"/>
          <w:b/>
          <w:b/>
          <w:spacing w:val="0"/>
          <w:sz w:val="22"/>
          <w:sz w:val="22"/>
          <w:szCs w:val="24"/>
          <w:rtl w:val="true"/>
        </w:rPr>
        <w:t>לקח</w:t>
      </w:r>
      <w:r>
        <w:rPr>
          <w:rtl w:val="true"/>
        </w:rPr>
        <w:t xml:space="preserve">) </w:t>
      </w:r>
      <w:r>
        <w:rPr>
          <w:rtl w:val="true"/>
        </w:rPr>
        <w:t xml:space="preserve">מיום </w:t>
      </w:r>
      <w:r>
        <w:rPr/>
        <w:t>19.12.2018</w:t>
      </w:r>
      <w:r>
        <w:rPr>
          <w:rtl w:val="true"/>
        </w:rPr>
        <w:t xml:space="preserve">. </w:t>
      </w:r>
      <w:r>
        <w:rPr>
          <w:rtl w:val="true"/>
        </w:rPr>
        <w:t xml:space="preserve">במסגרתו נדון המערער לעונש של </w:t>
      </w:r>
      <w:r>
        <w:rPr/>
        <w:t>60</w:t>
      </w:r>
      <w:r>
        <w:rPr>
          <w:rtl w:val="true"/>
        </w:rPr>
        <w:t xml:space="preserve"> </w:t>
      </w:r>
      <w:r>
        <w:rPr>
          <w:rtl w:val="true"/>
        </w:rPr>
        <w:t xml:space="preserve">חודשי מאסר בפועל ולהפעלת חמישה חודשי מאסר על תנאי במצטבר </w:t>
      </w:r>
      <w:r>
        <w:rPr>
          <w:rtl w:val="true"/>
        </w:rPr>
        <w:t>–</w:t>
      </w:r>
      <w:r>
        <w:rPr>
          <w:rtl w:val="true"/>
        </w:rPr>
        <w:t xml:space="preserve"> כך שסך הכל נקבע שירצה </w:t>
      </w:r>
      <w:r>
        <w:rPr/>
        <w:t>65</w:t>
      </w:r>
      <w:r>
        <w:rPr>
          <w:rtl w:val="true"/>
        </w:rPr>
        <w:t xml:space="preserve"> </w:t>
      </w:r>
      <w:r>
        <w:rPr>
          <w:rtl w:val="true"/>
        </w:rPr>
        <w:t>חודשי מאסר בפועל</w:t>
      </w:r>
      <w:r>
        <w:rPr>
          <w:rtl w:val="true"/>
        </w:rPr>
        <w:t xml:space="preserve">, </w:t>
      </w:r>
      <w:r>
        <w:rPr>
          <w:rtl w:val="true"/>
        </w:rPr>
        <w:t>מיום מעצרו</w:t>
      </w:r>
      <w:r>
        <w:rPr>
          <w:rtl w:val="true"/>
        </w:rPr>
        <w:t xml:space="preserve">; </w:t>
      </w:r>
      <w:r>
        <w:rPr>
          <w:rtl w:val="true"/>
        </w:rPr>
        <w:t>כן נגזרו על המערער מאסרים על תנאי</w:t>
      </w:r>
      <w:r>
        <w:rPr>
          <w:rtl w:val="true"/>
        </w:rPr>
        <w:t xml:space="preserve">. </w:t>
      </w:r>
      <w:r>
        <w:rPr>
          <w:rtl w:val="true"/>
        </w:rPr>
        <w:t>זאת לאחר שהורשע</w:t>
      </w:r>
      <w:r>
        <w:rPr>
          <w:rtl w:val="true"/>
        </w:rPr>
        <w:t xml:space="preserve">, </w:t>
      </w:r>
      <w:r>
        <w:rPr>
          <w:rtl w:val="true"/>
        </w:rPr>
        <w:t>על פי הודאתו</w:t>
      </w:r>
      <w:r>
        <w:rPr>
          <w:rtl w:val="true"/>
        </w:rPr>
        <w:t xml:space="preserve">, </w:t>
      </w:r>
      <w:r>
        <w:rPr>
          <w:rtl w:val="true"/>
        </w:rPr>
        <w:t xml:space="preserve">בעבירה של חבלה בכוונה מחמירה לפי </w:t>
      </w:r>
      <w:hyperlink r:id="rId7">
        <w:r>
          <w:rPr>
            <w:rStyle w:val="Hyperlink"/>
            <w:color w:val="0000FF"/>
            <w:u w:val="single"/>
            <w:rtl w:val="true"/>
          </w:rPr>
          <w:t>סעיף</w:t>
        </w:r>
        <w:r>
          <w:rPr>
            <w:rStyle w:val="Hyperlink"/>
            <w:color w:val="0000FF"/>
            <w:u w:val="single"/>
            <w:rtl w:val="true"/>
          </w:rPr>
          <w:t xml:space="preserve">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w:t>
      </w:r>
    </w:p>
    <w:p>
      <w:pPr>
        <w:pStyle w:val="Ruller41"/>
        <w:ind w:end="0"/>
        <w:jc w:val="both"/>
        <w:rPr/>
      </w:pPr>
      <w:r>
        <w:rPr>
          <w:rtl w:val="true"/>
        </w:rPr>
      </w:r>
    </w:p>
    <w:p>
      <w:pPr>
        <w:pStyle w:val="Normal"/>
        <w:ind w:end="0"/>
        <w:jc w:val="both"/>
        <w:rPr/>
      </w:pPr>
      <w:r>
        <w:rPr>
          <w:rFonts w:cs="Miriam"/>
          <w:sz w:val="24"/>
          <w:sz w:val="24"/>
          <w:rtl w:val="true"/>
        </w:rPr>
        <w:t>כתב</w:t>
      </w:r>
      <w:r>
        <w:rPr>
          <w:rFonts w:cs="Times New Roman;Times New Roman"/>
          <w:sz w:val="24"/>
          <w:sz w:val="24"/>
          <w:rtl w:val="true"/>
        </w:rPr>
        <w:t xml:space="preserve"> </w:t>
      </w:r>
      <w:r>
        <w:rPr>
          <w:rFonts w:cs="Miriam"/>
          <w:sz w:val="24"/>
          <w:sz w:val="24"/>
          <w:rtl w:val="true"/>
        </w:rPr>
        <w:t>האישום</w:t>
      </w:r>
      <w:r>
        <w:rPr>
          <w:rFonts w:cs="Times New Roman;Times New Roman"/>
          <w:rtl w:val="true"/>
        </w:rPr>
        <w:t xml:space="preserve"> </w:t>
      </w:r>
      <w:r>
        <w:rPr>
          <w:rFonts w:cs="Miriam"/>
          <w:b/>
          <w:b/>
          <w:sz w:val="22"/>
          <w:sz w:val="22"/>
          <w:rtl w:val="true"/>
        </w:rPr>
        <w:t>המתוקן</w:t>
      </w:r>
    </w:p>
    <w:p>
      <w:pPr>
        <w:pStyle w:val="Ruller41"/>
        <w:spacing w:lineRule="auto" w:line="240"/>
        <w:ind w:end="0"/>
        <w:jc w:val="both"/>
        <w:rPr/>
      </w:pPr>
      <w:r>
        <w:rPr>
          <w:rtl w:val="true"/>
        </w:rPr>
      </w:r>
    </w:p>
    <w:p>
      <w:pPr>
        <w:pStyle w:val="Ruller42"/>
        <w:numPr>
          <w:ilvl w:val="0"/>
          <w:numId w:val="1"/>
        </w:numPr>
        <w:ind w:hanging="0" w:start="0" w:end="0"/>
        <w:jc w:val="both"/>
        <w:rPr/>
      </w:pPr>
      <w:r>
        <w:rPr>
          <w:sz w:val="28"/>
          <w:sz w:val="28"/>
          <w:rtl w:val="true"/>
        </w:rPr>
        <w:t>על פי המתואר בכתב האישום המתוקן שהוגש לבית המשפט המחוזי</w:t>
      </w:r>
      <w:r>
        <w:rPr>
          <w:sz w:val="28"/>
          <w:rtl w:val="true"/>
        </w:rPr>
        <w:t>,</w:t>
      </w:r>
      <w:r>
        <w:rPr>
          <w:rtl w:val="true"/>
        </w:rPr>
        <w:t xml:space="preserve"> </w:t>
      </w:r>
      <w:r>
        <w:rPr>
          <w:rtl w:val="true"/>
        </w:rPr>
        <w:t>המערער</w:t>
      </w:r>
      <w:r>
        <w:rPr>
          <w:rtl w:val="true"/>
        </w:rPr>
        <w:t xml:space="preserve">, </w:t>
      </w:r>
      <w:r>
        <w:rPr>
          <w:rtl w:val="true"/>
        </w:rPr>
        <w:t xml:space="preserve">יליד </w:t>
      </w:r>
      <w:r>
        <w:rPr/>
        <w:t>1986</w:t>
      </w:r>
      <w:r>
        <w:rPr>
          <w:rtl w:val="true"/>
        </w:rPr>
        <w:t xml:space="preserve">, </w:t>
      </w:r>
      <w:r>
        <w:rPr>
          <w:rtl w:val="true"/>
        </w:rPr>
        <w:t>והמתלונן</w:t>
      </w:r>
      <w:r>
        <w:rPr>
          <w:rtl w:val="true"/>
        </w:rPr>
        <w:t xml:space="preserve">, </w:t>
      </w:r>
      <w:r>
        <w:rPr>
          <w:rtl w:val="true"/>
        </w:rPr>
        <w:t xml:space="preserve">יליד שנת </w:t>
      </w:r>
      <w:r>
        <w:rPr/>
        <w:t>1957</w:t>
      </w:r>
      <w:r>
        <w:rPr>
          <w:rtl w:val="true"/>
        </w:rPr>
        <w:t xml:space="preserve">, </w:t>
      </w:r>
      <w:r>
        <w:rPr>
          <w:rtl w:val="true"/>
        </w:rPr>
        <w:t xml:space="preserve">הכירו ביום </w:t>
      </w:r>
      <w:r>
        <w:rPr/>
        <w:t>27.2.2018</w:t>
      </w:r>
      <w:r>
        <w:rPr>
          <w:rtl w:val="true"/>
        </w:rPr>
        <w:t xml:space="preserve">, </w:t>
      </w:r>
      <w:r>
        <w:rPr>
          <w:rtl w:val="true"/>
        </w:rPr>
        <w:t>ושתו יחד אלכוהול החל משעות הצהריים של אותו היום</w:t>
      </w:r>
      <w:r>
        <w:rPr>
          <w:rtl w:val="true"/>
        </w:rPr>
        <w:t xml:space="preserve">. </w:t>
      </w:r>
      <w:r>
        <w:rPr>
          <w:rtl w:val="true"/>
        </w:rPr>
        <w:t xml:space="preserve">בתאריך </w:t>
      </w:r>
      <w:r>
        <w:rPr/>
        <w:t>28.2.2018</w:t>
      </w:r>
      <w:r>
        <w:rPr>
          <w:rtl w:val="true"/>
        </w:rPr>
        <w:t xml:space="preserve">, </w:t>
      </w:r>
      <w:r>
        <w:rPr>
          <w:rtl w:val="true"/>
        </w:rPr>
        <w:t xml:space="preserve">עובר לשעה </w:t>
      </w:r>
      <w:r>
        <w:rPr/>
        <w:t>02:15</w:t>
      </w:r>
      <w:r>
        <w:rPr>
          <w:rtl w:val="true"/>
        </w:rPr>
        <w:t xml:space="preserve">, </w:t>
      </w:r>
      <w:r>
        <w:rPr>
          <w:rtl w:val="true"/>
        </w:rPr>
        <w:t>המערער והמתלונן שהו בגן בשכונת גילה בירושלים</w:t>
      </w:r>
      <w:r>
        <w:rPr>
          <w:rtl w:val="true"/>
        </w:rPr>
        <w:t xml:space="preserve">. </w:t>
      </w:r>
      <w:r>
        <w:rPr>
          <w:rtl w:val="true"/>
        </w:rPr>
        <w:t>המערער היה תחת הרושם שהמתלונן מנסה לקיים איתו מגע מיני</w:t>
      </w:r>
      <w:r>
        <w:rPr>
          <w:rtl w:val="true"/>
        </w:rPr>
        <w:t xml:space="preserve">. </w:t>
      </w:r>
      <w:r>
        <w:rPr>
          <w:rtl w:val="true"/>
        </w:rPr>
        <w:t xml:space="preserve">בסמוך לשעה </w:t>
      </w:r>
      <w:r>
        <w:rPr/>
        <w:t>02:15</w:t>
      </w:r>
      <w:r>
        <w:rPr>
          <w:rtl w:val="true"/>
        </w:rPr>
        <w:t xml:space="preserve">, </w:t>
      </w:r>
      <w:r>
        <w:rPr>
          <w:rtl w:val="true"/>
        </w:rPr>
        <w:t>בעוד המתלונן שרוע על הרצפה בגן האמור</w:t>
      </w:r>
      <w:r>
        <w:rPr>
          <w:rtl w:val="true"/>
        </w:rPr>
        <w:t xml:space="preserve">, </w:t>
      </w:r>
      <w:r>
        <w:rPr>
          <w:rtl w:val="true"/>
        </w:rPr>
        <w:t>בעט המערער בעוצמה במתלונן</w:t>
      </w:r>
      <w:r>
        <w:rPr>
          <w:rtl w:val="true"/>
        </w:rPr>
        <w:t xml:space="preserve">, </w:t>
      </w:r>
      <w:r>
        <w:rPr>
          <w:rtl w:val="true"/>
        </w:rPr>
        <w:t>ללא הפסקה ובכל חלקי גופו</w:t>
      </w:r>
      <w:r>
        <w:rPr>
          <w:rtl w:val="true"/>
        </w:rPr>
        <w:t xml:space="preserve">, </w:t>
      </w:r>
      <w:r>
        <w:rPr>
          <w:rtl w:val="true"/>
        </w:rPr>
        <w:t>בעיקר בפניו ובראשו</w:t>
      </w:r>
      <w:r>
        <w:rPr>
          <w:rtl w:val="true"/>
        </w:rPr>
        <w:t xml:space="preserve">. </w:t>
      </w:r>
      <w:r>
        <w:rPr>
          <w:rtl w:val="true"/>
        </w:rPr>
        <w:t>כן דרך ברגלו על פניו של המתלונן שוב ושוב ובעוצמה</w:t>
      </w:r>
      <w:r>
        <w:rPr>
          <w:rtl w:val="true"/>
        </w:rPr>
        <w:t xml:space="preserve">. </w:t>
      </w:r>
      <w:r>
        <w:rPr>
          <w:rtl w:val="true"/>
        </w:rPr>
        <w:t>במהלך הדברים</w:t>
      </w:r>
      <w:r>
        <w:rPr>
          <w:rtl w:val="true"/>
        </w:rPr>
        <w:t xml:space="preserve">, </w:t>
      </w:r>
      <w:r>
        <w:rPr>
          <w:rtl w:val="true"/>
        </w:rPr>
        <w:t>המערער הפך את המתלונן מצד לצד באמצעות רגליו וקרא לעברו</w:t>
      </w:r>
      <w:r>
        <w:rPr>
          <w:rtl w:val="true"/>
        </w:rPr>
        <w:t>: "</w:t>
      </w:r>
      <w:r>
        <w:rPr>
          <w:rtl w:val="true"/>
        </w:rPr>
        <w:t>קום יא בן זונה קום יא בן זונה</w:t>
      </w:r>
      <w:r>
        <w:rPr>
          <w:rtl w:val="true"/>
        </w:rPr>
        <w:t xml:space="preserve">". </w:t>
      </w:r>
      <w:r>
        <w:rPr>
          <w:rtl w:val="true"/>
        </w:rPr>
        <w:t xml:space="preserve">כל זאת במשך </w:t>
      </w:r>
      <w:r>
        <w:rPr/>
        <w:t>10</w:t>
      </w:r>
      <w:r>
        <w:rPr>
          <w:rtl w:val="true"/>
        </w:rPr>
        <w:t xml:space="preserve"> </w:t>
      </w:r>
      <w:r>
        <w:rPr>
          <w:rtl w:val="true"/>
        </w:rPr>
        <w:t>דקות לפחות</w:t>
      </w:r>
      <w:r>
        <w:rPr>
          <w:rtl w:val="true"/>
        </w:rPr>
        <w:t xml:space="preserve">, </w:t>
      </w:r>
      <w:r>
        <w:rPr>
          <w:rtl w:val="true"/>
        </w:rPr>
        <w:t>אף לאחר שהמתלונן איבד את הכרתו</w:t>
      </w:r>
      <w:r>
        <w:rPr>
          <w:rtl w:val="true"/>
        </w:rPr>
        <w:t xml:space="preserve">, </w:t>
      </w:r>
      <w:r>
        <w:rPr>
          <w:rtl w:val="true"/>
        </w:rPr>
        <w:t>עד שהמערער נעצר על ידי משטרה שהוזעקה למקום</w:t>
      </w:r>
      <w:r>
        <w:rPr>
          <w:rtl w:val="true"/>
        </w:rPr>
        <w:t xml:space="preserve">. </w:t>
      </w:r>
      <w:r>
        <w:rPr>
          <w:rtl w:val="true"/>
        </w:rPr>
        <w:t>בהמשך</w:t>
      </w:r>
      <w:r>
        <w:rPr>
          <w:rtl w:val="true"/>
        </w:rPr>
        <w:t xml:space="preserve">, </w:t>
      </w:r>
      <w:r>
        <w:rPr>
          <w:rtl w:val="true"/>
        </w:rPr>
        <w:t>בדרך לתחנת המשטרה</w:t>
      </w:r>
      <w:r>
        <w:rPr>
          <w:rtl w:val="true"/>
        </w:rPr>
        <w:t xml:space="preserve">, </w:t>
      </w:r>
      <w:r>
        <w:rPr>
          <w:rtl w:val="true"/>
        </w:rPr>
        <w:t>המערער אמר לשוטר</w:t>
      </w:r>
      <w:r>
        <w:rPr>
          <w:rtl w:val="true"/>
        </w:rPr>
        <w:t>: "</w:t>
      </w:r>
      <w:r>
        <w:rPr>
          <w:rtl w:val="true"/>
        </w:rPr>
        <w:t>חבל שהוא לא מת</w:t>
      </w:r>
      <w:r>
        <w:rPr>
          <w:rtl w:val="true"/>
        </w:rPr>
        <w:t xml:space="preserve">", </w:t>
      </w:r>
      <w:r>
        <w:rPr>
          <w:rtl w:val="true"/>
        </w:rPr>
        <w:t>וכי אם יראה שוב את המתלונן יהרוג אותו</w:t>
      </w:r>
      <w:r>
        <w:rPr>
          <w:rtl w:val="true"/>
        </w:rPr>
        <w:t xml:space="preserve">. </w:t>
      </w:r>
      <w:r>
        <w:rPr>
          <w:rtl w:val="true"/>
        </w:rPr>
        <w:t>למתלונן נגרמו חבלות ראש ופנים</w:t>
      </w:r>
      <w:r>
        <w:rPr>
          <w:rtl w:val="true"/>
        </w:rPr>
        <w:t xml:space="preserve">, </w:t>
      </w:r>
      <w:r>
        <w:rPr>
          <w:rtl w:val="true"/>
        </w:rPr>
        <w:t>שבר באפו</w:t>
      </w:r>
      <w:r>
        <w:rPr>
          <w:rtl w:val="true"/>
        </w:rPr>
        <w:t xml:space="preserve">, </w:t>
      </w:r>
      <w:r>
        <w:rPr>
          <w:rtl w:val="true"/>
        </w:rPr>
        <w:t>דימום מוחי בכמה מוקדים</w:t>
      </w:r>
      <w:r>
        <w:rPr>
          <w:rtl w:val="true"/>
        </w:rPr>
        <w:t xml:space="preserve">, </w:t>
      </w:r>
      <w:r>
        <w:rPr>
          <w:rtl w:val="true"/>
        </w:rPr>
        <w:t>ונפיחות משמעותית בפניו ובמצחו שבגינה לא יכול היה לפקוח את עיניו</w:t>
      </w:r>
      <w:r>
        <w:rPr>
          <w:rtl w:val="true"/>
        </w:rPr>
        <w:t xml:space="preserve">. </w:t>
      </w:r>
      <w:r>
        <w:rPr>
          <w:rtl w:val="true"/>
        </w:rPr>
        <w:t>המתלונן אושפז בבית חולים במחלקה לטיפול נמרץ</w:t>
      </w:r>
      <w:r>
        <w:rPr>
          <w:rtl w:val="true"/>
        </w:rPr>
        <w:t xml:space="preserve">, </w:t>
      </w:r>
      <w:r>
        <w:rPr>
          <w:rtl w:val="true"/>
        </w:rPr>
        <w:t>במשך כ</w:t>
      </w:r>
      <w:r>
        <w:rPr>
          <w:rtl w:val="true"/>
        </w:rPr>
        <w:t>-</w:t>
      </w:r>
      <w:r>
        <w:rPr/>
        <w:t>10</w:t>
      </w:r>
      <w:r>
        <w:rPr>
          <w:rtl w:val="true"/>
        </w:rPr>
        <w:t xml:space="preserve"> </w:t>
      </w:r>
      <w:r>
        <w:rPr>
          <w:rtl w:val="true"/>
        </w:rPr>
        <w:t>ימים</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sz w:val="28"/>
          <w:rtl w:val="true"/>
        </w:rPr>
        <w:tab/>
      </w:r>
      <w:r>
        <w:rPr>
          <w:sz w:val="28"/>
          <w:sz w:val="28"/>
          <w:rtl w:val="true"/>
        </w:rPr>
        <w:t>בגין כל אלה</w:t>
      </w:r>
      <w:r>
        <w:rPr>
          <w:sz w:val="28"/>
          <w:rtl w:val="true"/>
        </w:rPr>
        <w:t xml:space="preserve">, </w:t>
      </w:r>
      <w:r>
        <w:rPr>
          <w:sz w:val="28"/>
          <w:sz w:val="28"/>
          <w:rtl w:val="true"/>
        </w:rPr>
        <w:t xml:space="preserve">הואשם המערער </w:t>
      </w:r>
      <w:r>
        <w:rPr>
          <w:rtl w:val="true"/>
        </w:rPr>
        <w:t>בעבירה של חבלה בכוונה מחמירה</w:t>
      </w:r>
      <w:r>
        <w:rPr>
          <w:rtl w:val="true"/>
        </w:rPr>
        <w:t>.</w:t>
      </w:r>
    </w:p>
    <w:p>
      <w:pPr>
        <w:pStyle w:val="Ruller41"/>
        <w:ind w:end="0"/>
        <w:jc w:val="both"/>
        <w:rPr/>
      </w:pPr>
      <w:r>
        <w:rPr>
          <w:rtl w:val="true"/>
        </w:rPr>
      </w:r>
    </w:p>
    <w:p>
      <w:pPr>
        <w:pStyle w:val="Normal"/>
        <w:ind w:end="0"/>
        <w:jc w:val="both"/>
        <w:rPr/>
      </w:pPr>
      <w:r>
        <w:rPr>
          <w:rFonts w:cs="Miriam"/>
          <w:sz w:val="24"/>
          <w:sz w:val="24"/>
          <w:rtl w:val="true"/>
        </w:rPr>
        <w:t>ההליך</w:t>
      </w:r>
      <w:r>
        <w:rPr>
          <w:rFonts w:cs="Times New Roman;Times New Roman"/>
          <w:sz w:val="24"/>
          <w:sz w:val="24"/>
          <w:rtl w:val="true"/>
        </w:rPr>
        <w:t xml:space="preserve"> </w:t>
      </w:r>
      <w:r>
        <w:rPr>
          <w:rFonts w:cs="Miriam"/>
          <w:sz w:val="24"/>
          <w:sz w:val="24"/>
          <w:rtl w:val="true"/>
        </w:rPr>
        <w:t>בבית</w:t>
      </w:r>
      <w:r>
        <w:rPr>
          <w:rFonts w:cs="Times New Roman;Times New Roman"/>
          <w:sz w:val="24"/>
          <w:sz w:val="24"/>
          <w:rtl w:val="true"/>
        </w:rPr>
        <w:t xml:space="preserve"> </w:t>
      </w:r>
      <w:r>
        <w:rPr>
          <w:rFonts w:cs="Miriam"/>
          <w:sz w:val="24"/>
          <w:sz w:val="24"/>
          <w:rtl w:val="true"/>
        </w:rPr>
        <w:t>המשפט</w:t>
      </w:r>
      <w:r>
        <w:rPr>
          <w:rFonts w:cs="Times New Roman;Times New Roman"/>
          <w:sz w:val="24"/>
          <w:sz w:val="24"/>
          <w:rtl w:val="true"/>
        </w:rPr>
        <w:t xml:space="preserve"> </w:t>
      </w:r>
      <w:r>
        <w:rPr>
          <w:rFonts w:cs="Miriam"/>
          <w:sz w:val="24"/>
          <w:sz w:val="24"/>
          <w:rtl w:val="true"/>
        </w:rPr>
        <w:t>המחוזי</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המערער הודה במיוחס לו בכתב האישום המתוקן</w:t>
      </w:r>
      <w:r>
        <w:rPr>
          <w:rtl w:val="true"/>
        </w:rPr>
        <w:t xml:space="preserve">, </w:t>
      </w:r>
      <w:r>
        <w:rPr>
          <w:rtl w:val="true"/>
        </w:rPr>
        <w:t xml:space="preserve">והורשע כאמור על פי הודאתו בהכרעת דין מיום </w:t>
      </w:r>
      <w:r>
        <w:rPr/>
        <w:t>11.10.2018</w:t>
      </w:r>
      <w:r>
        <w:rPr>
          <w:rtl w:val="true"/>
        </w:rPr>
        <w:t xml:space="preserve">. </w:t>
      </w:r>
      <w:r>
        <w:rPr>
          <w:rtl w:val="true"/>
        </w:rPr>
        <w:t>כך בהתאם להסדר טיעון שגובש בין הצדדים</w:t>
      </w:r>
      <w:r>
        <w:rPr>
          <w:rtl w:val="true"/>
        </w:rPr>
        <w:t xml:space="preserve">, </w:t>
      </w:r>
      <w:r>
        <w:rPr>
          <w:rtl w:val="true"/>
        </w:rPr>
        <w:t>במסגרתו הוסכם כי הסרטון של האירוע נושא כתב האישום יוכל לשמש לצורך הטיעונים לעונש וכי ייערך תסקיר שירות מבחן למערער</w:t>
      </w:r>
      <w:r>
        <w:rPr>
          <w:rtl w:val="true"/>
        </w:rPr>
        <w:t xml:space="preserve">; </w:t>
      </w:r>
      <w:r>
        <w:rPr>
          <w:rtl w:val="true"/>
        </w:rPr>
        <w:t>ובית המשפט אמנם הורה על עריכתו</w:t>
      </w:r>
      <w:r>
        <w:rPr>
          <w:rtl w:val="true"/>
        </w:rPr>
        <w:t xml:space="preserve">, </w:t>
      </w:r>
      <w:r>
        <w:rPr>
          <w:rtl w:val="true"/>
        </w:rPr>
        <w:t>עובר למתן גזר הדין</w:t>
      </w:r>
      <w:r>
        <w:rPr>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 xml:space="preserve">בתסקיר מיום </w:t>
      </w:r>
      <w:r>
        <w:rPr/>
        <w:t>11.11.2018</w:t>
      </w:r>
      <w:r>
        <w:rPr>
          <w:rtl w:val="true"/>
        </w:rPr>
        <w:t xml:space="preserve"> </w:t>
      </w:r>
      <w:r>
        <w:rPr>
          <w:rtl w:val="true"/>
        </w:rPr>
        <w:t>ציין שירות המבחן כי המערער ניהל לאורך השנים אורח חיים עברייני והתמכרותי</w:t>
      </w:r>
      <w:r>
        <w:rPr>
          <w:rtl w:val="true"/>
        </w:rPr>
        <w:t xml:space="preserve">, </w:t>
      </w:r>
      <w:r>
        <w:rPr>
          <w:rtl w:val="true"/>
        </w:rPr>
        <w:t>ולמרות ששולב בעבר מספר פעמים במסגרות טיפוליות לגמילה מאלכוהול ומסמים</w:t>
      </w:r>
      <w:r>
        <w:rPr>
          <w:rtl w:val="true"/>
        </w:rPr>
        <w:t xml:space="preserve">, </w:t>
      </w:r>
      <w:r>
        <w:rPr>
          <w:rtl w:val="true"/>
        </w:rPr>
        <w:t>הוא חזר שוב ושוב לבצע עבירות תוך צריכת אלכוהול וסמים</w:t>
      </w:r>
      <w:r>
        <w:rPr>
          <w:rtl w:val="true"/>
        </w:rPr>
        <w:t xml:space="preserve">. </w:t>
      </w:r>
      <w:r>
        <w:rPr>
          <w:rtl w:val="true"/>
        </w:rPr>
        <w:t>כן צוין כי למרות שהמערער לקח אחריות על מעשיו וביטא אמפתיה כלפי המתלונן</w:t>
      </w:r>
      <w:r>
        <w:rPr>
          <w:rtl w:val="true"/>
        </w:rPr>
        <w:t xml:space="preserve">, </w:t>
      </w:r>
      <w:r>
        <w:rPr>
          <w:rtl w:val="true"/>
        </w:rPr>
        <w:t>הוא התקשה להתבונן בדפוסי התנהגותו האלימים</w:t>
      </w:r>
      <w:r>
        <w:rPr>
          <w:rtl w:val="true"/>
        </w:rPr>
        <w:t xml:space="preserve">. </w:t>
      </w:r>
      <w:r>
        <w:rPr>
          <w:rtl w:val="true"/>
        </w:rPr>
        <w:t>במצב דברים זה</w:t>
      </w:r>
      <w:r>
        <w:rPr>
          <w:rtl w:val="true"/>
        </w:rPr>
        <w:t xml:space="preserve">, </w:t>
      </w:r>
      <w:r>
        <w:rPr>
          <w:rtl w:val="true"/>
        </w:rPr>
        <w:t>שירות המבחן לא המליץ לשלב את המערער בקהילה טיפולית</w:t>
      </w:r>
      <w:r>
        <w:rPr>
          <w:rtl w:val="true"/>
        </w:rPr>
        <w:t xml:space="preserve">, </w:t>
      </w:r>
      <w:r>
        <w:rPr>
          <w:rtl w:val="true"/>
        </w:rPr>
        <w:t>ותחת זאת המליץ לבחון את אפשרות שילובו בהליך טיפולי במסגרת מאסרו</w:t>
      </w:r>
      <w:r>
        <w:rPr>
          <w:rtl w:val="true"/>
        </w:rPr>
        <w:t xml:space="preserve">, </w:t>
      </w:r>
      <w:r>
        <w:rPr>
          <w:rtl w:val="true"/>
        </w:rPr>
        <w:t>הן ביחס לדפוסי התמכרותו הן ביחס לדפוסיו האלימים</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 xml:space="preserve">ביום </w:t>
      </w:r>
      <w:r>
        <w:rPr/>
        <w:t>19.12.2018</w:t>
      </w:r>
      <w:r>
        <w:rPr>
          <w:rtl w:val="true"/>
        </w:rPr>
        <w:t xml:space="preserve"> </w:t>
      </w:r>
      <w:r>
        <w:rPr>
          <w:rtl w:val="true"/>
        </w:rPr>
        <w:t>גזר בית המשפט המחוזי את דינו של המערער</w:t>
      </w:r>
      <w:r>
        <w:rPr>
          <w:rtl w:val="true"/>
        </w:rPr>
        <w:t xml:space="preserve">. </w:t>
      </w:r>
      <w:r>
        <w:rPr>
          <w:rtl w:val="true"/>
        </w:rPr>
        <w:t>בגדרי גזר הדין</w:t>
      </w:r>
      <w:r>
        <w:rPr>
          <w:rtl w:val="true"/>
        </w:rPr>
        <w:t xml:space="preserve">, </w:t>
      </w:r>
      <w:r>
        <w:rPr>
          <w:rtl w:val="true"/>
        </w:rPr>
        <w:t>בית המשפט עמד על החומרה הרבה שבנסיבות ביצוע העבירה</w:t>
      </w:r>
      <w:r>
        <w:rPr>
          <w:rtl w:val="true"/>
        </w:rPr>
        <w:t xml:space="preserve">. </w:t>
      </w:r>
      <w:r>
        <w:rPr>
          <w:rtl w:val="true"/>
        </w:rPr>
        <w:t>כך שעה שהמערער ביצע מעשי אלימות חמורים ואכזריים במתלונן</w:t>
      </w:r>
      <w:r>
        <w:rPr>
          <w:rtl w:val="true"/>
        </w:rPr>
        <w:t xml:space="preserve">, </w:t>
      </w:r>
      <w:r>
        <w:rPr>
          <w:rtl w:val="true"/>
        </w:rPr>
        <w:t>בעוצמה רבה וללא רחמים</w:t>
      </w:r>
      <w:r>
        <w:rPr>
          <w:rtl w:val="true"/>
        </w:rPr>
        <w:t xml:space="preserve">, </w:t>
      </w:r>
      <w:r>
        <w:rPr>
          <w:rtl w:val="true"/>
        </w:rPr>
        <w:t xml:space="preserve">המכוונים לאיבר גוף רגיש </w:t>
      </w:r>
      <w:r>
        <w:rPr>
          <w:rtl w:val="true"/>
        </w:rPr>
        <w:t>–</w:t>
      </w:r>
      <w:r>
        <w:rPr>
          <w:rtl w:val="true"/>
        </w:rPr>
        <w:t xml:space="preserve"> ראשו של המתלונן</w:t>
      </w:r>
      <w:r>
        <w:rPr>
          <w:rtl w:val="true"/>
        </w:rPr>
        <w:t xml:space="preserve">, </w:t>
      </w:r>
      <w:r>
        <w:rPr>
          <w:rtl w:val="true"/>
        </w:rPr>
        <w:t>בעוד המתלונן שרוע על רצפת הגן</w:t>
      </w:r>
      <w:r>
        <w:rPr>
          <w:rtl w:val="true"/>
        </w:rPr>
        <w:t xml:space="preserve">; </w:t>
      </w:r>
      <w:r>
        <w:rPr>
          <w:rtl w:val="true"/>
        </w:rPr>
        <w:t>והמערער לא חדל ממעשיו גם לאחר שהמתלונן איבד את הכרתו</w:t>
      </w:r>
      <w:r>
        <w:rPr>
          <w:rtl w:val="true"/>
        </w:rPr>
        <w:t xml:space="preserve">, </w:t>
      </w:r>
      <w:r>
        <w:rPr>
          <w:rtl w:val="true"/>
        </w:rPr>
        <w:t>עד אשר המשטרה הגיעה למקום האירוע</w:t>
      </w:r>
      <w:r>
        <w:rPr>
          <w:rtl w:val="true"/>
        </w:rPr>
        <w:t xml:space="preserve">. </w:t>
      </w:r>
      <w:r>
        <w:rPr>
          <w:rtl w:val="true"/>
        </w:rPr>
        <w:t>עוד צוין</w:t>
      </w:r>
      <w:r>
        <w:rPr>
          <w:rtl w:val="true"/>
        </w:rPr>
        <w:t xml:space="preserve">, </w:t>
      </w:r>
      <w:r>
        <w:rPr>
          <w:rtl w:val="true"/>
        </w:rPr>
        <w:t>כי פוטנציאל הנזק שהיה צפוי להיגרם הוא רב</w:t>
      </w:r>
      <w:r>
        <w:rPr>
          <w:rtl w:val="true"/>
        </w:rPr>
        <w:t xml:space="preserve">, </w:t>
      </w:r>
      <w:r>
        <w:rPr>
          <w:sz w:val="28"/>
          <w:sz w:val="28"/>
          <w:rtl w:val="true"/>
        </w:rPr>
        <w:t>ו</w:t>
      </w:r>
      <w:r>
        <w:rPr>
          <w:sz w:val="28"/>
          <w:sz w:val="28"/>
          <w:rtl w:val="true"/>
        </w:rPr>
        <w:t>אך</w:t>
      </w:r>
      <w:r>
        <w:rPr>
          <w:sz w:val="28"/>
          <w:sz w:val="28"/>
          <w:rtl w:val="true"/>
        </w:rPr>
        <w:t xml:space="preserve"> </w:t>
      </w:r>
      <w:r>
        <w:rPr>
          <w:sz w:val="28"/>
          <w:sz w:val="28"/>
          <w:rtl w:val="true"/>
        </w:rPr>
        <w:t>בנס</w:t>
      </w:r>
      <w:r>
        <w:rPr>
          <w:sz w:val="28"/>
          <w:sz w:val="28"/>
          <w:rtl w:val="true"/>
        </w:rPr>
        <w:t xml:space="preserve"> </w:t>
      </w:r>
      <w:r>
        <w:rPr>
          <w:sz w:val="28"/>
          <w:sz w:val="28"/>
          <w:rtl w:val="true"/>
        </w:rPr>
        <w:t>האירוע</w:t>
      </w:r>
      <w:r>
        <w:rPr>
          <w:sz w:val="28"/>
          <w:sz w:val="28"/>
          <w:rtl w:val="true"/>
        </w:rPr>
        <w:t xml:space="preserve"> </w:t>
      </w:r>
      <w:r>
        <w:rPr>
          <w:sz w:val="28"/>
          <w:sz w:val="28"/>
          <w:rtl w:val="true"/>
        </w:rPr>
        <w:t>לא</w:t>
      </w:r>
      <w:r>
        <w:rPr>
          <w:sz w:val="28"/>
          <w:sz w:val="28"/>
          <w:rtl w:val="true"/>
        </w:rPr>
        <w:t xml:space="preserve"> </w:t>
      </w:r>
      <w:r>
        <w:rPr>
          <w:sz w:val="28"/>
          <w:sz w:val="28"/>
          <w:rtl w:val="true"/>
        </w:rPr>
        <w:t>נסתיים</w:t>
      </w:r>
      <w:r>
        <w:rPr>
          <w:sz w:val="28"/>
          <w:sz w:val="28"/>
          <w:rtl w:val="true"/>
        </w:rPr>
        <w:t xml:space="preserve"> </w:t>
      </w:r>
      <w:r>
        <w:rPr>
          <w:sz w:val="28"/>
          <w:sz w:val="28"/>
          <w:rtl w:val="true"/>
        </w:rPr>
        <w:t>במות</w:t>
      </w:r>
      <w:r>
        <w:rPr>
          <w:sz w:val="28"/>
          <w:sz w:val="28"/>
          <w:rtl w:val="true"/>
        </w:rPr>
        <w:t xml:space="preserve"> </w:t>
      </w:r>
      <w:r>
        <w:rPr>
          <w:sz w:val="28"/>
          <w:sz w:val="28"/>
          <w:rtl w:val="true"/>
        </w:rPr>
        <w:t>המתלונן</w:t>
      </w:r>
      <w:r>
        <w:rPr>
          <w:sz w:val="28"/>
          <w:sz w:val="28"/>
          <w:rtl w:val="true"/>
        </w:rPr>
        <w:t xml:space="preserve"> </w:t>
      </w:r>
      <w:r>
        <w:rPr>
          <w:sz w:val="28"/>
          <w:sz w:val="28"/>
          <w:rtl w:val="true"/>
        </w:rPr>
        <w:t>או</w:t>
      </w:r>
      <w:r>
        <w:rPr>
          <w:sz w:val="28"/>
          <w:sz w:val="28"/>
          <w:rtl w:val="true"/>
        </w:rPr>
        <w:t xml:space="preserve"> </w:t>
      </w:r>
      <w:r>
        <w:rPr>
          <w:sz w:val="28"/>
          <w:sz w:val="28"/>
          <w:rtl w:val="true"/>
        </w:rPr>
        <w:t>בנכות</w:t>
      </w:r>
      <w:r>
        <w:rPr>
          <w:sz w:val="28"/>
          <w:sz w:val="28"/>
          <w:rtl w:val="true"/>
        </w:rPr>
        <w:t xml:space="preserve"> </w:t>
      </w:r>
      <w:r>
        <w:rPr>
          <w:sz w:val="28"/>
          <w:sz w:val="28"/>
          <w:rtl w:val="true"/>
        </w:rPr>
        <w:t>צמיתה</w:t>
      </w:r>
      <w:r>
        <w:rPr>
          <w:sz w:val="28"/>
          <w:rtl w:val="true"/>
        </w:rPr>
        <w:t>.</w:t>
      </w:r>
      <w:r>
        <w:rPr>
          <w:sz w:val="28"/>
          <w:rtl w:val="true"/>
        </w:rPr>
        <w:t xml:space="preserve"> </w:t>
      </w:r>
      <w:r>
        <w:rPr>
          <w:rtl w:val="true"/>
        </w:rPr>
        <w:t>לקולה ציין בית המשפט את העובדה שמעשי האלימות החלו בעקבות סברתו של המערער כי המתלונן מנסה לקיים עימו מגע מיני</w:t>
      </w:r>
      <w:r>
        <w:rPr>
          <w:rtl w:val="true"/>
        </w:rPr>
        <w:t xml:space="preserve">, </w:t>
      </w:r>
      <w:r>
        <w:rPr>
          <w:rtl w:val="true"/>
        </w:rPr>
        <w:t>את העובדה שמעשי האלימות לא היו מתוכננים ושהמערער פעל לבדו</w:t>
      </w:r>
      <w:r>
        <w:rPr>
          <w:rtl w:val="true"/>
        </w:rPr>
        <w:t xml:space="preserve">, </w:t>
      </w:r>
      <w:r>
        <w:rPr>
          <w:rtl w:val="true"/>
        </w:rPr>
        <w:t>וכן את העובדה שהמעשים לא גרמו למתלונן נכות תמידית</w:t>
      </w:r>
      <w:r>
        <w:rPr>
          <w:rtl w:val="true"/>
        </w:rPr>
        <w:t xml:space="preserve">. </w:t>
      </w:r>
      <w:r>
        <w:rPr>
          <w:rtl w:val="true"/>
        </w:rPr>
        <w:t>בנוגע לכך שהמערער היה נתון להשפעת אלכוהול בעת ביצוע המעשים</w:t>
      </w:r>
      <w:r>
        <w:rPr>
          <w:rtl w:val="true"/>
        </w:rPr>
        <w:t xml:space="preserve">, </w:t>
      </w:r>
      <w:r>
        <w:rPr>
          <w:rtl w:val="true"/>
        </w:rPr>
        <w:t xml:space="preserve">קבע בית המשפט כי מאחר שהיותו של המערער תחת השפעת אלכוהול הייתה מרצונו ומדעתו </w:t>
      </w:r>
      <w:r>
        <w:rPr>
          <w:rtl w:val="true"/>
        </w:rPr>
        <w:t>–</w:t>
      </w:r>
      <w:r>
        <w:rPr>
          <w:rtl w:val="true"/>
        </w:rPr>
        <w:t xml:space="preserve"> השפעת האלכוהול אינה מהווה סיבה להקל עימו</w:t>
      </w:r>
      <w:r>
        <w:rPr>
          <w:rtl w:val="true"/>
        </w:rPr>
        <w:t>.</w:t>
      </w:r>
      <w:r>
        <w:rPr>
          <w:color w:val="FF0000"/>
          <w:rtl w:val="true"/>
        </w:rPr>
        <w:t xml:space="preserve"> </w:t>
      </w:r>
      <w:r>
        <w:rPr>
          <w:rtl w:val="true"/>
        </w:rPr>
        <w:t>עוד צוין</w:t>
      </w:r>
      <w:r>
        <w:rPr>
          <w:rtl w:val="true"/>
        </w:rPr>
        <w:t xml:space="preserve">, </w:t>
      </w:r>
      <w:r>
        <w:rPr>
          <w:rtl w:val="true"/>
        </w:rPr>
        <w:t>כי בעבירת חבלה בכוונה מחמירה הפסיקה קבעה מנעד רחב של עונשים בהתאם לנסיבות המקרה ואופיו של הנאשם</w:t>
      </w:r>
      <w:r>
        <w:rPr>
          <w:rtl w:val="true"/>
        </w:rPr>
        <w:t>.</w:t>
      </w:r>
      <w:r>
        <w:rPr>
          <w:color w:val="FF0000"/>
          <w:rtl w:val="true"/>
        </w:rPr>
        <w:t xml:space="preserve"> </w:t>
      </w:r>
      <w:r>
        <w:rPr>
          <w:rtl w:val="true"/>
        </w:rPr>
        <w:t>בית המשפט סקר שורה של פסקי דין שניתן להשליך מהם למקרה דנן</w:t>
      </w:r>
      <w:r>
        <w:rPr>
          <w:rtl w:val="true"/>
        </w:rPr>
        <w:t xml:space="preserve">, </w:t>
      </w:r>
      <w:r>
        <w:rPr>
          <w:rtl w:val="true"/>
        </w:rPr>
        <w:t xml:space="preserve">ולבסוף קבע מתחם ענישה הנע בין </w:t>
      </w:r>
      <w:r>
        <w:rPr/>
        <w:t>3</w:t>
      </w:r>
      <w:r>
        <w:rPr>
          <w:rtl w:val="true"/>
        </w:rPr>
        <w:t xml:space="preserve"> </w:t>
      </w:r>
      <w:r>
        <w:rPr>
          <w:rtl w:val="true"/>
        </w:rPr>
        <w:t>ל</w:t>
      </w:r>
      <w:r>
        <w:rPr>
          <w:rtl w:val="true"/>
        </w:rPr>
        <w:t>-</w:t>
      </w:r>
      <w:r>
        <w:rPr/>
        <w:t>7</w:t>
      </w:r>
      <w:r>
        <w:rPr>
          <w:rtl w:val="true"/>
        </w:rPr>
        <w:t xml:space="preserve"> </w:t>
      </w:r>
      <w:r>
        <w:rPr>
          <w:rtl w:val="true"/>
        </w:rPr>
        <w:t>שנות מאסר בפועל</w:t>
      </w:r>
      <w:r>
        <w:rPr>
          <w:rtl w:val="true"/>
        </w:rPr>
        <w:t xml:space="preserve">. </w:t>
      </w:r>
    </w:p>
    <w:p>
      <w:pPr>
        <w:pStyle w:val="Ruller42"/>
        <w:numPr>
          <w:ilvl w:val="0"/>
          <w:numId w:val="0"/>
        </w:numPr>
        <w:spacing w:lineRule="auto" w:line="240"/>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tl w:val="true"/>
        </w:rPr>
        <w:tab/>
      </w:r>
      <w:r>
        <w:rPr>
          <w:rtl w:val="true"/>
        </w:rPr>
        <w:t>אשר לנסיבות שאינן קשורות בביצוע העבירה</w:t>
      </w:r>
      <w:r>
        <w:rPr>
          <w:rtl w:val="true"/>
        </w:rPr>
        <w:t xml:space="preserve">, </w:t>
      </w:r>
      <w:r>
        <w:rPr>
          <w:rtl w:val="true"/>
        </w:rPr>
        <w:t>ציין בית המשפט המחוזי כי שקל לחומרה את עברו הפלילי הלא מבוטל של המערער</w:t>
      </w:r>
      <w:r>
        <w:rPr>
          <w:rtl w:val="true"/>
        </w:rPr>
        <w:t xml:space="preserve">, </w:t>
      </w:r>
      <w:r>
        <w:rPr>
          <w:rtl w:val="true"/>
        </w:rPr>
        <w:t xml:space="preserve">הכולל </w:t>
      </w:r>
      <w:r>
        <w:rPr/>
        <w:t>10</w:t>
      </w:r>
      <w:r>
        <w:rPr>
          <w:rtl w:val="true"/>
        </w:rPr>
        <w:t xml:space="preserve"> </w:t>
      </w:r>
      <w:r>
        <w:rPr>
          <w:rtl w:val="true"/>
        </w:rPr>
        <w:t>הרשעות בעבירות אלימות</w:t>
      </w:r>
      <w:r>
        <w:rPr>
          <w:rtl w:val="true"/>
        </w:rPr>
        <w:t xml:space="preserve">, </w:t>
      </w:r>
      <w:r>
        <w:rPr>
          <w:rtl w:val="true"/>
        </w:rPr>
        <w:t>רכוש והחזקת סמים</w:t>
      </w:r>
      <w:r>
        <w:rPr>
          <w:rtl w:val="true"/>
        </w:rPr>
        <w:t xml:space="preserve">; </w:t>
      </w:r>
      <w:r>
        <w:rPr>
          <w:rtl w:val="true"/>
        </w:rPr>
        <w:t>וכי אין מדובר במעידה חד פעמית ולא במאסר ראשון של המערער</w:t>
      </w:r>
      <w:r>
        <w:rPr>
          <w:rtl w:val="true"/>
        </w:rPr>
        <w:t xml:space="preserve">. </w:t>
      </w:r>
      <w:r>
        <w:rPr>
          <w:rtl w:val="true"/>
        </w:rPr>
        <w:t xml:space="preserve">כן </w:t>
      </w:r>
      <w:r>
        <w:rPr>
          <w:rFonts w:ascii="Century" w:hAnsi="Century" w:cs="Century"/>
          <w:sz w:val="22"/>
          <w:sz w:val="22"/>
          <w:rtl w:val="true"/>
        </w:rPr>
        <w:t xml:space="preserve">צוין כי </w:t>
      </w:r>
      <w:r>
        <w:rPr>
          <w:rFonts w:ascii="Century" w:hAnsi="Century" w:cs="Century"/>
          <w:sz w:val="22"/>
          <w:sz w:val="22"/>
          <w:rtl w:val="true"/>
        </w:rPr>
        <w:t>תלוי</w:t>
      </w:r>
      <w:r>
        <w:rPr>
          <w:rFonts w:ascii="Century" w:hAnsi="Century" w:cs="Century"/>
          <w:sz w:val="22"/>
          <w:sz w:val="22"/>
          <w:rtl w:val="true"/>
        </w:rPr>
        <w:t xml:space="preserve"> </w:t>
      </w:r>
      <w:r>
        <w:rPr>
          <w:rFonts w:ascii="Century" w:hAnsi="Century" w:cs="Century"/>
          <w:sz w:val="22"/>
          <w:sz w:val="22"/>
          <w:rtl w:val="true"/>
        </w:rPr>
        <w:t>ועומד</w:t>
      </w:r>
      <w:r>
        <w:rPr>
          <w:rFonts w:ascii="Century" w:hAnsi="Century" w:cs="Century"/>
          <w:sz w:val="22"/>
          <w:sz w:val="22"/>
          <w:rtl w:val="true"/>
        </w:rPr>
        <w:t xml:space="preserve"> </w:t>
      </w:r>
      <w:r>
        <w:rPr>
          <w:rFonts w:ascii="Century" w:hAnsi="Century" w:cs="Century"/>
          <w:sz w:val="22"/>
          <w:sz w:val="22"/>
          <w:rtl w:val="true"/>
        </w:rPr>
        <w:t>נגד</w:t>
      </w:r>
      <w:r>
        <w:rPr>
          <w:rFonts w:ascii="Century" w:hAnsi="Century" w:cs="Century"/>
          <w:sz w:val="22"/>
          <w:sz w:val="22"/>
          <w:rtl w:val="true"/>
        </w:rPr>
        <w:t>ו</w:t>
      </w:r>
      <w:r>
        <w:rPr>
          <w:rFonts w:ascii="Century" w:hAnsi="Century" w:cs="Century"/>
          <w:sz w:val="22"/>
          <w:sz w:val="22"/>
          <w:rtl w:val="true"/>
        </w:rPr>
        <w:t xml:space="preserve"> </w:t>
      </w:r>
      <w:r>
        <w:rPr>
          <w:rFonts w:ascii="Century" w:hAnsi="Century" w:cs="Century"/>
          <w:sz w:val="22"/>
          <w:sz w:val="22"/>
          <w:rtl w:val="true"/>
        </w:rPr>
        <w:t>מאסר על תנאי</w:t>
      </w:r>
      <w:r>
        <w:rPr>
          <w:rFonts w:ascii="Century" w:hAnsi="Century" w:cs="Century"/>
          <w:sz w:val="22"/>
          <w:sz w:val="22"/>
          <w:rtl w:val="true"/>
        </w:rPr>
        <w:t xml:space="preserve"> </w:t>
      </w:r>
      <w:r>
        <w:rPr>
          <w:rFonts w:ascii="Century" w:hAnsi="Century" w:cs="Century"/>
          <w:sz w:val="22"/>
          <w:sz w:val="22"/>
          <w:rtl w:val="true"/>
        </w:rPr>
        <w:t>בן</w:t>
      </w:r>
      <w:r>
        <w:rPr>
          <w:rFonts w:ascii="Century" w:hAnsi="Century" w:cs="Century"/>
          <w:sz w:val="22"/>
          <w:sz w:val="22"/>
          <w:rtl w:val="true"/>
        </w:rPr>
        <w:t xml:space="preserve">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חודשים</w:t>
      </w:r>
      <w:r>
        <w:rPr>
          <w:rFonts w:ascii="Century" w:hAnsi="Century" w:cs="Century"/>
          <w:sz w:val="22"/>
          <w:sz w:val="22"/>
          <w:rtl w:val="true"/>
        </w:rPr>
        <w:t xml:space="preserve"> </w:t>
      </w:r>
      <w:r>
        <w:rPr>
          <w:rFonts w:ascii="Century" w:hAnsi="Century" w:cs="Century"/>
          <w:sz w:val="22"/>
          <w:sz w:val="22"/>
          <w:rtl w:val="true"/>
        </w:rPr>
        <w:t>שלא</w:t>
      </w:r>
      <w:r>
        <w:rPr>
          <w:rFonts w:ascii="Century" w:hAnsi="Century" w:cs="Century"/>
          <w:sz w:val="22"/>
          <w:sz w:val="22"/>
          <w:rtl w:val="true"/>
        </w:rPr>
        <w:t xml:space="preserve"> </w:t>
      </w:r>
      <w:r>
        <w:rPr>
          <w:rFonts w:ascii="Century" w:hAnsi="Century" w:cs="Century"/>
          <w:sz w:val="22"/>
          <w:sz w:val="22"/>
          <w:rtl w:val="true"/>
        </w:rPr>
        <w:t>הרתיעו</w:t>
      </w:r>
      <w:r>
        <w:rPr>
          <w:rFonts w:cs="Century" w:ascii="Century" w:hAnsi="Century"/>
          <w:sz w:val="22"/>
          <w:rtl w:val="true"/>
        </w:rPr>
        <w:t xml:space="preserve">. </w:t>
      </w:r>
      <w:r>
        <w:rPr>
          <w:rtl w:val="true"/>
        </w:rPr>
        <w:t>נוסף על כך</w:t>
      </w:r>
      <w:r>
        <w:rPr>
          <w:rtl w:val="true"/>
        </w:rPr>
        <w:t xml:space="preserve">, </w:t>
      </w:r>
      <w:r>
        <w:rPr>
          <w:rtl w:val="true"/>
        </w:rPr>
        <w:t>עמד בית המשפט על תסקיר שירות המבחן שהוגש בעניינו של המערער</w:t>
      </w:r>
      <w:r>
        <w:rPr>
          <w:rtl w:val="true"/>
        </w:rPr>
        <w:t xml:space="preserve">, </w:t>
      </w:r>
      <w:r>
        <w:rPr>
          <w:rtl w:val="true"/>
        </w:rPr>
        <w:t>ממנו עולה כי ניכרת מגמה של החמרה בעבירות האלימות שביצע לאורך השנים</w:t>
      </w:r>
      <w:r>
        <w:rPr>
          <w:rtl w:val="true"/>
        </w:rPr>
        <w:t xml:space="preserve">, </w:t>
      </w:r>
      <w:r>
        <w:rPr>
          <w:rtl w:val="true"/>
        </w:rPr>
        <w:t>כי המערער שולב מספר פעמים בעבר במסגרות טיפוליות לגמילה מסמים ללא הצלחה</w:t>
      </w:r>
      <w:r>
        <w:rPr>
          <w:rtl w:val="true"/>
        </w:rPr>
        <w:t xml:space="preserve">, </w:t>
      </w:r>
      <w:r>
        <w:rPr>
          <w:rtl w:val="true"/>
        </w:rPr>
        <w:t>וכי ניכר שיש צורך בהרתעת המערער ובהגנה על שלום הציבור מפניו</w:t>
      </w:r>
      <w:r>
        <w:rPr>
          <w:rtl w:val="true"/>
        </w:rPr>
        <w:t xml:space="preserve">. </w:t>
      </w:r>
      <w:r>
        <w:rPr>
          <w:rtl w:val="true"/>
        </w:rPr>
        <w:t>לזכות המערער</w:t>
      </w:r>
      <w:r>
        <w:rPr>
          <w:rtl w:val="true"/>
        </w:rPr>
        <w:t xml:space="preserve">, </w:t>
      </w:r>
      <w:r>
        <w:rPr>
          <w:rtl w:val="true"/>
        </w:rPr>
        <w:t>בית המשפט זקף את הנסיבות הבאות</w:t>
      </w:r>
      <w:r>
        <w:rPr>
          <w:rtl w:val="true"/>
        </w:rPr>
        <w:t xml:space="preserve">: </w:t>
      </w:r>
      <w:r>
        <w:rPr>
          <w:rtl w:val="true"/>
        </w:rPr>
        <w:t>הודאת המערער ונטילת אחריות על מעשיו</w:t>
      </w:r>
      <w:r>
        <w:rPr>
          <w:rtl w:val="true"/>
        </w:rPr>
        <w:t xml:space="preserve">; </w:t>
      </w:r>
      <w:r>
        <w:rPr>
          <w:rtl w:val="true"/>
        </w:rPr>
        <w:t>הבעת חרטה כנה מצידו</w:t>
      </w:r>
      <w:r>
        <w:rPr>
          <w:rtl w:val="true"/>
        </w:rPr>
        <w:t xml:space="preserve">; </w:t>
      </w:r>
      <w:r>
        <w:rPr>
          <w:rtl w:val="true"/>
        </w:rPr>
        <w:t>ילדותו הקשה ומציאות חיים מורכבת</w:t>
      </w:r>
      <w:r>
        <w:rPr>
          <w:rtl w:val="true"/>
        </w:rPr>
        <w:t xml:space="preserve">; </w:t>
      </w:r>
      <w:r>
        <w:rPr>
          <w:rtl w:val="true"/>
        </w:rPr>
        <w:t xml:space="preserve">רצון שהביע לטפל בבעיותיו ולהתחיל </w:t>
      </w:r>
      <w:r>
        <w:rPr>
          <w:rtl w:val="true"/>
        </w:rPr>
        <w:t>"</w:t>
      </w:r>
      <w:r>
        <w:rPr>
          <w:rtl w:val="true"/>
        </w:rPr>
        <w:t>דף חדש</w:t>
      </w:r>
      <w:r>
        <w:rPr>
          <w:rtl w:val="true"/>
        </w:rPr>
        <w:t xml:space="preserve">" </w:t>
      </w:r>
      <w:r>
        <w:rPr>
          <w:rtl w:val="true"/>
        </w:rPr>
        <w:t>בחייו</w:t>
      </w:r>
      <w:r>
        <w:rPr>
          <w:rtl w:val="true"/>
        </w:rPr>
        <w:t xml:space="preserve">; </w:t>
      </w:r>
      <w:r>
        <w:rPr>
          <w:rtl w:val="true"/>
        </w:rPr>
        <w:t>ותקופת מעצרו</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rFonts w:ascii="Century" w:hAnsi="Century" w:cs="Century"/>
          <w:sz w:val="22"/>
        </w:rPr>
      </w:pPr>
      <w:r>
        <w:rPr>
          <w:rFonts w:ascii="Century" w:hAnsi="Century" w:cs="Century"/>
          <w:sz w:val="22"/>
          <w:sz w:val="22"/>
          <w:rtl w:val="true"/>
        </w:rPr>
        <w:t>בסופו של יום</w:t>
      </w:r>
      <w:r>
        <w:rPr>
          <w:rFonts w:cs="Century" w:ascii="Century" w:hAnsi="Century"/>
          <w:sz w:val="22"/>
          <w:rtl w:val="true"/>
        </w:rPr>
        <w:t xml:space="preserve">, </w:t>
      </w:r>
      <w:r>
        <w:rPr>
          <w:rFonts w:ascii="Century" w:hAnsi="Century" w:cs="Century"/>
          <w:sz w:val="22"/>
          <w:sz w:val="22"/>
          <w:rtl w:val="true"/>
        </w:rPr>
        <w:t>לאחר ששיקלל ואיזן בין כלל השיקולים שנזכרו לעיל</w:t>
      </w:r>
      <w:r>
        <w:rPr>
          <w:rFonts w:cs="Century" w:ascii="Century" w:hAnsi="Century"/>
          <w:sz w:val="22"/>
          <w:rtl w:val="true"/>
        </w:rPr>
        <w:t xml:space="preserve">, </w:t>
      </w:r>
      <w:r>
        <w:rPr>
          <w:rFonts w:ascii="Century" w:hAnsi="Century" w:cs="Century"/>
          <w:sz w:val="22"/>
          <w:sz w:val="22"/>
          <w:rtl w:val="true"/>
        </w:rPr>
        <w:t>החליט בית המשפט למקם את עונשו של המערער ברף האמצעי של מתחם העונש ההולם שקבע בעניינו</w:t>
      </w:r>
      <w:r>
        <w:rPr>
          <w:rFonts w:cs="Century" w:ascii="Century" w:hAnsi="Century"/>
          <w:sz w:val="22"/>
          <w:rtl w:val="true"/>
        </w:rPr>
        <w:t xml:space="preserve">. </w:t>
      </w:r>
      <w:r>
        <w:rPr>
          <w:rFonts w:ascii="Century" w:hAnsi="Century" w:cs="Century"/>
          <w:sz w:val="22"/>
          <w:sz w:val="22"/>
          <w:rtl w:val="true"/>
        </w:rPr>
        <w:t>בהתאם</w:t>
      </w:r>
      <w:r>
        <w:rPr>
          <w:rFonts w:cs="Century" w:ascii="Century" w:hAnsi="Century"/>
          <w:sz w:val="22"/>
          <w:rtl w:val="true"/>
        </w:rPr>
        <w:t xml:space="preserve">, </w:t>
      </w:r>
      <w:r>
        <w:rPr>
          <w:rFonts w:ascii="Century" w:hAnsi="Century" w:cs="Century"/>
          <w:sz w:val="22"/>
          <w:sz w:val="22"/>
          <w:rtl w:val="true"/>
        </w:rPr>
        <w:t>השית בית המשפט המחוזי על המערער את העונשים הבאים</w:t>
      </w:r>
      <w:r>
        <w:rPr>
          <w:rFonts w:cs="Century" w:ascii="Century" w:hAnsi="Century"/>
          <w:sz w:val="22"/>
          <w:rtl w:val="true"/>
        </w:rPr>
        <w:t xml:space="preserve">: </w:t>
      </w:r>
      <w:r>
        <w:rPr>
          <w:rFonts w:cs="Century" w:ascii="Century" w:hAnsi="Century"/>
          <w:sz w:val="22"/>
        </w:rPr>
        <w:t>60</w:t>
      </w:r>
      <w:r>
        <w:rPr>
          <w:rFonts w:cs="Century" w:ascii="Century" w:hAnsi="Century"/>
          <w:sz w:val="22"/>
          <w:rtl w:val="true"/>
        </w:rPr>
        <w:t xml:space="preserve"> </w:t>
      </w:r>
      <w:r>
        <w:rPr>
          <w:rFonts w:ascii="Century" w:hAnsi="Century" w:cs="Century"/>
          <w:sz w:val="22"/>
          <w:sz w:val="22"/>
          <w:rtl w:val="true"/>
        </w:rPr>
        <w:t>חודשי מאסר בפועל</w:t>
      </w:r>
      <w:r>
        <w:rPr>
          <w:rFonts w:cs="Century" w:ascii="Century" w:hAnsi="Century"/>
          <w:sz w:val="22"/>
          <w:rtl w:val="true"/>
        </w:rPr>
        <w:t xml:space="preserve">, </w:t>
      </w:r>
      <w:r>
        <w:rPr>
          <w:rFonts w:ascii="Century" w:hAnsi="Century" w:cs="Century"/>
          <w:sz w:val="22"/>
          <w:sz w:val="22"/>
          <w:rtl w:val="true"/>
        </w:rPr>
        <w:t>בניכוי ימי מעצרו</w:t>
      </w:r>
      <w:r>
        <w:rPr>
          <w:rFonts w:cs="Century" w:ascii="Century" w:hAnsi="Century"/>
          <w:sz w:val="22"/>
          <w:rtl w:val="true"/>
        </w:rPr>
        <w:t xml:space="preserve">; </w:t>
      </w:r>
      <w:r>
        <w:rPr>
          <w:rFonts w:ascii="Century" w:hAnsi="Century" w:cs="Century"/>
          <w:sz w:val="22"/>
          <w:sz w:val="22"/>
          <w:rtl w:val="true"/>
        </w:rPr>
        <w:t xml:space="preserve">מאסר על תנאי למשך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חודשים</w:t>
      </w:r>
      <w:r>
        <w:rPr>
          <w:rFonts w:cs="Century" w:ascii="Century" w:hAnsi="Century"/>
          <w:sz w:val="22"/>
          <w:rtl w:val="true"/>
        </w:rPr>
        <w:t xml:space="preserve">, </w:t>
      </w:r>
      <w:r>
        <w:rPr>
          <w:rFonts w:ascii="Century" w:hAnsi="Century" w:cs="Century"/>
          <w:sz w:val="22"/>
          <w:sz w:val="22"/>
          <w:rtl w:val="true"/>
        </w:rPr>
        <w:t>כאשר התנאי הוא כי לא יעבור במשך שלוש שנים מיום שחרורו עבירת אלימות מסוג פשע</w:t>
      </w:r>
      <w:r>
        <w:rPr>
          <w:rFonts w:cs="Century" w:ascii="Century" w:hAnsi="Century"/>
          <w:sz w:val="22"/>
          <w:rtl w:val="true"/>
        </w:rPr>
        <w:t xml:space="preserve">; </w:t>
      </w:r>
      <w:r>
        <w:rPr>
          <w:rFonts w:ascii="Century" w:hAnsi="Century" w:cs="Century"/>
          <w:sz w:val="22"/>
          <w:sz w:val="22"/>
          <w:rtl w:val="true"/>
        </w:rPr>
        <w:t xml:space="preserve">מאסר על תנאי למשך </w:t>
      </w:r>
      <w:r>
        <w:rPr>
          <w:rFonts w:cs="Century" w:ascii="Century" w:hAnsi="Century"/>
          <w:sz w:val="22"/>
        </w:rPr>
        <w:t>6</w:t>
      </w:r>
      <w:r>
        <w:rPr>
          <w:rFonts w:cs="Century" w:ascii="Century" w:hAnsi="Century"/>
          <w:sz w:val="22"/>
          <w:rtl w:val="true"/>
        </w:rPr>
        <w:t xml:space="preserve"> </w:t>
      </w:r>
      <w:r>
        <w:rPr>
          <w:rFonts w:ascii="Century" w:hAnsi="Century" w:cs="Century"/>
          <w:sz w:val="22"/>
          <w:sz w:val="22"/>
          <w:rtl w:val="true"/>
        </w:rPr>
        <w:t>חודשים</w:t>
      </w:r>
      <w:r>
        <w:rPr>
          <w:rFonts w:cs="Century" w:ascii="Century" w:hAnsi="Century"/>
          <w:sz w:val="22"/>
          <w:rtl w:val="true"/>
        </w:rPr>
        <w:t xml:space="preserve">, </w:t>
      </w:r>
      <w:r>
        <w:rPr>
          <w:rFonts w:ascii="Century" w:hAnsi="Century" w:cs="Century"/>
          <w:sz w:val="22"/>
          <w:sz w:val="22"/>
          <w:rtl w:val="true"/>
        </w:rPr>
        <w:t xml:space="preserve">כאשר התנאי הוא כי לא יעבור במשך שלוש שנים מיום שחרורו עבירת אלימות מסוג עוון </w:t>
      </w:r>
      <w:r>
        <w:rPr>
          <w:rFonts w:cs="Century" w:ascii="Century" w:hAnsi="Century"/>
          <w:sz w:val="22"/>
          <w:rtl w:val="true"/>
        </w:rPr>
        <w:t>(</w:t>
      </w:r>
      <w:r>
        <w:rPr>
          <w:rFonts w:ascii="Century" w:hAnsi="Century" w:cs="Century"/>
          <w:sz w:val="22"/>
          <w:sz w:val="22"/>
          <w:rtl w:val="true"/>
        </w:rPr>
        <w:t>למעט עבירת איומים</w:t>
      </w:r>
      <w:r>
        <w:rPr>
          <w:rFonts w:cs="Century" w:ascii="Century" w:hAnsi="Century"/>
          <w:sz w:val="22"/>
          <w:rtl w:val="true"/>
        </w:rPr>
        <w:t xml:space="preserve">); </w:t>
      </w:r>
      <w:r>
        <w:rPr>
          <w:rFonts w:ascii="Century" w:hAnsi="Century" w:cs="Century"/>
          <w:sz w:val="22"/>
          <w:sz w:val="22"/>
          <w:rtl w:val="true"/>
        </w:rPr>
        <w:t>וכן</w:t>
      </w:r>
      <w:r>
        <w:rPr>
          <w:rFonts w:cs="Century" w:ascii="Century" w:hAnsi="Century"/>
          <w:sz w:val="22"/>
          <w:rtl w:val="true"/>
        </w:rPr>
        <w:t xml:space="preserve">, </w:t>
      </w:r>
      <w:r>
        <w:rPr>
          <w:rFonts w:ascii="Century" w:hAnsi="Century" w:cs="Century"/>
          <w:sz w:val="22"/>
          <w:sz w:val="22"/>
          <w:rtl w:val="true"/>
        </w:rPr>
        <w:t xml:space="preserve">הפעלת עונש המאסר על תנאי בן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חודשים</w:t>
      </w:r>
      <w:r>
        <w:rPr>
          <w:rFonts w:cs="Century" w:ascii="Century" w:hAnsi="Century"/>
          <w:sz w:val="22"/>
          <w:rtl w:val="true"/>
        </w:rPr>
        <w:t xml:space="preserve">, </w:t>
      </w:r>
      <w:r>
        <w:rPr>
          <w:rFonts w:ascii="Century" w:hAnsi="Century" w:cs="Century"/>
          <w:sz w:val="22"/>
          <w:sz w:val="22"/>
          <w:rtl w:val="true"/>
        </w:rPr>
        <w:t xml:space="preserve">שהוטל על המערער על ידי בית משפט השלום ברחובות ביום </w:t>
      </w:r>
      <w:r>
        <w:rPr>
          <w:rFonts w:cs="Century" w:ascii="Century" w:hAnsi="Century"/>
          <w:sz w:val="22"/>
        </w:rPr>
        <w:t>20.7.2015</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ascii="Century" w:hAnsi="Century" w:cs="Century"/>
          <w:sz w:val="22"/>
          <w:sz w:val="22"/>
          <w:rtl w:val="true"/>
        </w:rPr>
        <w:t>פ</w:t>
      </w:r>
      <w:r>
        <w:rPr>
          <w:rFonts w:ascii="Century" w:hAnsi="Century" w:cs="Century"/>
          <w:sz w:val="22"/>
          <w:sz w:val="22"/>
          <w:rtl w:val="true"/>
        </w:rPr>
        <w:t xml:space="preserve"> </w:t>
      </w:r>
      <w:r>
        <w:rPr>
          <w:rFonts w:cs="Century" w:ascii="Century" w:hAnsi="Century"/>
          <w:sz w:val="22"/>
        </w:rPr>
        <w:t>37235-05-15</w:t>
      </w:r>
      <w:r>
        <w:rPr>
          <w:rFonts w:cs="Century" w:ascii="Century" w:hAnsi="Century"/>
          <w:sz w:val="22"/>
          <w:rtl w:val="true"/>
        </w:rPr>
        <w:t xml:space="preserve"> (</w:t>
      </w:r>
      <w:r>
        <w:rPr>
          <w:rFonts w:ascii="Century" w:hAnsi="Century" w:cs="Century"/>
          <w:sz w:val="22"/>
          <w:sz w:val="22"/>
          <w:rtl w:val="true"/>
        </w:rPr>
        <w:t xml:space="preserve">כבוד השופטת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רון</w:t>
      </w:r>
      <w:r>
        <w:rPr>
          <w:rFonts w:cs="Century" w:ascii="Century" w:hAnsi="Century"/>
          <w:sz w:val="22"/>
          <w:rtl w:val="true"/>
        </w:rPr>
        <w:t>-</w:t>
      </w:r>
      <w:r>
        <w:rPr>
          <w:rFonts w:ascii="Century" w:hAnsi="Century" w:cs="Century"/>
          <w:sz w:val="22"/>
          <w:sz w:val="22"/>
          <w:rtl w:val="true"/>
        </w:rPr>
        <w:t>סג</w:t>
      </w:r>
      <w:r>
        <w:rPr>
          <w:rFonts w:cs="Century" w:ascii="Century" w:hAnsi="Century"/>
          <w:sz w:val="22"/>
          <w:rtl w:val="true"/>
        </w:rPr>
        <w:t>"</w:t>
      </w:r>
      <w:r>
        <w:rPr>
          <w:rFonts w:ascii="Century" w:hAnsi="Century" w:cs="Century"/>
          <w:sz w:val="22"/>
          <w:sz w:val="22"/>
          <w:rtl w:val="true"/>
        </w:rPr>
        <w:t>נ</w:t>
      </w:r>
      <w:r>
        <w:rPr>
          <w:rFonts w:cs="Century" w:ascii="Century" w:hAnsi="Century"/>
          <w:sz w:val="22"/>
          <w:rtl w:val="true"/>
        </w:rPr>
        <w:t xml:space="preserve">), </w:t>
      </w:r>
      <w:r>
        <w:rPr>
          <w:rFonts w:ascii="Century" w:hAnsi="Century" w:cs="Century"/>
          <w:sz w:val="22"/>
          <w:sz w:val="22"/>
          <w:rtl w:val="true"/>
        </w:rPr>
        <w:t>באופן ש</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חודשים מתוכו יופעלו במצטבר לעונש המאסר בפועל שהושת עליו</w:t>
      </w:r>
      <w:r>
        <w:rPr>
          <w:rFonts w:cs="Century" w:ascii="Century" w:hAnsi="Century"/>
          <w:sz w:val="22"/>
          <w:rtl w:val="true"/>
        </w:rPr>
        <w:t xml:space="preserve">, </w:t>
      </w:r>
      <w:r>
        <w:rPr>
          <w:rFonts w:ascii="Century" w:hAnsi="Century" w:cs="Century"/>
          <w:sz w:val="22"/>
          <w:sz w:val="22"/>
          <w:rtl w:val="true"/>
        </w:rPr>
        <w:t>וחודשיים בחופף</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Normal"/>
        <w:ind w:end="0"/>
        <w:jc w:val="both"/>
        <w:rPr/>
      </w:pPr>
      <w:r>
        <w:rPr>
          <w:rFonts w:cs="Miriam"/>
          <w:sz w:val="24"/>
          <w:sz w:val="24"/>
          <w:rtl w:val="true"/>
        </w:rPr>
        <w:t>הליך</w:t>
      </w:r>
      <w:r>
        <w:rPr>
          <w:rFonts w:cs="Times New Roman;Times New Roman"/>
          <w:sz w:val="24"/>
          <w:sz w:val="24"/>
          <w:rtl w:val="true"/>
        </w:rPr>
        <w:t xml:space="preserve"> </w:t>
      </w:r>
      <w:r>
        <w:rPr>
          <w:rFonts w:cs="Miriam"/>
          <w:sz w:val="24"/>
          <w:sz w:val="24"/>
          <w:rtl w:val="true"/>
        </w:rPr>
        <w:t>הערעור</w:t>
      </w:r>
    </w:p>
    <w:p>
      <w:pPr>
        <w:pStyle w:val="Ruller41"/>
        <w:spacing w:lineRule="auto" w:line="240"/>
        <w:ind w:end="0"/>
        <w:jc w:val="both"/>
        <w:rPr/>
      </w:pPr>
      <w:r>
        <w:rPr>
          <w:rtl w:val="true"/>
        </w:rPr>
      </w:r>
    </w:p>
    <w:p>
      <w:pPr>
        <w:pStyle w:val="Ruller42"/>
        <w:numPr>
          <w:ilvl w:val="0"/>
          <w:numId w:val="1"/>
        </w:numPr>
        <w:ind w:hanging="0" w:start="0" w:end="0"/>
        <w:jc w:val="both"/>
        <w:rPr/>
      </w:pPr>
      <w:r>
        <w:rPr>
          <w:sz w:val="28"/>
          <w:sz w:val="28"/>
          <w:rtl w:val="true"/>
        </w:rPr>
        <w:t>לקראת הדיון בערעור</w:t>
      </w:r>
      <w:r>
        <w:rPr>
          <w:sz w:val="28"/>
          <w:rtl w:val="true"/>
        </w:rPr>
        <w:t xml:space="preserve">, </w:t>
      </w:r>
      <w:r>
        <w:rPr>
          <w:sz w:val="28"/>
          <w:sz w:val="28"/>
          <w:rtl w:val="true"/>
        </w:rPr>
        <w:t>הגיש שירות המבחן תסקיר נוסף בעניינו של המערער</w:t>
      </w:r>
      <w:r>
        <w:rPr>
          <w:sz w:val="28"/>
          <w:rtl w:val="true"/>
        </w:rPr>
        <w:t xml:space="preserve">. </w:t>
      </w:r>
      <w:r>
        <w:rPr>
          <w:sz w:val="28"/>
          <w:sz w:val="28"/>
          <w:rtl w:val="true"/>
        </w:rPr>
        <w:t xml:space="preserve">בתסקיר העדכני מיום </w:t>
      </w:r>
      <w:r>
        <w:rPr>
          <w:sz w:val="28"/>
        </w:rPr>
        <w:t>2.6.2019</w:t>
      </w:r>
      <w:r>
        <w:rPr>
          <w:sz w:val="28"/>
          <w:rtl w:val="true"/>
        </w:rPr>
        <w:t xml:space="preserve">, </w:t>
      </w:r>
      <w:r>
        <w:rPr>
          <w:sz w:val="28"/>
          <w:sz w:val="28"/>
          <w:rtl w:val="true"/>
        </w:rPr>
        <w:t>נכתב כי</w:t>
      </w:r>
      <w:r>
        <w:rPr>
          <w:rtl w:val="true"/>
        </w:rPr>
        <w:t xml:space="preserve"> הלה משולב במחלקה לטיפול בהתמכרויות בכלא</w:t>
      </w:r>
      <w:r>
        <w:rPr>
          <w:rtl w:val="true"/>
        </w:rPr>
        <w:t xml:space="preserve">, </w:t>
      </w:r>
      <w:r>
        <w:rPr>
          <w:rtl w:val="true"/>
        </w:rPr>
        <w:t>וכי לאחר סיום הטיפול במחלקה הוא מיועד להמשך טיפול באלימות כללית</w:t>
      </w:r>
      <w:r>
        <w:rPr>
          <w:rtl w:val="true"/>
        </w:rPr>
        <w:t xml:space="preserve">. </w:t>
      </w:r>
      <w:r>
        <w:rPr>
          <w:rtl w:val="true"/>
        </w:rPr>
        <w:t>שירות המבחן עמד בתסקיר על החשיבות הנודעת לכך שהמערער יסיים את הטיפול שבו החל</w:t>
      </w:r>
      <w:r>
        <w:rPr>
          <w:rtl w:val="true"/>
        </w:rPr>
        <w:t xml:space="preserve">, </w:t>
      </w:r>
      <w:r>
        <w:rPr>
          <w:rtl w:val="true"/>
        </w:rPr>
        <w:t>ונציגת שירות המבחן גב</w:t>
      </w:r>
      <w:r>
        <w:rPr>
          <w:rtl w:val="true"/>
        </w:rPr>
        <w:t xml:space="preserve">' </w:t>
      </w:r>
      <w:r>
        <w:rPr>
          <w:rtl w:val="true"/>
        </w:rPr>
        <w:t>וייס חזרה והדגישה עניין זה בדיון שהתקיים לפנינו</w:t>
      </w:r>
      <w:r>
        <w:rPr>
          <w:rtl w:val="true"/>
        </w:rPr>
        <w:t xml:space="preserve">. </w:t>
      </w:r>
      <w:r>
        <w:rPr>
          <w:rtl w:val="true"/>
        </w:rPr>
        <w:t>נוסף על כך</w:t>
      </w:r>
      <w:r>
        <w:rPr>
          <w:rtl w:val="true"/>
        </w:rPr>
        <w:t xml:space="preserve">, </w:t>
      </w:r>
      <w:r>
        <w:rPr>
          <w:rtl w:val="true"/>
        </w:rPr>
        <w:t>עולה מהתסקיר כי המערער מתחרט על מעשיו</w:t>
      </w:r>
      <w:r>
        <w:rPr>
          <w:rtl w:val="true"/>
        </w:rPr>
        <w:t xml:space="preserve">, </w:t>
      </w:r>
      <w:r>
        <w:rPr>
          <w:rtl w:val="true"/>
        </w:rPr>
        <w:t>מודע לדחפיו האימפולסיביים</w:t>
      </w:r>
      <w:r>
        <w:rPr>
          <w:rtl w:val="true"/>
        </w:rPr>
        <w:t xml:space="preserve">, </w:t>
      </w:r>
      <w:r>
        <w:rPr>
          <w:rtl w:val="true"/>
        </w:rPr>
        <w:t>מבטא מוטיבציה גבוהה להליך הטיפולי ומתפקד בצורה חיובית במסגרת כותלי הכלא</w:t>
      </w:r>
      <w:r>
        <w:rPr>
          <w:rtl w:val="true"/>
        </w:rPr>
        <w:t>.</w:t>
      </w:r>
    </w:p>
    <w:p>
      <w:pPr>
        <w:pStyle w:val="Ruller41"/>
        <w:ind w:end="0"/>
        <w:jc w:val="both"/>
        <w:rPr/>
      </w:pPr>
      <w:r>
        <w:rPr>
          <w:rtl w:val="true"/>
        </w:rPr>
      </w:r>
    </w:p>
    <w:p>
      <w:pPr>
        <w:pStyle w:val="Ruller42"/>
        <w:numPr>
          <w:ilvl w:val="0"/>
          <w:numId w:val="1"/>
        </w:numPr>
        <w:ind w:hanging="0" w:start="0" w:end="0"/>
        <w:jc w:val="both"/>
        <w:rPr>
          <w:color w:val="FF0000"/>
        </w:rPr>
      </w:pPr>
      <w:r>
        <w:rPr>
          <w:rtl w:val="true"/>
        </w:rPr>
        <w:t>המערער טוען כי בית המשפט המחוזי שגה הן בקביעת מתחם הענישה הן בקביעת העונש במסגרתו</w:t>
      </w:r>
      <w:r>
        <w:rPr>
          <w:rtl w:val="true"/>
        </w:rPr>
        <w:t xml:space="preserve">, </w:t>
      </w:r>
      <w:r>
        <w:rPr>
          <w:rtl w:val="true"/>
        </w:rPr>
        <w:t>שלגישתו מחמיר מהנוהג במקרים דומים</w:t>
      </w:r>
      <w:r>
        <w:rPr>
          <w:rtl w:val="true"/>
        </w:rPr>
        <w:t xml:space="preserve">. </w:t>
      </w:r>
      <w:r>
        <w:rPr>
          <w:rtl w:val="true"/>
        </w:rPr>
        <w:t>לדבריו</w:t>
      </w:r>
      <w:r>
        <w:rPr>
          <w:rtl w:val="true"/>
        </w:rPr>
        <w:t xml:space="preserve">, </w:t>
      </w:r>
      <w:r>
        <w:rPr>
          <w:rtl w:val="true"/>
        </w:rPr>
        <w:t>בית המשפט לא נתן משקל הולם לנסיבות המקילות בעניינו</w:t>
      </w:r>
      <w:r>
        <w:rPr>
          <w:rtl w:val="true"/>
        </w:rPr>
        <w:t xml:space="preserve">, </w:t>
      </w:r>
      <w:r>
        <w:rPr>
          <w:rtl w:val="true"/>
        </w:rPr>
        <w:t>ובכללן</w:t>
      </w:r>
      <w:r>
        <w:rPr>
          <w:rtl w:val="true"/>
        </w:rPr>
        <w:t xml:space="preserve">: </w:t>
      </w:r>
      <w:r>
        <w:rPr>
          <w:rtl w:val="true"/>
        </w:rPr>
        <w:t>העובדה שלא היה תכנון מוקדם</w:t>
      </w:r>
      <w:r>
        <w:rPr>
          <w:rtl w:val="true"/>
        </w:rPr>
        <w:t xml:space="preserve">; </w:t>
      </w:r>
      <w:r>
        <w:rPr>
          <w:rtl w:val="true"/>
        </w:rPr>
        <w:t>היותו של המערער תחת השפעת אלכוהול בשעת ביצוע העבירה</w:t>
      </w:r>
      <w:r>
        <w:rPr>
          <w:rtl w:val="true"/>
        </w:rPr>
        <w:t xml:space="preserve">; </w:t>
      </w:r>
      <w:r>
        <w:rPr>
          <w:rtl w:val="true"/>
        </w:rPr>
        <w:t>היעדר שימוש בכלים המשמשים לתקיפה</w:t>
      </w:r>
      <w:r>
        <w:rPr>
          <w:rtl w:val="true"/>
        </w:rPr>
        <w:t xml:space="preserve">; </w:t>
      </w:r>
      <w:r>
        <w:rPr>
          <w:rtl w:val="true"/>
        </w:rPr>
        <w:t>העובדה שלא נגרמה למתלונן נכות צמיתה</w:t>
      </w:r>
      <w:r>
        <w:rPr>
          <w:rtl w:val="true"/>
        </w:rPr>
        <w:t xml:space="preserve">; </w:t>
      </w:r>
      <w:r>
        <w:rPr>
          <w:rtl w:val="true"/>
        </w:rPr>
        <w:t xml:space="preserve">והטענה כי הייתה התגרות מוקדמת מצד המתלונן </w:t>
      </w:r>
      <w:r>
        <w:rPr>
          <w:rtl w:val="true"/>
        </w:rPr>
        <w:t>–</w:t>
      </w:r>
      <w:r>
        <w:rPr>
          <w:rtl w:val="true"/>
        </w:rPr>
        <w:t xml:space="preserve"> סברתו של המערער שהמתלונן מנסה לקיים עימו מגע מיני</w:t>
      </w:r>
      <w:r>
        <w:rPr>
          <w:rtl w:val="true"/>
        </w:rPr>
        <w:t xml:space="preserve">. </w:t>
      </w:r>
      <w:r>
        <w:rPr>
          <w:rtl w:val="true"/>
        </w:rPr>
        <w:t>עוד נטען</w:t>
      </w:r>
      <w:r>
        <w:rPr>
          <w:rtl w:val="true"/>
        </w:rPr>
        <w:t xml:space="preserve">, </w:t>
      </w:r>
      <w:r>
        <w:rPr>
          <w:rtl w:val="true"/>
        </w:rPr>
        <w:t>כי שגה בית המשפט כאשר זקף לחובתו את כשלונותיו בהליכי גמילה קודמים שבהם שולב</w:t>
      </w:r>
      <w:r>
        <w:rPr>
          <w:rtl w:val="true"/>
        </w:rPr>
        <w:t xml:space="preserve">, </w:t>
      </w:r>
      <w:r>
        <w:rPr>
          <w:rtl w:val="true"/>
        </w:rPr>
        <w:t>ולא זקף לזכותו את תפקודו בבית המעצר ואת היותו נקי מסמים</w:t>
      </w:r>
      <w:r>
        <w:rPr>
          <w:rtl w:val="true"/>
        </w:rPr>
        <w:t xml:space="preserve">. </w:t>
      </w:r>
      <w:r>
        <w:rPr>
          <w:rtl w:val="true"/>
        </w:rPr>
        <w:t>לבסוף</w:t>
      </w:r>
      <w:r>
        <w:rPr>
          <w:rtl w:val="true"/>
        </w:rPr>
        <w:t xml:space="preserve">, </w:t>
      </w:r>
      <w:r>
        <w:rPr>
          <w:rtl w:val="true"/>
        </w:rPr>
        <w:t>טוען המערער כי היה מקום לייחס משקל רב יותר לקבלת האחריות המלאה על מעשיו שייתרה את העדת המתלונן</w:t>
      </w:r>
      <w:r>
        <w:rPr>
          <w:rtl w:val="true"/>
        </w:rPr>
        <w:t xml:space="preserve">, </w:t>
      </w:r>
      <w:r>
        <w:rPr>
          <w:rtl w:val="true"/>
        </w:rPr>
        <w:t>ולהליך השיקום שבו החל המערער עוד בעת מעצרו</w:t>
      </w:r>
      <w:r>
        <w:rPr>
          <w:rtl w:val="true"/>
        </w:rPr>
        <w:t>.</w:t>
      </w:r>
    </w:p>
    <w:p>
      <w:pPr>
        <w:pStyle w:val="Ruller41"/>
        <w:spacing w:lineRule="auto" w:line="240"/>
        <w:ind w:end="0"/>
        <w:jc w:val="both"/>
        <w:rPr>
          <w:color w:val="FF0000"/>
        </w:rPr>
      </w:pPr>
      <w:r>
        <w:rPr>
          <w:color w:val="FF0000"/>
          <w:rtl w:val="true"/>
        </w:rPr>
      </w:r>
    </w:p>
    <w:p>
      <w:pPr>
        <w:pStyle w:val="Ruller42"/>
        <w:numPr>
          <w:ilvl w:val="0"/>
          <w:numId w:val="0"/>
        </w:numPr>
        <w:ind w:hanging="0" w:start="0" w:end="0"/>
        <w:jc w:val="both"/>
        <w:rPr/>
      </w:pPr>
      <w:r>
        <w:rPr>
          <w:rtl w:val="true"/>
        </w:rPr>
        <w:tab/>
      </w:r>
      <w:r>
        <w:rPr>
          <w:rtl w:val="true"/>
        </w:rPr>
        <w:t>המשיבה מצידה טוענת כי דין הערעור להידחות</w:t>
      </w:r>
      <w:r>
        <w:rPr>
          <w:rtl w:val="true"/>
        </w:rPr>
        <w:t xml:space="preserve">. </w:t>
      </w:r>
      <w:r>
        <w:rPr>
          <w:rtl w:val="true"/>
        </w:rPr>
        <w:t>לעמדתה</w:t>
      </w:r>
      <w:r>
        <w:rPr>
          <w:rtl w:val="true"/>
        </w:rPr>
        <w:t xml:space="preserve">, </w:t>
      </w:r>
      <w:r>
        <w:rPr>
          <w:rtl w:val="true"/>
        </w:rPr>
        <w:t>תסקיר שירות המבחן בעניינו של המערער מעלה כי המועד הנכון לבחינת ההליך השיקומי שעובר המערער הוא לקראת ועדת השחרורים</w:t>
      </w:r>
      <w:r>
        <w:rPr>
          <w:rtl w:val="true"/>
        </w:rPr>
        <w:t xml:space="preserve">, </w:t>
      </w:r>
      <w:r>
        <w:rPr>
          <w:rtl w:val="true"/>
        </w:rPr>
        <w:t>ולא בשלב מוקדם זה שבו לא ניתן לצפות אם ההליך השיקומי יצלח</w:t>
      </w:r>
      <w:r>
        <w:rPr>
          <w:rtl w:val="true"/>
        </w:rPr>
        <w:t xml:space="preserve">. </w:t>
      </w:r>
      <w:r>
        <w:rPr>
          <w:rtl w:val="true"/>
        </w:rPr>
        <w:t>עוד ביקשה המשיבה לציין כי מאז ההרשעה נושא הדיון</w:t>
      </w:r>
      <w:r>
        <w:rPr>
          <w:rtl w:val="true"/>
        </w:rPr>
        <w:t xml:space="preserve">, </w:t>
      </w:r>
      <w:r>
        <w:rPr>
          <w:rtl w:val="true"/>
        </w:rPr>
        <w:t xml:space="preserve">המערער הורשע בעבירה נוספת של תקיפת שוטר ממועד שקודם לאירוע בענייננו </w:t>
      </w:r>
      <w:r>
        <w:rPr>
          <w:rtl w:val="true"/>
        </w:rPr>
        <w:t>–</w:t>
      </w:r>
      <w:r>
        <w:rPr>
          <w:rtl w:val="true"/>
        </w:rPr>
        <w:t xml:space="preserve"> ונדון בגינה לחודשיים מאסר בחפיפה</w:t>
      </w:r>
      <w:r>
        <w:rPr>
          <w:rtl w:val="true"/>
        </w:rPr>
        <w:t xml:space="preserve">, </w:t>
      </w:r>
      <w:r>
        <w:rPr>
          <w:rtl w:val="true"/>
        </w:rPr>
        <w:t>וגם זאת יש לקחת בחשבון</w:t>
      </w:r>
      <w:r>
        <w:rPr>
          <w:rtl w:val="true"/>
        </w:rPr>
        <w:t>.</w:t>
      </w:r>
    </w:p>
    <w:p>
      <w:pPr>
        <w:pStyle w:val="Ruller41"/>
        <w:ind w:end="0"/>
        <w:jc w:val="both"/>
        <w:rPr/>
      </w:pPr>
      <w:r>
        <w:rPr>
          <w:rtl w:val="true"/>
        </w:rPr>
      </w:r>
    </w:p>
    <w:p>
      <w:pPr>
        <w:pStyle w:val="Normal"/>
        <w:ind w:end="0"/>
        <w:jc w:val="both"/>
        <w:rPr/>
      </w:pPr>
      <w:r>
        <w:rPr>
          <w:rFonts w:cs="Miriam"/>
          <w:sz w:val="24"/>
          <w:sz w:val="24"/>
          <w:rtl w:val="true"/>
        </w:rPr>
        <w:t>דיון</w:t>
      </w:r>
      <w:r>
        <w:rPr>
          <w:rFonts w:cs="Times New Roman;Times New Roman"/>
          <w:sz w:val="24"/>
          <w:sz w:val="24"/>
          <w:rtl w:val="true"/>
        </w:rPr>
        <w:t xml:space="preserve"> </w:t>
      </w:r>
      <w:r>
        <w:rPr>
          <w:rFonts w:cs="Miriam"/>
          <w:sz w:val="24"/>
          <w:sz w:val="24"/>
          <w:rtl w:val="true"/>
        </w:rPr>
        <w:t>והכרעה</w:t>
      </w:r>
    </w:p>
    <w:p>
      <w:pPr>
        <w:pStyle w:val="Ruller41"/>
        <w:spacing w:lineRule="auto" w:line="240"/>
        <w:ind w:end="0"/>
        <w:jc w:val="both"/>
        <w:rPr/>
      </w:pPr>
      <w:r>
        <w:rPr>
          <w:rtl w:val="true"/>
        </w:rPr>
      </w:r>
    </w:p>
    <w:p>
      <w:pPr>
        <w:pStyle w:val="Ruller42"/>
        <w:numPr>
          <w:ilvl w:val="0"/>
          <w:numId w:val="1"/>
        </w:numPr>
        <w:ind w:hanging="0" w:start="0" w:end="0"/>
        <w:jc w:val="both"/>
        <w:rPr/>
      </w:pPr>
      <w:r>
        <w:rPr>
          <w:sz w:val="28"/>
          <w:sz w:val="28"/>
          <w:rtl w:val="true"/>
        </w:rPr>
        <w:t>לאחר עיון במכלול החומר</w:t>
      </w:r>
      <w:r>
        <w:rPr>
          <w:sz w:val="28"/>
          <w:rtl w:val="true"/>
        </w:rPr>
        <w:t xml:space="preserve">, </w:t>
      </w:r>
      <w:r>
        <w:rPr>
          <w:sz w:val="28"/>
          <w:sz w:val="28"/>
          <w:rtl w:val="true"/>
        </w:rPr>
        <w:t>ושמיעת טענות הצדדים בדיון שהתקיים לפנינו</w:t>
      </w:r>
      <w:r>
        <w:rPr>
          <w:sz w:val="28"/>
          <w:rtl w:val="true"/>
        </w:rPr>
        <w:t xml:space="preserve">, </w:t>
      </w:r>
      <w:r>
        <w:rPr>
          <w:sz w:val="28"/>
          <w:sz w:val="28"/>
          <w:rtl w:val="true"/>
        </w:rPr>
        <w:t>הגעתי לכלל דעה כי דין הערעור להידחות</w:t>
      </w:r>
      <w:r>
        <w:rPr>
          <w:sz w:val="28"/>
          <w:rtl w:val="true"/>
        </w:rPr>
        <w:t xml:space="preserve">. </w:t>
      </w:r>
      <w:r>
        <w:rPr>
          <w:sz w:val="28"/>
          <w:sz w:val="28"/>
          <w:rtl w:val="true"/>
        </w:rPr>
        <w:t>ואבאר</w:t>
      </w:r>
      <w:r>
        <w:rPr>
          <w:sz w:val="28"/>
          <w:rtl w:val="true"/>
        </w:rPr>
        <w:t>.</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 xml:space="preserve">בפתח הדיון אזכיר את הכלל הידוע שלפיו ערכאת הערעור תתערב בחומרת העונש רק במקרים חריגים של טעות מהותית וברורה שנפלה בגזר הדין או של סטייה קיצונית ממדיניות הענישה הראויה והנוהגת במקרים דומים </w:t>
      </w:r>
      <w:r>
        <w:rPr>
          <w:rtl w:val="true"/>
        </w:rPr>
        <w:t>(</w:t>
      </w:r>
      <w:hyperlink r:id="rId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5931/11</w:t>
        </w:r>
      </w:hyperlink>
      <w:r>
        <w:rPr>
          <w:rtl w:val="true"/>
        </w:rPr>
        <w:t xml:space="preserve"> </w:t>
      </w:r>
      <w:r>
        <w:rPr>
          <w:rFonts w:ascii="Century" w:hAnsi="Century" w:cs="Miriam"/>
          <w:b/>
          <w:b/>
          <w:spacing w:val="0"/>
          <w:sz w:val="22"/>
          <w:sz w:val="22"/>
          <w:szCs w:val="24"/>
          <w:rtl w:val="true"/>
        </w:rPr>
        <w:t>עבדולייב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15</w:t>
      </w:r>
      <w:r>
        <w:rPr>
          <w:rtl w:val="true"/>
        </w:rPr>
        <w:t xml:space="preserve"> (</w:t>
      </w:r>
      <w:r>
        <w:rPr/>
        <w:t>22.10.2013</w:t>
      </w:r>
      <w:r>
        <w:rPr>
          <w:rtl w:val="true"/>
        </w:rPr>
        <w:t>)</w:t>
      </w:r>
      <w:r>
        <w:rPr>
          <w:rtl w:val="true"/>
        </w:rPr>
        <w:t xml:space="preserve">; </w:t>
      </w:r>
      <w:hyperlink r:id="rId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9437/08</w:t>
        </w:r>
      </w:hyperlink>
      <w:r>
        <w:rPr>
          <w:rtl w:val="true"/>
        </w:rPr>
        <w:t xml:space="preserve"> </w:t>
      </w:r>
      <w:r>
        <w:rPr>
          <w:rFonts w:ascii="Century" w:hAnsi="Century" w:cs="Miriam"/>
          <w:b/>
          <w:b/>
          <w:spacing w:val="0"/>
          <w:sz w:val="22"/>
          <w:sz w:val="22"/>
          <w:szCs w:val="24"/>
          <w:rtl w:val="true"/>
        </w:rPr>
        <w:t>אלגריסי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14</w:t>
      </w:r>
      <w:r>
        <w:rPr>
          <w:rtl w:val="true"/>
        </w:rPr>
        <w:t xml:space="preserve"> (</w:t>
      </w:r>
      <w:r>
        <w:rPr/>
        <w:t>12.5.2009</w:t>
      </w:r>
      <w:r>
        <w:rPr>
          <w:rtl w:val="true"/>
        </w:rPr>
        <w:t>)</w:t>
      </w:r>
      <w:r>
        <w:rPr>
          <w:rtl w:val="true"/>
        </w:rPr>
        <w:t xml:space="preserve">; </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3091/08</w:t>
        </w:r>
      </w:hyperlink>
      <w:r>
        <w:rPr>
          <w:rtl w:val="true"/>
        </w:rPr>
        <w:t xml:space="preserve"> </w:t>
      </w:r>
      <w:r>
        <w:rPr>
          <w:rFonts w:ascii="Century" w:hAnsi="Century" w:cs="Miriam"/>
          <w:b/>
          <w:b/>
          <w:spacing w:val="0"/>
          <w:sz w:val="22"/>
          <w:sz w:val="22"/>
          <w:szCs w:val="24"/>
          <w:rtl w:val="true"/>
        </w:rPr>
        <w:t>טרייגר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11</w:t>
      </w:r>
      <w:r>
        <w:rPr>
          <w:rtl w:val="true"/>
        </w:rPr>
        <w:t xml:space="preserve"> (</w:t>
      </w:r>
      <w:r>
        <w:rPr/>
        <w:t>29.1.2009</w:t>
      </w:r>
      <w:r>
        <w:rPr>
          <w:rtl w:val="true"/>
        </w:rPr>
        <w:t xml:space="preserve">); </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7563/08</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4.3.2009</w:t>
      </w:r>
      <w:r>
        <w:rPr>
          <w:rtl w:val="true"/>
        </w:rPr>
        <w:t xml:space="preserve">); </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7439/08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4.3.2009</w:t>
      </w:r>
      <w:r>
        <w:rPr>
          <w:rtl w:val="true"/>
        </w:rPr>
        <w:t>)</w:t>
      </w:r>
      <w:r>
        <w:rPr>
          <w:rtl w:val="true"/>
        </w:rPr>
        <w:t xml:space="preserve">). </w:t>
      </w:r>
      <w:r>
        <w:rPr>
          <w:rtl w:val="true"/>
        </w:rPr>
        <w:t>עניינו של המערער אינו נמנה עם אותם מקרים חריגים שבהם ערכאת הערעור תתערב בחומרת העונש שהושת על ידי הערכאה הדיונית</w:t>
      </w:r>
      <w:r>
        <w:rPr>
          <w:rtl w:val="true"/>
        </w:rPr>
        <w:t xml:space="preserve">. </w:t>
      </w:r>
      <w:r>
        <w:rPr>
          <w:rtl w:val="true"/>
        </w:rPr>
        <w:t>העונש שנגזר על המערער הוא ראוי והולם בהינתן הנסיבות ולנוכח הענישה הנוהגת במקרים דומים</w:t>
      </w:r>
      <w:r>
        <w:rPr>
          <w:rtl w:val="true"/>
        </w:rPr>
        <w:t xml:space="preserve">; </w:t>
      </w:r>
      <w:r>
        <w:rPr>
          <w:rtl w:val="true"/>
        </w:rPr>
        <w:t>וניכר שבית המשפט המחוזי נתן דעתו והתחשב בכל אותן נסיבות מקילות שניתן לזקוף לטובתו של המערער</w:t>
      </w:r>
      <w:r>
        <w:rPr>
          <w:rtl w:val="true"/>
        </w:rPr>
        <w:t>.</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כאמור</w:t>
      </w:r>
      <w:r>
        <w:rPr>
          <w:rtl w:val="true"/>
        </w:rPr>
        <w:t xml:space="preserve">, </w:t>
      </w:r>
      <w:r>
        <w:rPr>
          <w:rtl w:val="true"/>
        </w:rPr>
        <w:t>המערער הורשע על פי הודאתו בעבירת חבלה בכוונה מחמירה</w:t>
      </w:r>
      <w:r>
        <w:rPr>
          <w:rtl w:val="true"/>
        </w:rPr>
        <w:t xml:space="preserve">. </w:t>
      </w:r>
      <w:r>
        <w:rPr>
          <w:rtl w:val="true"/>
        </w:rPr>
        <w:t>בית משפט זה עמד לא אחת על החומרה היתרה הגלומה בעבירות אלימות</w:t>
      </w:r>
      <w:r>
        <w:rPr>
          <w:rtl w:val="true"/>
        </w:rPr>
        <w:t xml:space="preserve">, </w:t>
      </w:r>
      <w:r>
        <w:rPr>
          <w:rtl w:val="true"/>
        </w:rPr>
        <w:t>לנוכח הפגיעה הקשה בערכים המוגנים של שלמות הגוף והנפש וההגנה על הביטחון</w:t>
      </w:r>
      <w:r>
        <w:rPr>
          <w:rtl w:val="true"/>
        </w:rPr>
        <w:t xml:space="preserve">, </w:t>
      </w:r>
      <w:r>
        <w:rPr>
          <w:rtl w:val="true"/>
        </w:rPr>
        <w:t>ועל הצורך בהרתעה מפני ביצוען</w:t>
      </w:r>
      <w:r>
        <w:rPr>
          <w:rtl w:val="true"/>
        </w:rPr>
        <w:t xml:space="preserve">. </w:t>
      </w:r>
      <w:r>
        <w:rPr>
          <w:rtl w:val="true"/>
        </w:rPr>
        <w:t>על רקע התגברות מעשי האלימות אף</w:t>
      </w:r>
      <w:r>
        <w:rPr>
          <w:rtl w:val="true"/>
        </w:rPr>
        <w:t xml:space="preserve"> </w:t>
      </w:r>
      <w:r>
        <w:rPr>
          <w:rtl w:val="true"/>
        </w:rPr>
        <w:t xml:space="preserve">ניכרת </w:t>
      </w:r>
      <w:r>
        <w:rPr>
          <w:rtl w:val="true"/>
        </w:rPr>
        <w:t>מגמה</w:t>
      </w:r>
      <w:r>
        <w:rPr>
          <w:rtl w:val="true"/>
        </w:rPr>
        <w:t xml:space="preserve"> </w:t>
      </w:r>
      <w:r>
        <w:rPr>
          <w:rtl w:val="true"/>
        </w:rPr>
        <w:t>ברורה</w:t>
      </w:r>
      <w:r>
        <w:rPr>
          <w:rtl w:val="true"/>
        </w:rPr>
        <w:t xml:space="preserve"> </w:t>
      </w:r>
      <w:r>
        <w:rPr>
          <w:rtl w:val="true"/>
        </w:rPr>
        <w:t xml:space="preserve">בפסיקה </w:t>
      </w:r>
      <w:r>
        <w:rPr>
          <w:rtl w:val="true"/>
        </w:rPr>
        <w:t>של</w:t>
      </w:r>
      <w:r>
        <w:rPr>
          <w:rtl w:val="true"/>
        </w:rPr>
        <w:t xml:space="preserve"> </w:t>
      </w:r>
      <w:r>
        <w:rPr>
          <w:rtl w:val="true"/>
        </w:rPr>
        <w:t>החמרה</w:t>
      </w:r>
      <w:r>
        <w:rPr>
          <w:rtl w:val="true"/>
        </w:rPr>
        <w:t xml:space="preserve"> </w:t>
      </w:r>
      <w:r>
        <w:rPr>
          <w:rtl w:val="true"/>
        </w:rPr>
        <w:t>בענישה</w:t>
      </w:r>
      <w:r>
        <w:rPr>
          <w:rtl w:val="true"/>
        </w:rPr>
        <w:t xml:space="preserve"> </w:t>
      </w:r>
      <w:r>
        <w:rPr>
          <w:rtl w:val="true"/>
        </w:rPr>
        <w:t>בעבירות</w:t>
      </w:r>
      <w:r>
        <w:rPr>
          <w:rtl w:val="true"/>
        </w:rPr>
        <w:t xml:space="preserve"> </w:t>
      </w:r>
      <w:r>
        <w:rPr>
          <w:rtl w:val="true"/>
        </w:rPr>
        <w:t>אלימות</w:t>
      </w:r>
      <w:r>
        <w:rPr>
          <w:rtl w:val="true"/>
        </w:rPr>
        <w:t xml:space="preserve"> </w:t>
      </w:r>
      <w:r>
        <w:rPr>
          <w:rtl w:val="true"/>
        </w:rPr>
        <w:t>בכלל</w:t>
      </w:r>
      <w:r>
        <w:rPr>
          <w:rtl w:val="true"/>
        </w:rPr>
        <w:t xml:space="preserve"> </w:t>
      </w:r>
      <w:r>
        <w:rPr>
          <w:rtl w:val="true"/>
        </w:rPr>
        <w:t>ובעבירת</w:t>
      </w:r>
      <w:r>
        <w:rPr>
          <w:rtl w:val="true"/>
        </w:rPr>
        <w:t xml:space="preserve"> </w:t>
      </w:r>
      <w:r>
        <w:rPr>
          <w:rtl w:val="true"/>
        </w:rPr>
        <w:t>חבלה</w:t>
      </w:r>
      <w:r>
        <w:rPr>
          <w:rtl w:val="true"/>
        </w:rPr>
        <w:t xml:space="preserve"> </w:t>
      </w:r>
      <w:r>
        <w:rPr>
          <w:rtl w:val="true"/>
        </w:rPr>
        <w:t>חמורה</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בפרט</w:t>
      </w:r>
      <w:r>
        <w:rPr>
          <w:rtl w:val="true"/>
        </w:rPr>
        <w:t xml:space="preserve">, </w:t>
      </w:r>
      <w:r>
        <w:rPr>
          <w:rtl w:val="true"/>
        </w:rPr>
        <w:t>לא כל שכן בעבירה של חבלה בכוונה מחמירה כבענייננו</w:t>
      </w:r>
      <w:r>
        <w:rP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7475/14</w:t>
        </w:r>
      </w:hyperlink>
      <w:r>
        <w:rPr>
          <w:rtl w:val="true"/>
        </w:rPr>
        <w:t xml:space="preserve"> </w:t>
      </w:r>
      <w:r>
        <w:rPr>
          <w:rFonts w:ascii="Century" w:hAnsi="Century" w:cs="Miriam"/>
          <w:b/>
          <w:b/>
          <w:spacing w:val="0"/>
          <w:sz w:val="22"/>
          <w:sz w:val="22"/>
          <w:szCs w:val="24"/>
          <w:rtl w:val="true"/>
        </w:rPr>
        <w:t>מהדי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13</w:t>
      </w:r>
      <w:r>
        <w:rPr>
          <w:rtl w:val="true"/>
        </w:rPr>
        <w:t xml:space="preserve"> (</w:t>
      </w:r>
      <w:r>
        <w:rPr/>
        <w:t>25.12.2014</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2350/14</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עברי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פסקאות </w:t>
      </w:r>
      <w:r>
        <w:rPr/>
        <w:t>30-29</w:t>
      </w:r>
      <w:r>
        <w:rPr>
          <w:rtl w:val="true"/>
        </w:rPr>
        <w:t xml:space="preserve"> (</w:t>
      </w:r>
      <w:r>
        <w:rPr/>
        <w:t>18.1.2015</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8244/17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פסקאות </w:t>
      </w:r>
      <w:r>
        <w:rPr/>
        <w:t>14-13</w:t>
      </w:r>
      <w:r>
        <w:rPr>
          <w:rtl w:val="true"/>
        </w:rPr>
        <w:t xml:space="preserve"> (</w:t>
      </w:r>
      <w:r>
        <w:rPr/>
        <w:t>21.6.2018</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בענייננו</w:t>
      </w:r>
      <w:r>
        <w:rPr>
          <w:rtl w:val="true"/>
        </w:rPr>
        <w:t xml:space="preserve">, </w:t>
      </w:r>
      <w:r>
        <w:rPr>
          <w:sz w:val="28"/>
          <w:sz w:val="28"/>
          <w:rtl w:val="true"/>
        </w:rPr>
        <w:t>נסיבות העבירה חמורות במיוחד</w:t>
      </w:r>
      <w:r>
        <w:rPr>
          <w:sz w:val="28"/>
          <w:rtl w:val="true"/>
        </w:rPr>
        <w:t xml:space="preserve">. </w:t>
      </w:r>
      <w:r>
        <w:rPr>
          <w:rtl w:val="true"/>
        </w:rPr>
        <w:t>מעשה האלימות שבוצע על ידי המערער התרחש בשעת לילה מאוחרת</w:t>
      </w:r>
      <w:r>
        <w:rPr>
          <w:rtl w:val="true"/>
        </w:rPr>
        <w:t xml:space="preserve">, </w:t>
      </w:r>
      <w:r>
        <w:rPr>
          <w:rtl w:val="true"/>
        </w:rPr>
        <w:t>לאחר שהמערער והמתלונן שהו יחד בגן ציבורי ושתו משקאות אלכוהוליים</w:t>
      </w:r>
      <w:r>
        <w:rPr>
          <w:rtl w:val="true"/>
        </w:rPr>
        <w:t xml:space="preserve">. </w:t>
      </w:r>
      <w:r>
        <w:rPr>
          <w:rtl w:val="true"/>
        </w:rPr>
        <w:t>המערער</w:t>
      </w:r>
      <w:r>
        <w:rPr>
          <w:rtl w:val="true"/>
        </w:rPr>
        <w:t xml:space="preserve">, </w:t>
      </w:r>
      <w:r>
        <w:rPr>
          <w:rtl w:val="true"/>
        </w:rPr>
        <w:t>שסבר כי המתלונן מנסה לקיים עימו מגע מיני</w:t>
      </w:r>
      <w:r>
        <w:rPr>
          <w:rtl w:val="true"/>
        </w:rPr>
        <w:t xml:space="preserve">, </w:t>
      </w:r>
      <w:r>
        <w:rPr>
          <w:rtl w:val="true"/>
        </w:rPr>
        <w:t>לא היסס לתקוף את המתלונן</w:t>
      </w:r>
      <w:r>
        <w:rPr>
          <w:rtl w:val="true"/>
        </w:rPr>
        <w:t xml:space="preserve">; </w:t>
      </w:r>
      <w:r>
        <w:rPr>
          <w:rtl w:val="true"/>
        </w:rPr>
        <w:t xml:space="preserve">ויותר מכך </w:t>
      </w:r>
      <w:r>
        <w:rPr>
          <w:rtl w:val="true"/>
        </w:rPr>
        <w:t>–</w:t>
      </w:r>
      <w:r>
        <w:rPr>
          <w:rtl w:val="true"/>
        </w:rPr>
        <w:t xml:space="preserve"> המשיך לתקוף ולחבול במתלונן דקות ארוכות ולא חדל גם לאחר שהמתלונן</w:t>
      </w:r>
      <w:r>
        <w:rPr>
          <w:rtl w:val="true"/>
        </w:rPr>
        <w:t xml:space="preserve">, </w:t>
      </w:r>
      <w:r>
        <w:rPr>
          <w:rtl w:val="true"/>
        </w:rPr>
        <w:t>שהיה שרוע כל אותה עת על הרצפה</w:t>
      </w:r>
      <w:r>
        <w:rPr>
          <w:rtl w:val="true"/>
        </w:rPr>
        <w:t xml:space="preserve">, </w:t>
      </w:r>
      <w:r>
        <w:rPr>
          <w:rtl w:val="true"/>
        </w:rPr>
        <w:t>איבד את הכרתו ולא היווה כל איום מבחינת המערער</w:t>
      </w:r>
      <w:r>
        <w:rPr>
          <w:rtl w:val="true"/>
        </w:rPr>
        <w:t xml:space="preserve">, </w:t>
      </w:r>
      <w:r>
        <w:rPr>
          <w:rtl w:val="true"/>
        </w:rPr>
        <w:t>כך עד שהגיעה המשטרה</w:t>
      </w:r>
      <w:r>
        <w:rPr>
          <w:rtl w:val="true"/>
        </w:rPr>
        <w:t xml:space="preserve">. </w:t>
      </w:r>
      <w:r>
        <w:rPr>
          <w:rtl w:val="true"/>
        </w:rPr>
        <w:t>המערער אף הגדיל לעשות והודה בפני השוטר כי חפץ במות המתלונן</w:t>
      </w:r>
      <w:r>
        <w:rPr>
          <w:rtl w:val="true"/>
        </w:rPr>
        <w:t xml:space="preserve">. </w:t>
      </w:r>
      <w:r>
        <w:rPr>
          <w:rtl w:val="true"/>
        </w:rPr>
        <w:t>אומנם האירוע לא הסתיים בנזק בלתי הפיך</w:t>
      </w:r>
      <w:r>
        <w:rPr>
          <w:rtl w:val="true"/>
        </w:rPr>
        <w:t xml:space="preserve">, </w:t>
      </w:r>
      <w:r>
        <w:rPr>
          <w:rtl w:val="true"/>
        </w:rPr>
        <w:t>אך זאת רק במזל</w:t>
      </w:r>
      <w:r>
        <w:rPr>
          <w:rtl w:val="true"/>
        </w:rPr>
        <w:t xml:space="preserve">. </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בניגוד לטענת המערער</w:t>
      </w:r>
      <w:r>
        <w:rPr>
          <w:rtl w:val="true"/>
        </w:rPr>
        <w:t xml:space="preserve">, </w:t>
      </w:r>
      <w:r>
        <w:rPr>
          <w:rtl w:val="true"/>
        </w:rPr>
        <w:t>בית המשפט המחוזי זקף לזכותו את כל אותן נסיבות מקילות שטען להן</w:t>
      </w:r>
      <w:r>
        <w:rPr>
          <w:rtl w:val="true"/>
        </w:rPr>
        <w:t xml:space="preserve">, </w:t>
      </w:r>
      <w:r>
        <w:rPr>
          <w:rtl w:val="true"/>
        </w:rPr>
        <w:t>ובכללן את תפקודו בבית המעצר</w:t>
      </w:r>
      <w:r>
        <w:rPr>
          <w:rtl w:val="true"/>
        </w:rPr>
        <w:t xml:space="preserve">, </w:t>
      </w:r>
      <w:r>
        <w:rPr>
          <w:rtl w:val="true"/>
        </w:rPr>
        <w:t>היותו נקי מסמים</w:t>
      </w:r>
      <w:r>
        <w:rPr>
          <w:rtl w:val="true"/>
        </w:rPr>
        <w:t xml:space="preserve">, </w:t>
      </w:r>
      <w:r>
        <w:rPr>
          <w:rtl w:val="true"/>
        </w:rPr>
        <w:t>העובדה שלקח אחריות מלאה על מעשיו ורצונו הכן להשתלב בהליך טיפולי</w:t>
      </w:r>
      <w:r>
        <w:rPr>
          <w:rtl w:val="true"/>
        </w:rPr>
        <w:t xml:space="preserve">. </w:t>
      </w:r>
      <w:r>
        <w:rPr>
          <w:rtl w:val="true"/>
        </w:rPr>
        <w:t>וכפי שציין בית המשפט המחוזי</w:t>
      </w:r>
      <w:r>
        <w:rPr>
          <w:rtl w:val="true"/>
        </w:rPr>
        <w:t xml:space="preserve">, </w:t>
      </w:r>
      <w:r>
        <w:rPr>
          <w:rtl w:val="true"/>
        </w:rPr>
        <w:t>אלמלא נטילת אחריות וחרטה מצד המערער והרצון שהביע להשתלב באפיקים טיפוליים בכלא</w:t>
      </w:r>
      <w:r>
        <w:rPr>
          <w:rtl w:val="true"/>
        </w:rPr>
        <w:t xml:space="preserve">, </w:t>
      </w:r>
      <w:r>
        <w:rPr>
          <w:rtl w:val="true"/>
        </w:rPr>
        <w:t>העונש שהושת עליו היה חמור יותר</w:t>
      </w:r>
      <w:r>
        <w:rPr>
          <w:rtl w:val="true"/>
        </w:rPr>
        <w:t>.</w:t>
      </w:r>
    </w:p>
    <w:p>
      <w:pPr>
        <w:pStyle w:val="Ruller41"/>
        <w:ind w:end="0"/>
        <w:jc w:val="both"/>
        <w:rPr/>
      </w:pPr>
      <w:r>
        <w:rPr>
          <w:rtl w:val="true"/>
        </w:rPr>
      </w:r>
    </w:p>
    <w:p>
      <w:pPr>
        <w:pStyle w:val="Ruller41"/>
        <w:ind w:end="0"/>
        <w:jc w:val="both"/>
        <w:rPr>
          <w:color w:val="FF0000"/>
        </w:rPr>
      </w:pPr>
      <w:r>
        <w:rPr>
          <w:rtl w:val="true"/>
        </w:rPr>
        <w:tab/>
      </w:r>
      <w:r>
        <w:rPr>
          <w:rtl w:val="true"/>
        </w:rPr>
        <w:t>כך</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שמעבר</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דנן</w:t>
      </w:r>
      <w:r>
        <w:rPr>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להתעלם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שכולל</w:t>
      </w:r>
      <w:r>
        <w:rPr>
          <w:rFonts w:eastAsia="Arial TUR;Arial" w:cs="Arial TUR;Arial"/>
          <w:rtl w:val="true"/>
        </w:rPr>
        <w:t xml:space="preserve"> </w:t>
      </w:r>
      <w:r>
        <w:rPr/>
        <w:t>10</w:t>
      </w:r>
      <w:r>
        <w:rPr>
          <w:rtl w:val="true"/>
        </w:rPr>
        <w:t xml:space="preserve"> </w:t>
      </w:r>
      <w:r>
        <w:rPr>
          <w:rtl w:val="true"/>
        </w:rPr>
        <w:t>הרשעות</w:t>
      </w:r>
      <w:r>
        <w:rPr>
          <w:rFonts w:eastAsia="Arial TUR;Arial" w:cs="Arial TUR;Arial"/>
          <w:rtl w:val="true"/>
        </w:rPr>
        <w:t xml:space="preserve"> </w:t>
      </w:r>
      <w:r>
        <w:rPr>
          <w:rtl w:val="true"/>
        </w:rPr>
        <w:t>קודמות</w:t>
      </w:r>
      <w:r>
        <w:rPr>
          <w:rtl w:val="true"/>
        </w:rPr>
        <w:t xml:space="preserve">, </w:t>
      </w:r>
      <w:r>
        <w:rPr>
          <w:rtl w:val="true"/>
        </w:rPr>
        <w:t>ביניהן</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שבגינן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ריצה</w:t>
      </w:r>
      <w:r>
        <w:rPr>
          <w:rFonts w:eastAsia="Arial TUR;Arial" w:cs="Arial TUR;Arial"/>
          <w:rtl w:val="true"/>
        </w:rPr>
        <w:t xml:space="preserve"> </w:t>
      </w:r>
      <w:r>
        <w:rPr>
          <w:rtl w:val="true"/>
        </w:rPr>
        <w:t>עונשי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מבוטלים</w:t>
      </w:r>
      <w:r>
        <w:rPr>
          <w:rtl w:val="true"/>
        </w:rPr>
        <w:t xml:space="preserve">. </w:t>
      </w:r>
      <w:r>
        <w:rPr>
          <w:rtl w:val="true"/>
        </w:rPr>
        <w:t>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במעידה</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פעמית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אלא</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חוזרת</w:t>
      </w:r>
      <w:r>
        <w:rPr>
          <w:rFonts w:eastAsia="Arial TUR;Arial" w:cs="Arial TUR;Arial"/>
          <w:rtl w:val="true"/>
        </w:rPr>
        <w:t xml:space="preserve"> </w:t>
      </w:r>
      <w:r>
        <w:rPr>
          <w:rtl w:val="true"/>
        </w:rPr>
        <w:t>ובמגמת</w:t>
      </w:r>
      <w:r>
        <w:rPr>
          <w:rFonts w:eastAsia="Arial TUR;Arial" w:cs="Arial TUR;Arial"/>
          <w:rtl w:val="true"/>
        </w:rPr>
        <w:t xml:space="preserve"> </w:t>
      </w:r>
      <w:r>
        <w:rPr>
          <w:rtl w:val="true"/>
        </w:rPr>
        <w:t>החמרה</w:t>
      </w:r>
      <w:r>
        <w:rPr>
          <w:rtl w:val="true"/>
        </w:rPr>
        <w:t xml:space="preserve">; </w:t>
      </w:r>
      <w:r>
        <w:rPr>
          <w:rtl w:val="true"/>
        </w:rPr>
        <w:t>המאסר</w:t>
      </w:r>
      <w:r>
        <w:rPr>
          <w:rFonts w:eastAsia="Arial TUR;Arial" w:cs="Arial TUR;Arial"/>
          <w:rtl w:val="true"/>
        </w:rPr>
        <w:t xml:space="preserve"> </w:t>
      </w:r>
      <w:r>
        <w:rPr>
          <w:rtl w:val="true"/>
        </w:rPr>
        <w:t>המותנה</w:t>
      </w:r>
      <w:r>
        <w:rPr>
          <w:rFonts w:eastAsia="Arial TUR;Arial" w:cs="Arial TUR;Arial"/>
          <w:rtl w:val="true"/>
        </w:rPr>
        <w:t xml:space="preserve"> </w:t>
      </w:r>
      <w:r>
        <w:rPr>
          <w:rtl w:val="true"/>
        </w:rPr>
        <w:t>שהיה</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הרתיעו</w:t>
      </w:r>
      <w:r>
        <w:rPr>
          <w:rFonts w:eastAsia="Arial TUR;Arial" w:cs="Arial TUR;Arial"/>
          <w:rtl w:val="true"/>
        </w:rPr>
        <w:t xml:space="preserve"> </w:t>
      </w:r>
      <w:r>
        <w:rPr>
          <w:rtl w:val="true"/>
        </w:rPr>
        <w:t>–</w:t>
      </w:r>
      <w:r>
        <w:rPr>
          <w:rFonts w:eastAsia="Arial TUR;Arial" w:cs="Arial TUR;Arial"/>
          <w:rtl w:val="true"/>
        </w:rPr>
        <w:t xml:space="preserve"> </w:t>
      </w:r>
      <w:r>
        <w:rPr>
          <w:rtl w:val="true"/>
        </w:rPr>
        <w:t>ולכך</w:t>
      </w:r>
      <w:r>
        <w:rPr>
          <w:rFonts w:eastAsia="Arial TUR;Arial" w:cs="Arial TUR;Arial"/>
          <w:rtl w:val="true"/>
        </w:rPr>
        <w:t xml:space="preserve"> </w:t>
      </w:r>
      <w:r>
        <w:rPr>
          <w:rtl w:val="true"/>
        </w:rPr>
        <w:t>נודעת</w:t>
      </w:r>
      <w:r>
        <w:rPr>
          <w:rFonts w:eastAsia="Arial TUR;Arial" w:cs="Arial TUR;Arial"/>
          <w:rtl w:val="true"/>
        </w:rPr>
        <w:t xml:space="preserve"> </w:t>
      </w:r>
      <w:r>
        <w:rPr>
          <w:rtl w:val="true"/>
        </w:rPr>
        <w:t>חומרה</w:t>
      </w:r>
      <w:r>
        <w:rPr>
          <w:rFonts w:eastAsia="Arial TUR;Arial" w:cs="Arial TUR;Arial"/>
          <w:rtl w:val="true"/>
        </w:rPr>
        <w:t xml:space="preserve"> </w:t>
      </w:r>
      <w:r>
        <w:rPr>
          <w:rtl w:val="true"/>
        </w:rPr>
        <w:t>יתרה</w:t>
      </w:r>
      <w:r>
        <w:rPr>
          <w:rtl w:val="true"/>
        </w:rPr>
        <w:t xml:space="preserve">. </w:t>
      </w:r>
      <w:r>
        <w:rPr>
          <w:rtl w:val="true"/>
        </w:rPr>
        <w:t>ועוד</w:t>
      </w:r>
      <w:r>
        <w:rPr>
          <w:rFonts w:eastAsia="Arial TUR;Arial" w:cs="Arial TUR;Arial"/>
          <w:rtl w:val="true"/>
        </w:rPr>
        <w:t xml:space="preserve"> </w:t>
      </w:r>
      <w:r>
        <w:rPr>
          <w:rtl w:val="true"/>
        </w:rPr>
        <w:t>ייאמר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שהרשיע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תקיפת</w:t>
      </w:r>
      <w:r>
        <w:rPr>
          <w:rFonts w:eastAsia="Arial TUR;Arial" w:cs="Arial TUR;Arial"/>
          <w:rtl w:val="true"/>
        </w:rPr>
        <w:t xml:space="preserve"> </w:t>
      </w:r>
      <w:r>
        <w:rPr>
          <w:rtl w:val="true"/>
        </w:rPr>
        <w:t>שוטר</w:t>
      </w:r>
      <w:r>
        <w:rPr>
          <w:rtl w:val="true"/>
        </w:rPr>
        <w:t xml:space="preserve">, </w:t>
      </w:r>
      <w:r>
        <w:rPr>
          <w:rtl w:val="true"/>
        </w:rPr>
        <w:t>התחשב</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בעונש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והשית</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חודשיים</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בחפיפה</w:t>
      </w:r>
      <w:r>
        <w:rPr>
          <w:rFonts w:eastAsia="Arial TUR;Arial" w:cs="Arial TUR;Arial"/>
          <w:rtl w:val="true"/>
        </w:rPr>
        <w:t xml:space="preserve"> </w:t>
      </w:r>
      <w:r>
        <w:rPr>
          <w:rtl w:val="true"/>
        </w:rPr>
        <w:t>למאסר</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סיבה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בענייננו</w:t>
      </w:r>
      <w:r>
        <w:rPr>
          <w:rtl w:val="true"/>
        </w:rPr>
        <w:t>.</w:t>
      </w:r>
      <w:r>
        <w:rPr>
          <w:color w:val="FF0000"/>
          <w:rtl w:val="true"/>
        </w:rPr>
        <w:t xml:space="preserve"> </w:t>
      </w:r>
    </w:p>
    <w:p>
      <w:pPr>
        <w:pStyle w:val="Ruller41"/>
        <w:ind w:end="0"/>
        <w:jc w:val="both"/>
        <w:rPr>
          <w:color w:val="FF0000"/>
        </w:rPr>
      </w:pPr>
      <w:r>
        <w:rPr>
          <w:color w:val="FF0000"/>
          <w:rtl w:val="true"/>
        </w:rPr>
      </w:r>
    </w:p>
    <w:p>
      <w:pPr>
        <w:pStyle w:val="Ruller42"/>
        <w:numPr>
          <w:ilvl w:val="0"/>
          <w:numId w:val="0"/>
        </w:numPr>
        <w:ind w:hanging="0" w:start="0" w:end="0"/>
        <w:jc w:val="both"/>
        <w:rPr/>
      </w:pPr>
      <w:r>
        <w:rPr>
          <w:rtl w:val="true"/>
        </w:rPr>
        <w:tab/>
      </w:r>
      <w:r>
        <w:rPr>
          <w:rtl w:val="true"/>
        </w:rPr>
        <w:t>ובנוגע לטענתו של המערער כי העבירה בוצעה לאחר שתיית אלכוהול ובהשפעתו</w:t>
      </w:r>
      <w:r>
        <w:rPr>
          <w:rtl w:val="true"/>
        </w:rPr>
        <w:t xml:space="preserve">, </w:t>
      </w:r>
      <w:r>
        <w:rPr>
          <w:rtl w:val="true"/>
        </w:rPr>
        <w:t>וכי יש להתחשב בכך – אמנם המערער צרך אלכוהול עובר לביצוע העבירה</w:t>
      </w:r>
      <w:r>
        <w:rPr>
          <w:rtl w:val="true"/>
        </w:rPr>
        <w:t xml:space="preserve">, </w:t>
      </w:r>
      <w:r>
        <w:rPr>
          <w:rtl w:val="true"/>
        </w:rPr>
        <w:t>ואולם המערער הכניס עצמו מדעתו ומרצונו למצב שבו הוא מסכן את הציבור ואף את עצמו</w:t>
      </w:r>
      <w:r>
        <w:rPr>
          <w:rtl w:val="true"/>
        </w:rPr>
        <w:t xml:space="preserve">; </w:t>
      </w:r>
      <w:r>
        <w:rPr>
          <w:rtl w:val="true"/>
        </w:rPr>
        <w:t xml:space="preserve">ואינו יכול לכן לצפות להתחשבות במצבו כנסיבה מקילה אלא ההיפך מכך </w:t>
      </w:r>
      <w:r>
        <w:rPr>
          <w:rtl w:val="true"/>
        </w:rPr>
        <w:t>(</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34</w:t>
        </w:r>
        <w:r>
          <w:rPr>
            <w:rStyle w:val="Hyperlink"/>
            <w:color w:val="0000FF"/>
            <w:u w:val="single"/>
            <w:rtl w:val="true"/>
          </w:rPr>
          <w:t>ט</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r>
        <w:rPr>
          <w:color w:val="000000"/>
          <w:rtl w:val="true"/>
        </w:rPr>
        <w:t>חוק</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6001/13</w:t>
        </w:r>
      </w:hyperlink>
      <w:r>
        <w:rPr>
          <w:rtl w:val="true"/>
        </w:rPr>
        <w:t xml:space="preserve"> </w:t>
      </w:r>
      <w:r>
        <w:rPr>
          <w:rFonts w:ascii="Century" w:hAnsi="Century" w:cs="Miriam"/>
          <w:b/>
          <w:b/>
          <w:spacing w:val="0"/>
          <w:szCs w:val="24"/>
          <w:rtl w:val="true"/>
        </w:rPr>
        <w:t>קסה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10</w:t>
      </w:r>
      <w:r>
        <w:rPr>
          <w:rFonts w:cs="Century" w:ascii="Century" w:hAnsi="Century"/>
          <w:rtl w:val="true"/>
        </w:rPr>
        <w:t xml:space="preserve"> (</w:t>
      </w:r>
      <w:r>
        <w:rPr>
          <w:rFonts w:cs="Century" w:ascii="Century" w:hAnsi="Century"/>
        </w:rPr>
        <w:t>29.1.2014</w:t>
      </w:r>
      <w:r>
        <w:rPr>
          <w:rFonts w:cs="Century" w:ascii="Century" w:hAnsi="Century"/>
          <w:rtl w:val="true"/>
        </w:rPr>
        <w:t>))</w:t>
      </w:r>
      <w:r>
        <w:rPr>
          <w:rtl w:val="true"/>
        </w:rPr>
        <w:t xml:space="preserve">. </w:t>
      </w:r>
      <w:r>
        <w:rPr>
          <w:rtl w:val="true"/>
        </w:rPr>
        <w:t>עמדתי על הדברים במקרה אחר שבא לפניי ב</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7701/14</w:t>
        </w:r>
      </w:hyperlink>
      <w:r>
        <w:rPr>
          <w:rtl w:val="true"/>
        </w:rPr>
        <w:t xml:space="preserve"> </w:t>
      </w:r>
      <w:r>
        <w:rPr>
          <w:rFonts w:cs="Miriam"/>
          <w:szCs w:val="24"/>
          <w:rtl w:val="true"/>
        </w:rPr>
        <w:t>אל</w:t>
      </w:r>
      <w:r>
        <w:rPr>
          <w:rFonts w:eastAsia="Garamond"/>
          <w:szCs w:val="24"/>
          <w:rtl w:val="true"/>
        </w:rPr>
        <w:t xml:space="preserve"> </w:t>
      </w:r>
      <w:r>
        <w:rPr>
          <w:rFonts w:cs="Miriam"/>
          <w:szCs w:val="24"/>
          <w:rtl w:val="true"/>
        </w:rPr>
        <w:t>טייב</w:t>
      </w:r>
      <w:r>
        <w:rPr>
          <w:rFonts w:eastAsia="Garamond"/>
          <w:szCs w:val="24"/>
          <w:rtl w:val="true"/>
        </w:rPr>
        <w:t xml:space="preserve"> </w:t>
      </w:r>
      <w:r>
        <w:rPr>
          <w:rFonts w:cs="Miriam"/>
          <w:szCs w:val="24"/>
          <w:rtl w:val="true"/>
        </w:rPr>
        <w:t>נ</w:t>
      </w:r>
      <w:r>
        <w:rPr>
          <w:rFonts w:cs="Miriam"/>
          <w:szCs w:val="24"/>
          <w:rtl w:val="true"/>
        </w:rPr>
        <w:t xml:space="preserve">' </w:t>
      </w:r>
      <w:r>
        <w:rPr>
          <w:rFonts w:cs="Miriam"/>
          <w:szCs w:val="24"/>
          <w:rtl w:val="true"/>
        </w:rPr>
        <w:t>מדינת</w:t>
      </w:r>
      <w:r>
        <w:rPr>
          <w:rFonts w:eastAsia="Garamond"/>
          <w:szCs w:val="24"/>
          <w:rtl w:val="true"/>
        </w:rPr>
        <w:t xml:space="preserve"> </w:t>
      </w:r>
      <w:r>
        <w:rPr>
          <w:rFonts w:cs="Miriam"/>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16.5.2016</w:t>
      </w:r>
      <w:r>
        <w:rPr>
          <w:rtl w:val="true"/>
        </w:rPr>
        <w:t>):</w:t>
      </w:r>
    </w:p>
    <w:p>
      <w:pPr>
        <w:pStyle w:val="Ruller41"/>
        <w:ind w:end="0"/>
        <w:jc w:val="both"/>
        <w:rPr/>
      </w:pPr>
      <w:r>
        <w:rPr>
          <w:rtl w:val="true"/>
        </w:rPr>
      </w:r>
    </w:p>
    <w:p>
      <w:pPr>
        <w:pStyle w:val="Ruller5"/>
        <w:ind w:end="1282"/>
        <w:jc w:val="both"/>
        <w:rPr/>
      </w:pPr>
      <w:r>
        <w:rPr>
          <w:rtl w:val="true"/>
        </w:rPr>
        <w:t xml:space="preserve">"[...] </w:t>
      </w:r>
      <w:r>
        <w:rPr>
          <w:rtl w:val="true"/>
        </w:rPr>
        <w:t>עובדת</w:t>
      </w:r>
      <w:r>
        <w:rPr>
          <w:rFonts w:eastAsia="Arial TUR;Arial" w:cs="Arial TUR;Arial"/>
          <w:rtl w:val="true"/>
        </w:rPr>
        <w:t xml:space="preserve"> </w:t>
      </w:r>
      <w:r>
        <w:rPr>
          <w:rtl w:val="true"/>
        </w:rPr>
        <w:t>היותו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השפעה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אלכוהול</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tl w:val="true"/>
        </w:rPr>
        <w:t xml:space="preserve">, </w:t>
      </w:r>
      <w:r>
        <w:rPr>
          <w:rtl w:val="true"/>
        </w:rPr>
        <w:t>שעה</w:t>
      </w:r>
      <w:r>
        <w:rPr>
          <w:rFonts w:eastAsia="Arial TUR;Arial" w:cs="Arial TUR;Arial"/>
          <w:rtl w:val="true"/>
        </w:rPr>
        <w:t xml:space="preserve"> </w:t>
      </w:r>
      <w:r>
        <w:rPr>
          <w:rtl w:val="true"/>
        </w:rPr>
        <w:t>שנכנס</w:t>
      </w:r>
      <w:r>
        <w:rPr>
          <w:rFonts w:eastAsia="Arial TUR;Arial" w:cs="Arial TUR;Arial"/>
          <w:rtl w:val="true"/>
        </w:rPr>
        <w:t xml:space="preserve"> </w:t>
      </w:r>
      <w:r>
        <w:rPr>
          <w:rtl w:val="true"/>
        </w:rPr>
        <w:t>במודעות</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השכרות</w:t>
      </w:r>
      <w:r>
        <w:rPr>
          <w:rtl w:val="true"/>
        </w:rPr>
        <w:t xml:space="preserve">, </w:t>
      </w:r>
      <w:r>
        <w:rPr>
          <w:rFonts w:ascii="Century" w:hAnsi="Century" w:cs="Miriam"/>
          <w:b/>
          <w:b/>
          <w:spacing w:val="0"/>
          <w:szCs w:val="24"/>
          <w:rtl w:val="true"/>
        </w:rPr>
        <w:t>אינה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w:t>
      </w:r>
      <w:r>
        <w:rPr>
          <w:rFonts w:ascii="Century" w:hAnsi="Century" w:cs="Miriam"/>
          <w:b/>
          <w:b/>
          <w:spacing w:val="0"/>
          <w:szCs w:val="24"/>
          <w:rtl w:val="true"/>
        </w:rPr>
        <w:t>קרבה</w:t>
      </w:r>
      <w:r>
        <w:rPr>
          <w:rFonts w:ascii="Century" w:hAnsi="Century" w:eastAsia="Century" w:cs="Century"/>
          <w:b/>
          <w:b/>
          <w:spacing w:val="0"/>
          <w:szCs w:val="24"/>
          <w:rtl w:val="true"/>
        </w:rPr>
        <w:t xml:space="preserve"> </w:t>
      </w:r>
      <w:r>
        <w:rPr>
          <w:rFonts w:ascii="Century" w:hAnsi="Century" w:cs="Miriam"/>
          <w:b/>
          <w:b/>
          <w:spacing w:val="0"/>
          <w:szCs w:val="24"/>
          <w:rtl w:val="true"/>
        </w:rPr>
        <w:t>לסייג</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tl w:val="true"/>
        </w:rPr>
        <w:t xml:space="preserve">" </w:t>
      </w:r>
      <w:r>
        <w:rPr>
          <w:rtl w:val="true"/>
        </w:rPr>
        <w:t>כאמור</w:t>
      </w:r>
      <w:r>
        <w:rPr>
          <w:rFonts w:eastAsia="Arial TUR;Arial" w:cs="Arial TUR;Arial"/>
          <w:rtl w:val="true"/>
        </w:rPr>
        <w:t xml:space="preserve"> </w:t>
      </w:r>
      <w:r>
        <w:rPr>
          <w:rtl w:val="true"/>
        </w:rPr>
        <w:t>בסעיף</w:t>
      </w:r>
      <w:r>
        <w:rPr>
          <w:rFonts w:eastAsia="Arial TUR;Arial" w:cs="Arial TUR;Arial"/>
          <w:rtl w:val="true"/>
        </w:rPr>
        <w:t xml:space="preserve"> </w:t>
      </w:r>
      <w:r>
        <w:rPr/>
        <w:t>40</w:t>
      </w:r>
      <w:r>
        <w:rPr>
          <w:rtl w:val="true"/>
        </w:rPr>
        <w:t>ט</w:t>
      </w:r>
      <w:r>
        <w:rPr>
          <w:rtl w:val="true"/>
        </w:rPr>
        <w:t>(</w:t>
      </w:r>
      <w:r>
        <w:rPr>
          <w:rtl w:val="true"/>
        </w:rPr>
        <w:t>א</w:t>
      </w:r>
      <w:r>
        <w:rPr>
          <w:rtl w:val="true"/>
        </w:rPr>
        <w:t>)(</w:t>
      </w:r>
      <w:r>
        <w:rPr/>
        <w:t>9</w:t>
      </w:r>
      <w:r>
        <w:rPr>
          <w:rtl w:val="true"/>
        </w:rPr>
        <w:t xml:space="preserve">) </w:t>
      </w:r>
      <w:r>
        <w:rPr>
          <w:rtl w:val="true"/>
        </w:rPr>
        <w:t>ל</w:t>
      </w:r>
      <w:hyperlink r:id="rId2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וגם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מקלה</w:t>
      </w:r>
      <w:r>
        <w:rPr>
          <w:rFonts w:eastAsia="Arial TUR;Arial" w:cs="Arial TUR;Arial"/>
          <w:rtl w:val="true"/>
        </w:rPr>
        <w:t xml:space="preserve"> </w:t>
      </w:r>
      <w:r>
        <w:rPr>
          <w:rtl w:val="true"/>
        </w:rPr>
        <w:t>אחרת</w:t>
      </w:r>
      <w:r>
        <w:rPr>
          <w:rtl w:val="true"/>
        </w:rPr>
        <w:t xml:space="preserve">. </w:t>
      </w:r>
      <w:r>
        <w:rPr>
          <w:rtl w:val="true"/>
        </w:rPr>
        <w:t>שאם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כן</w:t>
      </w:r>
      <w:r>
        <w:rPr>
          <w:rtl w:val="true"/>
        </w:rPr>
        <w:t xml:space="preserve">, </w:t>
      </w:r>
      <w:r>
        <w:rPr>
          <w:rtl w:val="true"/>
        </w:rPr>
        <w:t>נמצאנו</w:t>
      </w:r>
      <w:r>
        <w:rPr>
          <w:rFonts w:eastAsia="Arial TUR;Arial" w:cs="Arial TUR;Arial"/>
          <w:rtl w:val="true"/>
        </w:rPr>
        <w:t xml:space="preserve"> </w:t>
      </w:r>
      <w:r>
        <w:rPr>
          <w:rtl w:val="true"/>
        </w:rPr>
        <w:t>מעודדים</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מופרז</w:t>
      </w:r>
      <w:r>
        <w:rPr>
          <w:rFonts w:eastAsia="Arial TUR;Arial" w:cs="Arial TUR;Arial"/>
          <w:rtl w:val="true"/>
        </w:rPr>
        <w:t xml:space="preserve"> </w:t>
      </w:r>
      <w:r>
        <w:rPr>
          <w:rtl w:val="true"/>
        </w:rPr>
        <w:t>באלכוהול</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הקלות</w:t>
      </w:r>
      <w:r>
        <w:rPr>
          <w:rFonts w:eastAsia="Arial TUR;Arial" w:cs="Arial TUR;Arial"/>
          <w:rtl w:val="true"/>
        </w:rPr>
        <w:t xml:space="preserve"> </w:t>
      </w:r>
      <w:r>
        <w:rPr>
          <w:rtl w:val="true"/>
        </w:rPr>
        <w:t>למעשים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בחסותו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משקה</w:t>
      </w:r>
      <w:r>
        <w:rPr>
          <w:rFonts w:eastAsia="Arial TUR;Arial" w:cs="Arial TUR;Arial"/>
          <w:rtl w:val="true"/>
        </w:rPr>
        <w:t xml:space="preserve"> </w:t>
      </w:r>
      <w:r>
        <w:rPr>
          <w:rtl w:val="true"/>
        </w:rPr>
        <w:t>זה</w:t>
      </w:r>
      <w:r>
        <w:rPr>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כוונתו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 xml:space="preserve">[...] </w:t>
      </w:r>
      <w:r>
        <w:rPr>
          <w:rtl w:val="true"/>
        </w:rPr>
        <w:t>שכרות</w:t>
      </w:r>
      <w:r>
        <w:rPr>
          <w:rFonts w:eastAsia="Arial TUR;Arial" w:cs="Arial TUR;Arial"/>
          <w:rtl w:val="true"/>
        </w:rPr>
        <w:t xml:space="preserve"> </w:t>
      </w:r>
      <w:r>
        <w:rPr>
          <w:rtl w:val="true"/>
        </w:rPr>
        <w:t>כשלעצמה</w:t>
      </w:r>
      <w:r>
        <w:rPr>
          <w:rtl w:val="true"/>
        </w:rPr>
        <w:t xml:space="preserve">, </w:t>
      </w:r>
      <w:r>
        <w:rPr>
          <w:rtl w:val="true"/>
        </w:rPr>
        <w:t>כאשר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תוצאה</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בחירה</w:t>
      </w:r>
      <w:r>
        <w:rPr>
          <w:rFonts w:ascii="Century" w:hAnsi="Century" w:eastAsia="Century" w:cs="Century"/>
          <w:b/>
          <w:b/>
          <w:spacing w:val="0"/>
          <w:szCs w:val="24"/>
          <w:rtl w:val="true"/>
        </w:rPr>
        <w:t xml:space="preserve"> </w:t>
      </w:r>
      <w:r>
        <w:rPr>
          <w:rFonts w:ascii="Century" w:hAnsi="Century" w:cs="Miriam"/>
          <w:b/>
          <w:b/>
          <w:spacing w:val="0"/>
          <w:szCs w:val="24"/>
          <w:rtl w:val="true"/>
        </w:rPr>
        <w:t>ורצון</w:t>
      </w:r>
      <w:r>
        <w:rPr>
          <w:rFonts w:ascii="Century" w:hAnsi="Century" w:eastAsia="Century" w:cs="Century"/>
          <w:b/>
          <w:b/>
          <w:spacing w:val="0"/>
          <w:szCs w:val="24"/>
          <w:rtl w:val="true"/>
        </w:rPr>
        <w:t xml:space="preserve"> </w:t>
      </w:r>
      <w:r>
        <w:rPr>
          <w:rFonts w:ascii="Century" w:hAnsi="Century" w:cs="Miriam"/>
          <w:b/>
          <w:b/>
          <w:spacing w:val="0"/>
          <w:szCs w:val="24"/>
          <w:rtl w:val="true"/>
        </w:rPr>
        <w:t>חופשיים</w:t>
      </w:r>
      <w:r>
        <w:rPr>
          <w:rtl w:val="true"/>
        </w:rPr>
        <w:t xml:space="preserve">, </w:t>
      </w:r>
      <w:r>
        <w:rPr>
          <w:rtl w:val="true"/>
        </w:rPr>
        <w:t>אינה</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מקלה</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ובנסיבות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שתהא</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מחמירה</w:t>
      </w:r>
      <w:r>
        <w:rPr>
          <w:rtl w:val="true"/>
        </w:rPr>
        <w:t>" (</w:t>
      </w:r>
      <w:r>
        <w:rPr>
          <w:rtl w:val="true"/>
        </w:rPr>
        <w:t>ההדגשות</w:t>
      </w:r>
      <w:r>
        <w:rPr>
          <w:rFonts w:eastAsia="Arial TUR;Arial" w:cs="Arial TUR;Arial"/>
          <w:rtl w:val="true"/>
        </w:rPr>
        <w:t xml:space="preserve"> </w:t>
      </w:r>
      <w:r>
        <w:rPr>
          <w:rtl w:val="true"/>
        </w:rPr>
        <w:t>במקור</w:t>
      </w:r>
      <w:r>
        <w:rPr>
          <w:rtl w:val="true"/>
        </w:rPr>
        <w:t xml:space="preserve">, </w:t>
      </w:r>
      <w:r>
        <w:rPr>
          <w:rtl w:val="true"/>
        </w:rPr>
        <w:t>ע</w:t>
      </w:r>
      <w:r>
        <w:rPr>
          <w:rtl w:val="true"/>
        </w:rPr>
        <w:t>'</w:t>
      </w:r>
      <w:r>
        <w:rPr>
          <w:rtl w:val="true"/>
        </w:rPr>
        <w:t>ב</w:t>
      </w:r>
      <w:r>
        <w:rPr>
          <w:rtl w:val="true"/>
        </w:rPr>
        <w:t>').</w:t>
      </w:r>
    </w:p>
    <w:p>
      <w:pPr>
        <w:pStyle w:val="Ruller41"/>
        <w:ind w:end="0"/>
        <w:jc w:val="both"/>
        <w:rPr/>
      </w:pPr>
      <w:r>
        <w:rPr>
          <w:rtl w:val="true"/>
        </w:rPr>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אומר עוד</w:t>
      </w:r>
      <w:r>
        <w:rPr>
          <w:rtl w:val="true"/>
        </w:rPr>
        <w:t xml:space="preserve">, </w:t>
      </w:r>
      <w:r>
        <w:rPr>
          <w:rtl w:val="true"/>
        </w:rPr>
        <w:t>כי אין באבחנה שניסה לערוך המערער בין הפסיקה שאליה הפנה בית המשפט בגזר דינו למקרה דנן</w:t>
      </w:r>
      <w:r>
        <w:rPr>
          <w:rtl w:val="true"/>
        </w:rPr>
        <w:t xml:space="preserve">, </w:t>
      </w:r>
      <w:r>
        <w:rPr>
          <w:rtl w:val="true"/>
        </w:rPr>
        <w:t>כדי לסייע בידו</w:t>
      </w:r>
      <w:r>
        <w:rPr>
          <w:rtl w:val="true"/>
        </w:rPr>
        <w:t xml:space="preserve">. </w:t>
      </w:r>
      <w:r>
        <w:rPr>
          <w:rtl w:val="true"/>
        </w:rPr>
        <w:t>כפי שציין בית המשפט המחוזי</w:t>
      </w:r>
      <w:r>
        <w:rPr>
          <w:rtl w:val="true"/>
        </w:rPr>
        <w:t xml:space="preserve">, </w:t>
      </w:r>
      <w:r>
        <w:rPr>
          <w:rtl w:val="true"/>
        </w:rPr>
        <w:t>הענישה בגין הרשעה בעבירה של חבלה בכוונה מחמירה היא רחבה ומגוונת בהתאם לנסיבות</w:t>
      </w:r>
      <w:r>
        <w:rPr>
          <w:rtl w:val="true"/>
        </w:rPr>
        <w:t xml:space="preserve">, </w:t>
      </w:r>
      <w:r>
        <w:rPr>
          <w:rtl w:val="true"/>
        </w:rPr>
        <w:t>והנסיבות במקרה זה כפי שהוברר אינן מצדיקות התערבות בעונשו של המערער</w:t>
      </w:r>
      <w:r>
        <w:rPr>
          <w:rtl w:val="true"/>
        </w:rPr>
        <w:t xml:space="preserve">. </w:t>
      </w:r>
    </w:p>
    <w:p>
      <w:pPr>
        <w:pStyle w:val="Ruller41"/>
        <w:spacing w:lineRule="auto" w:line="240"/>
        <w:ind w:end="0"/>
        <w:jc w:val="both"/>
        <w:rPr/>
      </w:pPr>
      <w:r>
        <w:rPr>
          <w:rtl w:val="true"/>
        </w:rPr>
      </w:r>
    </w:p>
    <w:p>
      <w:pPr>
        <w:pStyle w:val="Ruller42"/>
        <w:numPr>
          <w:ilvl w:val="0"/>
          <w:numId w:val="1"/>
        </w:numPr>
        <w:ind w:hanging="0" w:start="0" w:end="0"/>
        <w:jc w:val="both"/>
        <w:rPr/>
      </w:pPr>
      <w:r>
        <w:rPr>
          <w:rtl w:val="true"/>
        </w:rPr>
        <w:t>סוף דבר</w:t>
      </w:r>
      <w:r>
        <w:rPr>
          <w:rtl w:val="true"/>
        </w:rPr>
        <w:t xml:space="preserve">, </w:t>
      </w:r>
      <w:r>
        <w:rPr>
          <w:rtl w:val="true"/>
        </w:rPr>
        <w:t>אם תישמע דעתי נדחה את הערעור</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spacing w:lineRule="auto" w:line="240"/>
        <w:ind w:end="0"/>
        <w:jc w:val="both"/>
        <w:rPr/>
      </w:pPr>
      <w:r>
        <w:rPr>
          <w:rtl w:val="true"/>
        </w:rPr>
      </w:r>
    </w:p>
    <w:p>
      <w:pPr>
        <w:pStyle w:val="Ruller41"/>
        <w:ind w:end="0"/>
        <w:jc w:val="both"/>
        <w:rPr/>
      </w:pPr>
      <w:r>
        <w:rPr>
          <w:rFonts w:cs="Miriam"/>
          <w:sz w:val="24"/>
          <w:sz w:val="24"/>
          <w:szCs w:val="24"/>
          <w:u w:val="single"/>
          <w:rtl w:val="true"/>
        </w:rPr>
        <w:t>השופט</w:t>
      </w:r>
      <w:r>
        <w:rPr>
          <w:rFonts w:eastAsia="Arial TUR;Arial" w:cs="Arial TUR;Arial"/>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1"/>
        <w:ind w:end="0"/>
        <w:jc w:val="both"/>
        <w:rPr/>
      </w:pPr>
      <w:r>
        <w:rPr>
          <w:rtl w:val="true"/>
        </w:rPr>
      </w:r>
    </w:p>
    <w:p>
      <w:pPr>
        <w:pStyle w:val="Ruller41"/>
        <w:ind w:end="0"/>
        <w:jc w:val="both"/>
        <w:rPr/>
      </w:pPr>
      <w:r>
        <w:rPr>
          <w:rFonts w:cs="Miriam"/>
          <w:sz w:val="24"/>
          <w:sz w:val="24"/>
          <w:szCs w:val="24"/>
          <w:u w:val="single"/>
          <w:rtl w:val="true"/>
        </w:rPr>
        <w:t>ה</w:t>
      </w:r>
      <w:r>
        <w:rPr>
          <w:rFonts w:cs="Miriam"/>
          <w:sz w:val="24"/>
          <w:sz w:val="24"/>
          <w:szCs w:val="24"/>
          <w:u w:val="single"/>
          <w:rtl w:val="true"/>
        </w:rPr>
        <w:t>משנה</w:t>
      </w:r>
      <w:r>
        <w:rPr>
          <w:rFonts w:eastAsia="Arial TUR;Arial" w:cs="Arial TUR;Arial"/>
          <w:sz w:val="24"/>
          <w:sz w:val="24"/>
          <w:szCs w:val="24"/>
          <w:u w:val="single"/>
          <w:rtl w:val="true"/>
        </w:rPr>
        <w:t xml:space="preserve"> </w:t>
      </w:r>
      <w:r>
        <w:rPr>
          <w:rFonts w:cs="Miriam"/>
          <w:sz w:val="24"/>
          <w:sz w:val="24"/>
          <w:szCs w:val="24"/>
          <w:u w:val="single"/>
          <w:rtl w:val="true"/>
        </w:rPr>
        <w:t>לנשיאה</w:t>
      </w:r>
      <w:r>
        <w:rPr>
          <w:rFonts w:cs="Miriam"/>
          <w:sz w:val="24"/>
          <w:szCs w:val="24"/>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2"/>
        <w:gridCol w:w="2782"/>
        <w:gridCol w:w="2799"/>
      </w:tblGrid>
      <w:tr>
        <w:trPr/>
        <w:tc>
          <w:tcPr>
            <w:tcW w:w="2782" w:type="dxa"/>
            <w:tcBorders/>
          </w:tcPr>
          <w:p>
            <w:pPr>
              <w:pStyle w:val="Ruller41"/>
              <w:snapToGrid w:val="false"/>
              <w:ind w:end="0"/>
              <w:jc w:val="center"/>
              <w:rPr/>
            </w:pPr>
            <w:r>
              <w:rPr>
                <w:rtl w:val="true"/>
              </w:rPr>
            </w:r>
          </w:p>
        </w:tc>
        <w:tc>
          <w:tcPr>
            <w:tcW w:w="2782" w:type="dxa"/>
            <w:tcBorders/>
          </w:tcPr>
          <w:p>
            <w:pPr>
              <w:pStyle w:val="Ruller41"/>
              <w:snapToGrid w:val="false"/>
              <w:ind w:end="0"/>
              <w:jc w:val="center"/>
              <w:rPr/>
            </w:pPr>
            <w:r>
              <w:rPr>
                <w:rtl w:val="true"/>
              </w:rPr>
            </w:r>
          </w:p>
        </w:tc>
        <w:tc>
          <w:tcPr>
            <w:tcW w:w="2799" w:type="dxa"/>
            <w:tcBorders/>
          </w:tcPr>
          <w:p>
            <w:pPr>
              <w:pStyle w:val="Ruller41"/>
              <w:ind w:end="0"/>
              <w:jc w:val="center"/>
              <w:rPr/>
            </w:pPr>
            <w:r>
              <w:rPr>
                <w:rtl w:val="true"/>
              </w:rPr>
              <w:t>המשנה</w:t>
            </w:r>
            <w:r>
              <w:rPr>
                <w:rFonts w:eastAsia="Arial TUR;Arial" w:cs="Arial TUR;Arial"/>
                <w:rtl w:val="true"/>
              </w:rPr>
              <w:t xml:space="preserve"> </w:t>
            </w:r>
            <w:r>
              <w:rPr>
                <w:rtl w:val="true"/>
              </w:rPr>
              <w:t>לנשיאה</w:t>
            </w:r>
          </w:p>
        </w:tc>
      </w:tr>
    </w:tbl>
    <w:p>
      <w:pPr>
        <w:pStyle w:val="Ruller41"/>
        <w:spacing w:lineRule="auto" w:line="240"/>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tl w:val="true"/>
        </w:rPr>
        <w:t>.</w:t>
      </w:r>
    </w:p>
    <w:p>
      <w:pPr>
        <w:pStyle w:val="Ruller41"/>
        <w:ind w:end="0"/>
        <w:jc w:val="both"/>
        <w:rPr/>
      </w:pPr>
      <w:r>
        <w:rPr>
          <w:rtl w:val="true"/>
        </w:rPr>
      </w:r>
    </w:p>
    <w:p>
      <w:pPr>
        <w:pStyle w:val="Ruller41"/>
        <w:spacing w:lineRule="auto" w:line="240"/>
        <w:ind w:end="0"/>
        <w:jc w:val="both"/>
        <w:rPr/>
      </w:pPr>
      <w:bookmarkStart w:id="18"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w:t>
      </w:r>
      <w:r>
        <w:rPr>
          <w:rtl w:val="true"/>
        </w:rPr>
        <w:t>ו</w:t>
      </w:r>
      <w:r>
        <w:rPr>
          <w:rFonts w:eastAsia="Arial TUR;Arial" w:cs="Arial TUR;Arial"/>
          <w:rtl w:val="true"/>
        </w:rPr>
        <w:t xml:space="preserve"> </w:t>
      </w:r>
      <w:r>
        <w:rPr>
          <w:rtl w:val="true"/>
        </w:rPr>
        <w:t>בתמוז</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18.7.2019</w:t>
      </w:r>
      <w:r>
        <w:rPr>
          <w:rtl w:val="true"/>
        </w:rPr>
        <w:t xml:space="preserve">). </w:t>
      </w:r>
      <w:bookmarkEnd w:id="18"/>
    </w:p>
    <w:p>
      <w:pPr>
        <w:pStyle w:val="Ruller41"/>
        <w:ind w:end="0"/>
        <w:jc w:val="both"/>
        <w:rPr/>
      </w:pPr>
      <w:r>
        <w:rPr>
          <w:rtl w:val="true"/>
        </w:rPr>
      </w:r>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1"/>
              <w:ind w:end="0"/>
              <w:jc w:val="center"/>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78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19007990</w:t>
      </w:r>
      <w:r>
        <w:rPr>
          <w:sz w:val="16"/>
          <w:rtl w:val="true"/>
        </w:rPr>
        <w:t>_</w:t>
      </w:r>
      <w:r>
        <w:rPr>
          <w:sz w:val="16"/>
        </w:rPr>
        <w:t>G02.docx</w:t>
      </w:r>
      <w:r>
        <w:rPr>
          <w:sz w:val="16"/>
          <w:rtl w:val="true"/>
        </w:rPr>
        <w:t xml:space="preserve">   </w:t>
      </w:r>
      <w:r>
        <w:rPr>
          <w:sz w:val="16"/>
          <w:sz w:val="16"/>
          <w:rtl w:val="true"/>
        </w:rPr>
        <w:t>הפ</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21">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מ</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מזוז </w:t>
      </w:r>
      <w:r>
        <w:rPr>
          <w:rFonts w:cs="David;Times New Roman" w:ascii="David;Times New Roman" w:hAnsi="David;Times New Roman"/>
          <w:color w:val="000000"/>
          <w:szCs w:val="22"/>
        </w:rPr>
        <w:t>54678313-799/19</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3"/>
      <w:footerReference w:type="default" r:id="rId2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Century">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altName w:val="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ahoma" w:hAnsi="FrankRuehl;Tahoma" w:cs="FrankRuehl;Tahoma"/>
        <w:sz w:val="24"/>
      </w:rPr>
    </w:pPr>
    <w:r>
      <w:rPr>
        <w:rFonts w:cs="FrankRuehl;Tahoma" w:ascii="FrankRuehl;Tahoma" w:hAnsi="FrankRuehl;Tahoma"/>
        <w:sz w:val="24"/>
        <w:rtl w:val="true"/>
      </w:rPr>
      <w:fldChar w:fldCharType="begin"/>
    </w:r>
    <w:r>
      <w:rPr>
        <w:rtl w:val="true"/>
        <w:sz w:val="24"/>
        <w:rFonts w:cs="FrankRuehl;Tahoma" w:ascii="FrankRuehl;Tahoma" w:hAnsi="FrankRuehl;Tahoma"/>
      </w:rPr>
      <w:instrText xml:space="preserve"> PAGE </w:instrText>
    </w:r>
    <w:r>
      <w:rPr>
        <w:rtl w:val="true"/>
        <w:sz w:val="24"/>
        <w:rFonts w:cs="FrankRuehl;Tahoma" w:ascii="FrankRuehl;Tahoma" w:hAnsi="FrankRuehl;Tahoma"/>
      </w:rPr>
      <w:fldChar w:fldCharType="separate"/>
    </w:r>
    <w:r>
      <w:rPr>
        <w:rtl w:val="true"/>
        <w:sz w:val="24"/>
        <w:rFonts w:cs="FrankRuehl;Tahoma" w:ascii="FrankRuehl;Tahoma" w:hAnsi="FrankRuehl;Tahoma"/>
      </w:rPr>
      <w:t>10</w:t>
    </w:r>
    <w:r>
      <w:rPr>
        <w:rtl w:val="true"/>
        <w:sz w:val="24"/>
        <w:rFonts w:cs="FrankRuehl;Tahoma" w:ascii="FrankRuehl;Tahoma" w:hAnsi="FrankRuehl;Tahoma"/>
      </w:rPr>
      <w:fldChar w:fldCharType="end"/>
    </w:r>
  </w:p>
  <w:p>
    <w:pPr>
      <w:pStyle w:val="Footer"/>
      <w:pBdr>
        <w:top w:val="single" w:sz="4" w:space="1" w:color="000000"/>
      </w:pBdr>
      <w:spacing w:before="0" w:after="60"/>
      <w:ind w:end="0"/>
      <w:jc w:val="center"/>
      <w:rPr>
        <w:rFonts w:ascii="FrankRuehl;Tahoma" w:hAnsi="FrankRuehl;Tahoma" w:cs="FrankRuehl;Tahoma"/>
        <w:color w:val="000000"/>
        <w:sz w:val="24"/>
        <w:lang w:val="en-IL" w:eastAsia="en-IL"/>
      </w:rPr>
    </w:pPr>
    <w:r>
      <w:rPr>
        <w:rFonts w:cs="FrankRuehl;Tahoma" w:ascii="FrankRuehl;Tahoma" w:hAnsi="FrankRuehl;Tahoma"/>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799/19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טגבו צ</w:t>
    </w:r>
    <w:r>
      <w:rPr>
        <w:rFonts w:cs="David;Times New Roman" w:ascii="David;Times New Roman" w:hAnsi="David;Times New Roman"/>
        <w:color w:val="000000"/>
        <w:sz w:val="22"/>
        <w:szCs w:val="22"/>
        <w:rtl w:val="true"/>
      </w:rPr>
      <w:t>'</w:t>
    </w:r>
    <w:r>
      <w:rPr>
        <w:rFonts w:ascii="David;Times New Roman" w:hAnsi="David;Times New Roman"/>
        <w:color w:val="000000"/>
        <w:sz w:val="22"/>
        <w:sz w:val="22"/>
        <w:szCs w:val="22"/>
        <w:rtl w:val="true"/>
      </w:rPr>
      <w:t>קול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Tahoma"/>
        <w:color w:val="00000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Tahoma"/>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ahoma"/>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Tahoma"/>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Tahoma"/>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Tahoma"/>
      <w:spacing w:val="10"/>
      <w:sz w:val="22"/>
      <w:szCs w:val="28"/>
    </w:rPr>
  </w:style>
  <w:style w:type="paragraph" w:styleId="Ruller5">
    <w:name w:val="Ruller5"/>
    <w:basedOn w:val="Normal"/>
    <w:qFormat/>
    <w:pPr>
      <w:ind w:hanging="0" w:start="1642" w:end="1282"/>
      <w:jc w:val="both"/>
    </w:pPr>
    <w:rPr>
      <w:rFonts w:ascii="Arial TUR;Arial" w:hAnsi="Arial TUR;Arial" w:cs="FrankRuehl;Tahoma"/>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Tahoma"/>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77584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4i.b" TargetMode="External"/><Relationship Id="rId5" Type="http://schemas.openxmlformats.org/officeDocument/2006/relationships/hyperlink" Target="http://www.nevo.co.il/law/70301/329.a.1" TargetMode="External"/><Relationship Id="rId6" Type="http://schemas.openxmlformats.org/officeDocument/2006/relationships/hyperlink" Target="http://www.nevo.co.il/case/23775849" TargetMode="External"/><Relationship Id="rId7" Type="http://schemas.openxmlformats.org/officeDocument/2006/relationships/hyperlink" Target="http://www.nevo.co.il/law/70301/329.a.1" TargetMode="External"/><Relationship Id="rId8" Type="http://schemas.openxmlformats.org/officeDocument/2006/relationships/hyperlink" Target="http://www.nevo.co.il/law/70301" TargetMode="External"/><Relationship Id="rId9" Type="http://schemas.openxmlformats.org/officeDocument/2006/relationships/hyperlink" Target="http://www.nevo.co.il/case/6040836" TargetMode="External"/><Relationship Id="rId10" Type="http://schemas.openxmlformats.org/officeDocument/2006/relationships/hyperlink" Target="http://www.nevo.co.il/case/6152855" TargetMode="External"/><Relationship Id="rId11" Type="http://schemas.openxmlformats.org/officeDocument/2006/relationships/hyperlink" Target="http://www.nevo.co.il/case/5875466" TargetMode="External"/><Relationship Id="rId12" Type="http://schemas.openxmlformats.org/officeDocument/2006/relationships/hyperlink" Target="http://www.nevo.co.il/case/6107146" TargetMode="External"/><Relationship Id="rId13" Type="http://schemas.openxmlformats.org/officeDocument/2006/relationships/hyperlink" Target="http://www.nevo.co.il/case/5993689" TargetMode="External"/><Relationship Id="rId14" Type="http://schemas.openxmlformats.org/officeDocument/2006/relationships/hyperlink" Target="http://www.nevo.co.il/case/18653755" TargetMode="External"/><Relationship Id="rId15" Type="http://schemas.openxmlformats.org/officeDocument/2006/relationships/hyperlink" Target="http://www.nevo.co.il/case/13087555" TargetMode="External"/><Relationship Id="rId16" Type="http://schemas.openxmlformats.org/officeDocument/2006/relationships/hyperlink" Target="http://www.nevo.co.il/case/24344573" TargetMode="External"/><Relationship Id="rId17" Type="http://schemas.openxmlformats.org/officeDocument/2006/relationships/hyperlink" Target="http://www.nevo.co.il/law/70301/34i.b" TargetMode="External"/><Relationship Id="rId18" Type="http://schemas.openxmlformats.org/officeDocument/2006/relationships/hyperlink" Target="http://www.nevo.co.il/case/10502090" TargetMode="External"/><Relationship Id="rId19" Type="http://schemas.openxmlformats.org/officeDocument/2006/relationships/hyperlink" Target="http://www.nevo.co.il/case/18653966" TargetMode="External"/><Relationship Id="rId20" Type="http://schemas.openxmlformats.org/officeDocument/2006/relationships/hyperlink" Target="http://www.nevo.co.il/law/70301" TargetMode="External"/><Relationship Id="rId21" Type="http://schemas.openxmlformats.org/officeDocument/2006/relationships/hyperlink" Target="http://supreme.court.gov.il/" TargetMode="External"/><Relationship Id="rId22" Type="http://schemas.openxmlformats.org/officeDocument/2006/relationships/hyperlink" Target="http://www.nevo.co.il/advertisements/nevo-100.doc"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2019-07-21T08:33:00Z</dcterms:created>
  <dc:creator>h4</dc:creator>
  <dc:description/>
  <cp:keywords/>
  <dc:language>en-IL</dc:language>
  <cp:lastModifiedBy>orly</cp:lastModifiedBy>
  <cp:lastPrinted>2019-07-18T09:19:00Z</cp:lastPrinted>
  <dcterms:modified xsi:type="dcterms:W3CDTF">2019-07-21T08:33:00Z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טגבו צ'קול</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23775849:2;6040836;6152855;5875466;6107146;5993689;18653755;13087555;24344573;10502090;18653966</vt:lpwstr>
  </property>
  <property fmtid="{D5CDD505-2E9C-101B-9397-08002B2CF9AE}" pid="9" name="CITY">
    <vt:lpwstr/>
  </property>
  <property fmtid="{D5CDD505-2E9C-101B-9397-08002B2CF9AE}" pid="10" name="DATE">
    <vt:lpwstr>20190718</vt:lpwstr>
  </property>
  <property fmtid="{D5CDD505-2E9C-101B-9397-08002B2CF9AE}" pid="11" name="DELEMATA">
    <vt:lpwstr/>
  </property>
  <property fmtid="{D5CDD505-2E9C-101B-9397-08002B2CF9AE}" pid="12" name="ISABSTRACT">
    <vt:lpwstr>Y</vt:lpwstr>
  </property>
  <property fmtid="{D5CDD505-2E9C-101B-9397-08002B2CF9AE}" pid="13" name="JUDGE">
    <vt:lpwstr>מ' מזוז;ע' ברון;ח' מלצר</vt:lpwstr>
  </property>
  <property fmtid="{D5CDD505-2E9C-101B-9397-08002B2CF9AE}" pid="14" name="LAWLISTTMP1">
    <vt:lpwstr>70301/329.a.1;034i.b</vt:lpwstr>
  </property>
  <property fmtid="{D5CDD505-2E9C-101B-9397-08002B2CF9AE}" pid="15" name="LAWYER">
    <vt:lpwstr>שרית משגב;גבריאל טרונישוילי;ברכה וייס</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פאני</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עונשין</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ערעור</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1446;1446;1446;15235</vt:lpwstr>
  </property>
  <property fmtid="{D5CDD505-2E9C-101B-9397-08002B2CF9AE}" pid="48" name="NOSE31">
    <vt:lpwstr>מדיניות ענישה: עבירות אלימות</vt:lpwstr>
  </property>
  <property fmtid="{D5CDD505-2E9C-101B-9397-08002B2CF9AE}" pid="49" name="NOSE310">
    <vt:lpwstr/>
  </property>
  <property fmtid="{D5CDD505-2E9C-101B-9397-08002B2CF9AE}" pid="50" name="NOSE32">
    <vt:lpwstr>מדיניות ענישה: התערבות ערכאת ערעור</vt:lpwstr>
  </property>
  <property fmtid="{D5CDD505-2E9C-101B-9397-08002B2CF9AE}" pid="51" name="NOSE33">
    <vt:lpwstr>מדיניות ענישה: שיקולים</vt:lpwstr>
  </property>
  <property fmtid="{D5CDD505-2E9C-101B-9397-08002B2CF9AE}" pid="52" name="NOSE34">
    <vt:lpwstr>התערבות במידת העונש</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8984;8982;8994;15236</vt:lpwstr>
  </property>
  <property fmtid="{D5CDD505-2E9C-101B-9397-08002B2CF9AE}" pid="59" name="PADIDATE">
    <vt:lpwstr>20190721</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799</vt:lpwstr>
  </property>
  <property fmtid="{D5CDD505-2E9C-101B-9397-08002B2CF9AE}" pid="65" name="PROCYEAR">
    <vt:lpwstr>19</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410120190718</vt:lpwstr>
  </property>
  <property fmtid="{D5CDD505-2E9C-101B-9397-08002B2CF9AE}" pid="69" name="TYPE_N_DATE">
    <vt:lpwstr>41020190718</vt:lpwstr>
  </property>
  <property fmtid="{D5CDD505-2E9C-101B-9397-08002B2CF9AE}" pid="70" name="VOLUME">
    <vt:lpwstr/>
  </property>
  <property fmtid="{D5CDD505-2E9C-101B-9397-08002B2CF9AE}" pid="71" name="WORDNUMPAGES">
    <vt:lpwstr>9</vt:lpwstr>
  </property>
</Properties>
</file>