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8017/20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bookmarkStart w:id="3" w:name="FirstAppellant"/>
            <w:bookmarkEnd w:id="3"/>
            <w:r>
              <w:rPr>
                <w:rFonts w:ascii="David;David" w:hAnsi="David;David"/>
                <w:rtl w:val="true"/>
              </w:rPr>
              <w:t>המערער</w:t>
            </w:r>
            <w:r>
              <w:rPr>
                <w:rFonts w:ascii="David;David" w:hAnsi="David;David"/>
                <w:rtl w:val="true"/>
              </w:rPr>
              <w:t>ת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ascii="David;David" w:hAnsi="David;David"/>
                <w:rtl w:val="true"/>
              </w:rPr>
              <w:t>המשיב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גריפאת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33131-05-20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אבוליל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2,500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יחפפו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ולביטחונו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שמתכוון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ומטעני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סכנת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פשוטו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כמשמעו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להתפשר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בסובלנות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הנגזרים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שקלול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המשי</w:t>
      </w:r>
      <w:r>
        <w:rPr>
          <w:rFonts w:ascii="Century" w:hAnsi="Century" w:cs="Century"/>
          <w:sz w:val="22"/>
          <w:sz w:val="22"/>
          <w:rtl w:val="true"/>
        </w:rPr>
        <w:t>ב הורשע על פי הודאתו במסגרת הסדר טיעון בהחזקה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הובלה ונשיאה של נשק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בחיפה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גזר על המשיב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 כמפורט בגזר הדין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וקנס בשיעור </w:t>
      </w:r>
      <w:r>
        <w:rPr>
          <w:rFonts w:cs="Century" w:ascii="Century" w:hAnsi="Century"/>
          <w:sz w:val="22"/>
        </w:rPr>
        <w:t>2,500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ולחלופין חודש מאסר נוסף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לפנינו ערעור המדינה על קולת העונש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אפריל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קשרו שניים מהנאשמים בפרשה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; </w:t>
      </w:r>
      <w:r>
        <w:rPr>
          <w:rtl w:val="true"/>
        </w:rPr>
        <w:t>ולהלן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tl w:val="true"/>
        </w:rPr>
        <w:t xml:space="preserve">) </w:t>
      </w:r>
      <w:r>
        <w:rPr>
          <w:rtl w:val="true"/>
        </w:rPr>
        <w:t>קשר לביצוע עסקה בנשק</w:t>
      </w:r>
      <w:r>
        <w:rPr>
          <w:rtl w:val="true"/>
        </w:rPr>
        <w:t xml:space="preserve">, </w:t>
      </w:r>
      <w:r>
        <w:rPr>
          <w:rtl w:val="true"/>
        </w:rPr>
        <w:t xml:space="preserve">שבמסגרתה ימסור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שלושה מטעני חבלה בתמורה לסך של </w:t>
      </w:r>
      <w:r>
        <w:rPr/>
        <w:t>1,700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יעבירם לאדם אחר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21.4.2020</w:t>
      </w:r>
      <w:r>
        <w:rPr>
          <w:rtl w:val="true"/>
        </w:rPr>
        <w:t xml:space="preserve"> </w:t>
      </w:r>
      <w:r>
        <w:rPr>
          <w:rtl w:val="true"/>
        </w:rPr>
        <w:t xml:space="preserve">ביקש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מהמשיב שיסיע אותו למקום מגוריו של 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 xml:space="preserve">המשיב אסף את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והם נסעו לבית</w:t>
      </w:r>
      <w:r>
        <w:rPr>
          <w:rtl w:val="true"/>
        </w:rPr>
        <w:t xml:space="preserve">, </w:t>
      </w:r>
      <w:r>
        <w:rPr>
          <w:rtl w:val="true"/>
        </w:rPr>
        <w:t xml:space="preserve">שם מסר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לידי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שלושה מטעני חבלה</w:t>
      </w:r>
      <w:r>
        <w:rPr>
          <w:rtl w:val="true"/>
        </w:rPr>
        <w:t xml:space="preserve">, </w:t>
      </w:r>
      <w:r>
        <w:rPr>
          <w:rtl w:val="true"/>
        </w:rPr>
        <w:t>שהם פצצות או חפצים נפיצים שבכוחם להמית אדם או להזיק לו</w:t>
      </w:r>
      <w:r>
        <w:rPr>
          <w:rtl w:val="true"/>
        </w:rPr>
        <w:t xml:space="preserve">, </w:t>
      </w:r>
      <w:r>
        <w:rPr>
          <w:rtl w:val="true"/>
        </w:rPr>
        <w:t xml:space="preserve">בתוך קופסת קרטון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המטענים</w:t>
      </w:r>
      <w:r>
        <w:rPr>
          <w:rtl w:val="true"/>
        </w:rPr>
        <w:t xml:space="preserve">). </w:t>
      </w:r>
      <w:r>
        <w:rPr>
          <w:rtl w:val="true"/>
        </w:rPr>
        <w:t xml:space="preserve">המשיב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עזבו את הבית כשהם נושאים ומובילים בצוותא את הקופסה ובתוכה המטענים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כעולה מכתב האישום</w:t>
      </w:r>
      <w:r>
        <w:rPr>
          <w:rtl w:val="true"/>
        </w:rPr>
        <w:t xml:space="preserve">, </w:t>
      </w:r>
      <w:r>
        <w:rPr>
          <w:rtl w:val="true"/>
        </w:rPr>
        <w:t>כשהמשיב יודע שמדובר במטען חבלה אחד לפחות</w:t>
      </w:r>
      <w:r>
        <w:rPr>
          <w:rtl w:val="true"/>
        </w:rPr>
        <w:t xml:space="preserve">. </w:t>
      </w:r>
      <w:r>
        <w:rPr>
          <w:rtl w:val="true"/>
        </w:rPr>
        <w:t xml:space="preserve">במהלך נסיעתם </w:t>
      </w:r>
      <w:r>
        <w:rPr>
          <w:rtl w:val="true"/>
        </w:rPr>
        <w:t>–</w:t>
      </w:r>
      <w:r>
        <w:rPr>
          <w:rtl w:val="true"/>
        </w:rPr>
        <w:t xml:space="preserve"> כאשר המשיב נהג ברכב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ישב במושב שלידו </w:t>
      </w:r>
      <w:r>
        <w:rPr>
          <w:rtl w:val="true"/>
        </w:rPr>
        <w:t>–</w:t>
      </w:r>
      <w:r>
        <w:rPr>
          <w:rtl w:val="true"/>
        </w:rPr>
        <w:t xml:space="preserve"> האט המשיב את מהירות נסיעתו בעקבות חסימה משטרתית</w:t>
      </w:r>
      <w:r>
        <w:rPr>
          <w:rtl w:val="true"/>
        </w:rPr>
        <w:t xml:space="preserve">. </w:t>
      </w:r>
      <w:r>
        <w:rPr>
          <w:rtl w:val="true"/>
        </w:rPr>
        <w:t>משהבחינו השניים בשוטרים</w:t>
      </w:r>
      <w:r>
        <w:rPr>
          <w:rtl w:val="true"/>
        </w:rPr>
        <w:t xml:space="preserve">, </w:t>
      </w:r>
      <w:r>
        <w:rPr>
          <w:rtl w:val="true"/>
        </w:rPr>
        <w:t xml:space="preserve">השליך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מחלון הרכב את הקופסה שבה היו המטענים</w:t>
      </w:r>
      <w:r>
        <w:rPr>
          <w:rtl w:val="true"/>
        </w:rPr>
        <w:t xml:space="preserve">. </w:t>
      </w:r>
      <w:r>
        <w:rPr>
          <w:rtl w:val="true"/>
        </w:rPr>
        <w:t>יוער כי ההליך בעניינם של הנאשמים האחרים עדיין מתנהל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 הודה במעשים האמורים במסגרת 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12.10.2020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בחיפה את המשיב בעבירת נשק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 והובלה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tl w:val="true"/>
        </w:rPr>
        <w:t xml:space="preserve">, </w:t>
      </w:r>
      <w:hyperlink r:id="rId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tl w:val="true"/>
        </w:rPr>
        <w:t xml:space="preserve">, </w:t>
      </w:r>
      <w:hyperlink r:id="rId1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בו ביום לאחר שנשמעו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גזר בית המשפט את דינו של המשיב כמפורט ברישה לפסק הדין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שעבירות נשק פוגעות בשלום הציבור ובביטחונו וכי הפסיקה שבה והדגישה את הסיכון שבנשיאת נשק ובהובלתו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ציין בית המשפט כי מידת הפגיעה באינטרס החברתי נמוכה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לחלקו המשני של המשיב בפרשה שהתמצה בהובלת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לחובת המשיב עבר פלילי בעבירות אלימות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את מתחם הענישה על </w:t>
      </w:r>
      <w:r>
        <w:rPr/>
        <w:t>24-6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לצד עונשי מאסר על תנאי</w:t>
      </w:r>
      <w:r>
        <w:rPr>
          <w:rtl w:val="true"/>
        </w:rPr>
        <w:t xml:space="preserve">, </w:t>
      </w:r>
      <w:r>
        <w:rPr>
          <w:rtl w:val="true"/>
        </w:rPr>
        <w:t>קנס כספי ופסילת רישיון נהיגה</w:t>
      </w:r>
      <w:r>
        <w:rPr>
          <w:rtl w:val="true"/>
        </w:rPr>
        <w:t xml:space="preserve">). </w:t>
      </w:r>
      <w:r>
        <w:rPr>
          <w:rtl w:val="true"/>
        </w:rPr>
        <w:t>נקבע כי אין מקום לסטות מן המתחם ובשים לב לקבלת האחריות מצד המשיב ולתיקון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הועמד עונשו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לצד העונשים שמפורטים ברישה לפסק הדין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ציין כי המשיב נושא בעונש מאסר בגין הפקעת עבודות שירות שטרם ריצה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בתיק קודם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47879-06-17</w:t>
        </w:r>
      </w:hyperlink>
      <w:r>
        <w:rPr>
          <w:rtl w:val="true"/>
        </w:rPr>
        <w:t xml:space="preserve">)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ולאחר שמיעת טענות הצדדים נקבע כי מתוך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המאסר שהוטלו על המשיב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יצטברו לעונש המאסר והיתרה תרוצה בחופף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המשיב ירצה בסך הכול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בגין התיק דנן ובגין הפקעת עבודות השירות בתיק האחר וזאת מיום מעצרו בתיק זה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21.4.2020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 היה על בית המשפט המחוזי לקבוע מתחם ענישה מחמיר יותר ולגזור על המשיב עונש שהולם את מעשיו</w:t>
      </w:r>
      <w:r>
        <w:rPr>
          <w:rtl w:val="true"/>
        </w:rPr>
        <w:t xml:space="preserve">. </w:t>
      </w:r>
      <w:r>
        <w:rPr>
          <w:rtl w:val="true"/>
        </w:rPr>
        <w:t>המדינה טוענת כי המתחם שקבע בית המשפט מתעלם מהענישה הנוהגת</w:t>
      </w:r>
      <w:r>
        <w:rPr>
          <w:rtl w:val="true"/>
        </w:rPr>
        <w:t xml:space="preserve">, </w:t>
      </w:r>
      <w:r>
        <w:rPr>
          <w:rtl w:val="true"/>
        </w:rPr>
        <w:t>חוטא לעיקרון ההלימה ולא משקף את חומרת המעשים שביצע המשיב</w:t>
      </w:r>
      <w:r>
        <w:rPr>
          <w:rtl w:val="true"/>
        </w:rPr>
        <w:t xml:space="preserve">. </w:t>
      </w:r>
      <w:r>
        <w:rPr>
          <w:rtl w:val="true"/>
        </w:rPr>
        <w:t>כן לשיטת המערערת לא נתן בית המשפט המחוזי משקל ראוי לעברו הפלילי של המשיב</w:t>
      </w:r>
      <w:r>
        <w:rPr>
          <w:rtl w:val="true"/>
        </w:rPr>
        <w:t xml:space="preserve">, </w:t>
      </w:r>
      <w:r>
        <w:rPr>
          <w:rtl w:val="true"/>
        </w:rPr>
        <w:t>שלחובתו הרשעה קודמת בעבירת סחיטה באיומים</w:t>
      </w:r>
      <w:r>
        <w:rPr>
          <w:rtl w:val="true"/>
        </w:rPr>
        <w:t xml:space="preserve">. </w:t>
      </w:r>
      <w:r>
        <w:rPr>
          <w:rtl w:val="true"/>
        </w:rPr>
        <w:t>עוד לא ניתן ביטוי בגזר הדין לכך שהמשיב ביצע את המעשים בעת שהוא מרצה מאסר בעבודות שירות בגין אותה הרשעה</w:t>
      </w:r>
      <w:r>
        <w:rPr>
          <w:rtl w:val="true"/>
        </w:rPr>
        <w:t xml:space="preserve">. </w:t>
      </w:r>
      <w:r>
        <w:rPr>
          <w:rtl w:val="true"/>
        </w:rPr>
        <w:t>המדינה מוסיפה כי קולת העונש מתבטאת גם בחפיפת חודשיים מעונש המאסר בתיק דנן עם המאסר בגין הפקעת עבודות השירות בתיק האחר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 התנגד המשיב להחמרה בענישה וסמך ידיו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המשיב מציין כי מתחם העונש שנקבע במקרה דנן נובע מחלקו השולי של המשיב בפרשה</w:t>
      </w:r>
      <w:r>
        <w:rPr>
          <w:rtl w:val="true"/>
        </w:rPr>
        <w:t xml:space="preserve">, </w:t>
      </w:r>
      <w:r>
        <w:rPr>
          <w:rtl w:val="true"/>
        </w:rPr>
        <w:t>וזאת כעולה מכתב האישום המתוקן</w:t>
      </w:r>
      <w:r>
        <w:rPr>
          <w:rtl w:val="true"/>
        </w:rPr>
        <w:t xml:space="preserve">. </w:t>
      </w:r>
      <w:r>
        <w:rPr>
          <w:rtl w:val="true"/>
        </w:rPr>
        <w:t>עוד הדגיש המשיב את הקשיים הראייתיים בתיק</w:t>
      </w:r>
      <w:r>
        <w:rPr>
          <w:rtl w:val="true"/>
        </w:rPr>
        <w:t xml:space="preserve">, </w:t>
      </w:r>
      <w:r>
        <w:rPr>
          <w:rtl w:val="true"/>
        </w:rPr>
        <w:t>שהובילו</w:t>
      </w:r>
      <w:r>
        <w:rPr>
          <w:rtl w:val="true"/>
        </w:rPr>
        <w:t xml:space="preserve">, </w:t>
      </w:r>
      <w:r>
        <w:rPr>
          <w:rtl w:val="true"/>
        </w:rPr>
        <w:t>כך הטענה</w:t>
      </w:r>
      <w:r>
        <w:rPr>
          <w:rtl w:val="true"/>
        </w:rPr>
        <w:t xml:space="preserve">, </w:t>
      </w:r>
      <w:r>
        <w:rPr>
          <w:rtl w:val="true"/>
        </w:rPr>
        <w:t>לתיקון כתב האישום ואשר מצדיקים את הותרת גזר הדין של בית המשפט המחוזי על כנו</w:t>
      </w:r>
      <w:r>
        <w:rPr>
          <w:rtl w:val="true"/>
        </w:rPr>
        <w:t xml:space="preserve">. </w:t>
      </w:r>
      <w:r>
        <w:rPr>
          <w:rtl w:val="true"/>
        </w:rPr>
        <w:t>כן הדגיש המשיב כי עובר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המאסר בעבודות שירות שנגזרו עליו בגדרי התיק האחר</w:t>
      </w:r>
      <w:r>
        <w:rPr>
          <w:rtl w:val="true"/>
        </w:rPr>
        <w:t xml:space="preserve">, </w:t>
      </w:r>
      <w:r>
        <w:rPr>
          <w:rtl w:val="true"/>
        </w:rPr>
        <w:t>שהה במעצר שלושה חודשים וכי גם לכך יש ליתן משקל בבחינת העונש שנשא בגין התיק האחר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טענות הצדדים הגענו לכלל מסקנה כי יש לקבל את ערעור המדינה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ערכאת הערעור לא תיטה להתערב בחומרת העונש שהטילה הערכאה הדיוניות</w:t>
      </w:r>
      <w:r>
        <w:rPr>
          <w:rtl w:val="true"/>
        </w:rPr>
        <w:t xml:space="preserve">, </w:t>
      </w:r>
      <w:r>
        <w:rPr>
          <w:rtl w:val="true"/>
        </w:rPr>
        <w:t xml:space="preserve">אך המקרה דנן בא בקהלם של המקרים החריגים שבהם מוצדקת התערבות כאמור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ענבתאוי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22.11.2020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ענבתאוי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11.7.2019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48</w:t>
      </w:r>
      <w:r>
        <w:rPr>
          <w:rtl w:val="true"/>
        </w:rPr>
        <w:t xml:space="preserve"> (</w:t>
      </w:r>
      <w:r>
        <w:rPr/>
        <w:t>20.6.2019</w:t>
      </w:r>
      <w:r>
        <w:rPr>
          <w:rtl w:val="true"/>
        </w:rPr>
        <w:t xml:space="preserve">)). </w:t>
      </w:r>
      <w:r>
        <w:rPr>
          <w:rtl w:val="true"/>
        </w:rPr>
        <w:t xml:space="preserve">בענייננו מצא בית המשפט המחוזי לגזור על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ולהורות כי שניים מתוכם יחפפו למאסר שהוטל עליו בגין הפקעת עבודות שירות בתיק האחר</w:t>
      </w:r>
      <w:r>
        <w:rPr>
          <w:rtl w:val="true"/>
        </w:rPr>
        <w:t xml:space="preserve">. </w:t>
      </w:r>
      <w:r>
        <w:rPr>
          <w:rtl w:val="true"/>
        </w:rPr>
        <w:t>אנו סבורים כי בכך חרג בית המשפט המחוזי ממדיניות הענישה הראויה וכי יש להחמיר עם המשיב שלפנינו ולהורות על הארכת המאסר בפועל שהוטל 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ארה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2.9.2020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חומרתן של עבירות אלו נובעת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סלימאן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נפאע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4.12.2011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נפאע</w:t>
      </w:r>
      <w:r>
        <w:rPr>
          <w:rtl w:val="true"/>
        </w:rPr>
        <w:t xml:space="preserve">)).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חזר וציין בית משפט זה כי קיימת מגמה של החמרה בענישה בעבירות אלו וזאת על מנת להרתיע מפני ביצוען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11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 xml:space="preserve">יפים לענייננו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בפרשה אחרת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Fonts w:cs="Miriam" w:ascii="Century" w:hAnsi="Century"/>
          <w:bCs/>
          <w:spacing w:val="0"/>
          <w:szCs w:val="24"/>
        </w:rPr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ביעור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לגידולן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יש ליתן משקל נכבד לכך שעסקינן בתיק שעניינו בהחזקה</w:t>
      </w:r>
      <w:r>
        <w:rPr>
          <w:rtl w:val="true"/>
        </w:rPr>
        <w:t xml:space="preserve">, </w:t>
      </w:r>
      <w:r>
        <w:rPr>
          <w:rtl w:val="true"/>
        </w:rPr>
        <w:t xml:space="preserve">הובלה ונשיאה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 xml:space="preserve">מדובר בכלי נשק התקפי ורב עוצמה שהשימוש בו יכול להביא להרג ללא הבחנה ואינו מתיישב עם מטרה אחרת כלשהי </w:t>
      </w:r>
      <w:r>
        <w:rPr>
          <w:rtl w:val="true"/>
        </w:rPr>
        <w:t>(</w:t>
      </w:r>
      <w:r>
        <w:rPr>
          <w:rtl w:val="true"/>
        </w:rPr>
        <w:t>לא כל שכן הגנה עצמית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פס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</w:t>
      </w:r>
      <w:r>
        <w:rPr>
          <w:rtl w:val="true"/>
        </w:rPr>
        <w:t xml:space="preserve">)). </w:t>
      </w:r>
      <w:r>
        <w:rPr>
          <w:rtl w:val="true"/>
        </w:rPr>
        <w:t>כפי שכבר צוין בעניין זה לא אחת</w:t>
      </w:r>
      <w:r>
        <w:rPr>
          <w:rtl w:val="true"/>
        </w:rPr>
        <w:t>, "</w:t>
      </w:r>
      <w:r>
        <w:rPr>
          <w:rtl w:val="true"/>
        </w:rPr>
        <w:t>אין צורך להכביר מילים על המסוכנות הרבה של חומרי נפץ ומטעני חבלה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סכנת נפשות</w:t>
      </w:r>
      <w:r>
        <w:rPr>
          <w:rtl w:val="true"/>
        </w:rPr>
        <w:t xml:space="preserve">, </w:t>
      </w:r>
      <w:r>
        <w:rPr>
          <w:rtl w:val="true"/>
        </w:rPr>
        <w:t>פשוטו כמשמעו</w:t>
      </w:r>
      <w:r>
        <w:rPr>
          <w:rtl w:val="true"/>
        </w:rPr>
        <w:t xml:space="preserve">. </w:t>
      </w:r>
      <w:r>
        <w:rPr>
          <w:rtl w:val="true"/>
        </w:rPr>
        <w:t>שומה למגר תופעה של סחר</w:t>
      </w:r>
      <w:r>
        <w:rPr>
          <w:rtl w:val="true"/>
        </w:rPr>
        <w:t xml:space="preserve">, </w:t>
      </w:r>
      <w:r>
        <w:rPr>
          <w:rtl w:val="true"/>
        </w:rPr>
        <w:t>נשיאה והובלה של נשק</w:t>
      </w:r>
      <w:r>
        <w:rPr>
          <w:rtl w:val="true"/>
        </w:rPr>
        <w:t xml:space="preserve">. </w:t>
      </w:r>
      <w:r>
        <w:rPr>
          <w:rtl w:val="true"/>
        </w:rPr>
        <w:t>אין ניתן להתפשר</w:t>
      </w:r>
      <w:r>
        <w:rPr>
          <w:rtl w:val="true"/>
        </w:rPr>
        <w:t xml:space="preserve">, </w:t>
      </w:r>
      <w:r>
        <w:rPr>
          <w:rtl w:val="true"/>
        </w:rPr>
        <w:t>ולא לנהוג בסובלנות</w:t>
      </w:r>
      <w:r>
        <w:rPr>
          <w:rtl w:val="true"/>
        </w:rPr>
        <w:t xml:space="preserve">. </w:t>
      </w:r>
      <w:r>
        <w:rPr>
          <w:rtl w:val="true"/>
        </w:rPr>
        <w:t>רחמנות יתרה על המערער ועל אחרים שכמותו</w:t>
      </w:r>
      <w:r>
        <w:rPr>
          <w:rtl w:val="true"/>
        </w:rPr>
        <w:t xml:space="preserve">, </w:t>
      </w:r>
      <w:r>
        <w:rPr>
          <w:rtl w:val="true"/>
        </w:rPr>
        <w:t>כמוה כהתאכזרות אל הציבור הרחב</w:t>
      </w:r>
      <w:r>
        <w:rPr>
          <w:rtl w:val="true"/>
        </w:rPr>
        <w:t xml:space="preserve">. </w:t>
      </w:r>
      <w:r>
        <w:rPr>
          <w:rtl w:val="true"/>
        </w:rPr>
        <w:t>מדובר בחיי אדם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15.11.2013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טוויק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פסיקת בית משפט זה בעניין החזקת ונשיאת מטעני חבלה מגלה כי מדיניות הענישה הנהוגה כוללת עונשי מאסר ממושכים בפועל</w:t>
      </w:r>
      <w:r>
        <w:rPr>
          <w:rtl w:val="true"/>
        </w:rPr>
        <w:t xml:space="preserve">. </w:t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28.3.2019</w:t>
      </w:r>
      <w:r>
        <w:rPr>
          <w:rtl w:val="true"/>
        </w:rPr>
        <w:t xml:space="preserve">), </w:t>
      </w:r>
      <w:r>
        <w:rPr>
          <w:rtl w:val="true"/>
        </w:rPr>
        <w:t>בהמלצת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חזר בו המערער מערעורו על גזר הדין שבגדרו הוטל עליו עונש מאסר בפועל בן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 בגין נשיאת שני מטענים מאולתרים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 על גזר דין שבגדרו הוטל עונש מאסר בפועל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חודשים בגין נשיאה והובלת מטען </w:t>
      </w:r>
      <w:r>
        <w:rPr>
          <w:rtl w:val="true"/>
        </w:rPr>
        <w:t>(</w:t>
      </w:r>
      <w:r>
        <w:rPr>
          <w:rtl w:val="true"/>
        </w:rPr>
        <w:t xml:space="preserve">יוער כי באותו העניין הודה המערער במסגרת הסדר טיעון שבו נקבע שהמדינה תעתור לעונש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>כן ראו והשוו לעונשים שהוטלו על מעורבים נוספים בפרשה</w:t>
      </w:r>
      <w:r>
        <w:rPr>
          <w:rtl w:val="true"/>
        </w:rPr>
        <w:t xml:space="preserve">, </w:t>
      </w:r>
      <w:r>
        <w:rPr>
          <w:rtl w:val="true"/>
        </w:rPr>
        <w:t>שנדונה שם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טוויק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14.11.2013</w:t>
      </w:r>
      <w:r>
        <w:rPr>
          <w:rtl w:val="true"/>
        </w:rPr>
        <w:t xml:space="preserve">)); </w:t>
      </w:r>
      <w:r>
        <w:rPr>
          <w:rtl w:val="true"/>
        </w:rPr>
        <w:t xml:space="preserve">גם בפסק דין משנת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 xml:space="preserve">מצא בית משפט זה להחמיר בעונשם של שניים שהורשעו בנשיאת לבנות חבלה ובקבלת נכסים שהושגו בפשע ולהעמידו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546-544</w:t>
      </w:r>
      <w:r>
        <w:rPr>
          <w:rtl w:val="true"/>
        </w:rPr>
        <w:t xml:space="preserve">; </w:t>
      </w:r>
      <w:r>
        <w:rPr>
          <w:rtl w:val="true"/>
        </w:rPr>
        <w:t>עוד ראו והשוו ל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בדוואן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30.4.2013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אלשמאלי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6.2.2011</w:t>
      </w:r>
      <w:r>
        <w:rPr>
          <w:rtl w:val="true"/>
        </w:rPr>
        <w:t xml:space="preserve">)).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בחינת מדיניות הענישה הנוהגת בעבירות 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 מגלה משרעת רחבה של עונשים</w:t>
      </w:r>
      <w:r>
        <w:rPr>
          <w:rtl w:val="true"/>
        </w:rPr>
        <w:t xml:space="preserve">, </w:t>
      </w:r>
      <w:r>
        <w:rPr>
          <w:rtl w:val="true"/>
        </w:rPr>
        <w:t xml:space="preserve">הנגזרים בין היתר מסוג הנשק שבו עסקינן </w:t>
      </w:r>
      <w:r>
        <w:rPr>
          <w:rtl w:val="true"/>
        </w:rPr>
        <w:t>(</w:t>
      </w:r>
      <w:r>
        <w:rPr>
          <w:rtl w:val="true"/>
        </w:rPr>
        <w:t>על השפעת סוג הנשק בהקשר זה ראו באופן כללי 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)). </w:t>
      </w:r>
      <w:r>
        <w:rPr>
          <w:rtl w:val="true"/>
        </w:rPr>
        <w:t xml:space="preserve">ואולם גם בעבירות נשיאה והובלה של כלי נשק שאינם מטעני חבלה מוטלים עונשי מאסר בפועל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מהעת האחרונה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ענבתאוי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1.10.2020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24.9.2020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המתחם בענייננו שם בית המשפט המחוזי דגש על מקומו של המשיב במעשים המתוארים בכתב האישום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כי </w:t>
      </w:r>
      <w:r>
        <w:rPr>
          <w:rtl w:val="true"/>
        </w:rPr>
        <w:t>"</w:t>
      </w:r>
      <w:r>
        <w:rPr>
          <w:rtl w:val="true"/>
        </w:rPr>
        <w:t xml:space="preserve">אין חולק כי </w:t>
      </w:r>
      <w:r>
        <w:rPr>
          <w:rtl w:val="true"/>
        </w:rPr>
        <w:t>[</w:t>
      </w:r>
      <w:r>
        <w:rPr>
          <w:rtl w:val="true"/>
        </w:rPr>
        <w:t xml:space="preserve">המשיב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'] </w:t>
      </w:r>
      <w:r>
        <w:rPr>
          <w:rtl w:val="true"/>
        </w:rPr>
        <w:t>לא היה אמור לקבל את המטענים לידיו</w:t>
      </w:r>
      <w:r>
        <w:rPr>
          <w:rtl w:val="true"/>
        </w:rPr>
        <w:t xml:space="preserve">, </w:t>
      </w:r>
      <w:r>
        <w:rPr>
          <w:rtl w:val="true"/>
        </w:rPr>
        <w:t>לא אמור היה לעשות בהם כל שימוש וחלקו התמצה בהובלת נאשם אחר ברכב ותו לא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בשים לב לאמור ולכך שלא בוצעו עבירות נוספות זולת זו שבה הורשע המשיב</w:t>
      </w:r>
      <w:r>
        <w:rPr>
          <w:rtl w:val="true"/>
        </w:rPr>
        <w:t xml:space="preserve">, </w:t>
      </w:r>
      <w:r>
        <w:rPr>
          <w:rtl w:val="true"/>
        </w:rPr>
        <w:t xml:space="preserve">יש לקבוע מתחם ענישה שבין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לטעמנו מתחם ענישה זה</w:t>
      </w:r>
      <w:r>
        <w:rPr>
          <w:rtl w:val="true"/>
        </w:rPr>
        <w:t xml:space="preserve">, </w:t>
      </w:r>
      <w:r>
        <w:rPr>
          <w:rtl w:val="true"/>
        </w:rPr>
        <w:t>בשים לב לכל האמור לעיל</w:t>
      </w:r>
      <w:r>
        <w:rPr>
          <w:rtl w:val="true"/>
        </w:rPr>
        <w:t xml:space="preserve">, </w:t>
      </w:r>
      <w:r>
        <w:rPr>
          <w:rtl w:val="true"/>
        </w:rPr>
        <w:t>ובפרט לכך שמדובר בהחזקה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מטען חבלה אינו הולם את חומרת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 מבלי לקבוע מסמרות במתחם הענישה שהיה על בית המשפט המחוזי לקבוע בנסיבות ענייננו</w:t>
      </w:r>
      <w:r>
        <w:rPr>
          <w:rtl w:val="true"/>
        </w:rPr>
        <w:t xml:space="preserve">, </w:t>
      </w:r>
      <w:r>
        <w:rPr>
          <w:rtl w:val="true"/>
        </w:rPr>
        <w:t>אנו סבורים כי גם בהינתן המתחם שנקבע</w:t>
      </w:r>
      <w:r>
        <w:rPr>
          <w:rtl w:val="true"/>
        </w:rPr>
        <w:t xml:space="preserve">, </w:t>
      </w:r>
      <w:r>
        <w:rPr>
          <w:rtl w:val="true"/>
        </w:rPr>
        <w:t>לא היה מקום לגזור את עונשו של המשיב בתחתית המתחם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כשיקולים לקולה</w:t>
      </w:r>
      <w:r>
        <w:rPr>
          <w:rtl w:val="true"/>
        </w:rPr>
        <w:t xml:space="preserve">, </w:t>
      </w:r>
      <w:r>
        <w:rPr>
          <w:rtl w:val="true"/>
        </w:rPr>
        <w:t>מנה בית המשפט את הודאתו ולקיחת האחריות של המשיב ואת תיקון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מבלי ששיקולים אלה נעלמו מעניינו </w:t>
      </w:r>
      <w:r>
        <w:rPr>
          <w:rtl w:val="true"/>
        </w:rPr>
        <w:t>(</w:t>
      </w:r>
      <w:r>
        <w:rPr>
          <w:rtl w:val="true"/>
        </w:rPr>
        <w:t>וגם בשים לב לטענת המשיב לפנינו כי היה במעצר בן שלושה חודשים במסגרת ההליך האחר</w:t>
      </w:r>
      <w:r>
        <w:rPr>
          <w:rtl w:val="true"/>
        </w:rPr>
        <w:t xml:space="preserve">), </w:t>
      </w:r>
      <w:r>
        <w:rPr>
          <w:rtl w:val="true"/>
        </w:rPr>
        <w:t>קיימים בנסיבות המקרה מספר טעמים אשר מצדיקים החמרת עונשו של המשיב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יש ליתן משקל משמעותי לצורך בהרתעה מפני ביצוע עבירות דומות בעתיד </w:t>
      </w:r>
      <w:r>
        <w:rPr>
          <w:rtl w:val="true"/>
        </w:rPr>
        <w:t>–</w:t>
      </w:r>
      <w:r>
        <w:rPr>
          <w:rtl w:val="true"/>
        </w:rPr>
        <w:t xml:space="preserve"> בהתאם לפסיקת בית משפט זה בעבירות נשק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מורייחי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23.11.2020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ענבתאוי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הוארי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25.11.2019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5.2.2015</w:t>
      </w:r>
      <w:r>
        <w:rPr>
          <w:rtl w:val="true"/>
        </w:rPr>
        <w:t xml:space="preserve">)). </w:t>
      </w:r>
      <w:r>
        <w:rPr>
          <w:rtl w:val="true"/>
        </w:rPr>
        <w:t xml:space="preserve">עוד יש ליתן משקל הולם לעברו הפלילי של המשיב </w:t>
      </w:r>
      <w:r>
        <w:rPr>
          <w:rtl w:val="true"/>
        </w:rPr>
        <w:t>–</w:t>
      </w:r>
      <w:r>
        <w:rPr>
          <w:rtl w:val="true"/>
        </w:rPr>
        <w:t xml:space="preserve"> אשר הורשע בעבירת סחיטה באיומים באוגוסט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ובגינה הוטלו עליו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ואשר הורשע בנובמבר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בעבירות איומים והתנהגות פרועה במקום ציבורי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חומרה יתרה יש לייחס לכך שאת עבירת הנשק נושא ההליך דנן ביצע המשיב בעודו מרצה מאסר בגין עבודות שירות בתיק האחר</w:t>
      </w:r>
      <w:r>
        <w:rPr>
          <w:rtl w:val="true"/>
        </w:rPr>
        <w:t xml:space="preserve">. </w:t>
      </w:r>
      <w:r>
        <w:rPr>
          <w:rtl w:val="true"/>
        </w:rPr>
        <w:t>שקלולם של נתונים אלה מלמד כי לא היה מקום לגזור את עונשו של המשיב בתחתית המתחם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 TUR;Arial" w:hAnsi="Arial TUR;Arial"/>
          <w:spacing w:val="10"/>
          <w:sz w:val="22"/>
          <w:szCs w:val="28"/>
        </w:rPr>
      </w:pPr>
      <w:bookmarkStart w:id="17" w:name="Nitan"/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22.12.2020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20080170</w:t>
      </w:r>
      <w:r>
        <w:rPr>
          <w:sz w:val="16"/>
          <w:rtl w:val="true"/>
        </w:rPr>
        <w:t>_</w:t>
      </w:r>
      <w:r>
        <w:rPr>
          <w:sz w:val="16"/>
        </w:rPr>
        <w:t>M04.docx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ע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פוגלמן </w:t>
      </w:r>
      <w:r>
        <w:rPr>
          <w:rFonts w:cs="David;David" w:ascii="David;David" w:hAnsi="David;David"/>
          <w:color w:val="000000"/>
          <w:szCs w:val="22"/>
        </w:rPr>
        <w:t>54678313-8017/20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8017/20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פאדי גריפאת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David"/>
    </w:rPr>
  </w:style>
  <w:style w:type="character" w:styleId="CharChar1">
    <w:name w:val=" Char Char1"/>
    <w:qFormat/>
    <w:rPr>
      <w:rFonts w:cs="David;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711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2754831" TargetMode="External"/><Relationship Id="rId14" Type="http://schemas.openxmlformats.org/officeDocument/2006/relationships/hyperlink" Target="http://www.nevo.co.il/case/26888657" TargetMode="External"/><Relationship Id="rId15" Type="http://schemas.openxmlformats.org/officeDocument/2006/relationships/hyperlink" Target="http://www.nevo.co.il/case/25430243" TargetMode="External"/><Relationship Id="rId16" Type="http://schemas.openxmlformats.org/officeDocument/2006/relationships/hyperlink" Target="http://www.nevo.co.il/case/22791135" TargetMode="External"/><Relationship Id="rId17" Type="http://schemas.openxmlformats.org/officeDocument/2006/relationships/hyperlink" Target="http://www.nevo.co.il/case/26538254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5821327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5762686" TargetMode="External"/><Relationship Id="rId23" Type="http://schemas.openxmlformats.org/officeDocument/2006/relationships/hyperlink" Target="http://www.nevo.co.il/case/10485615" TargetMode="External"/><Relationship Id="rId24" Type="http://schemas.openxmlformats.org/officeDocument/2006/relationships/hyperlink" Target="http://www.nevo.co.il/case/24152593" TargetMode="External"/><Relationship Id="rId25" Type="http://schemas.openxmlformats.org/officeDocument/2006/relationships/hyperlink" Target="http://www.nevo.co.il/case/7821883" TargetMode="External"/><Relationship Id="rId26" Type="http://schemas.openxmlformats.org/officeDocument/2006/relationships/hyperlink" Target="http://www.nevo.co.il/case/10485614" TargetMode="External"/><Relationship Id="rId27" Type="http://schemas.openxmlformats.org/officeDocument/2006/relationships/hyperlink" Target="http://www.nevo.co.il/case/23793846" TargetMode="External"/><Relationship Id="rId28" Type="http://schemas.openxmlformats.org/officeDocument/2006/relationships/hyperlink" Target="http://www.nevo.co.il/case/5581458" TargetMode="External"/><Relationship Id="rId29" Type="http://schemas.openxmlformats.org/officeDocument/2006/relationships/hyperlink" Target="http://www.nevo.co.il/case/6054752" TargetMode="External"/><Relationship Id="rId30" Type="http://schemas.openxmlformats.org/officeDocument/2006/relationships/hyperlink" Target="http://www.nevo.co.il/case/6473037" TargetMode="External"/><Relationship Id="rId31" Type="http://schemas.openxmlformats.org/officeDocument/2006/relationships/hyperlink" Target="http://www.nevo.co.il/case/26978063" TargetMode="External"/><Relationship Id="rId32" Type="http://schemas.openxmlformats.org/officeDocument/2006/relationships/hyperlink" Target="http://www.nevo.co.il/case/26567407" TargetMode="External"/><Relationship Id="rId33" Type="http://schemas.openxmlformats.org/officeDocument/2006/relationships/hyperlink" Target="http://www.nevo.co.il/case/26747892" TargetMode="External"/><Relationship Id="rId34" Type="http://schemas.openxmlformats.org/officeDocument/2006/relationships/hyperlink" Target="http://www.nevo.co.il/case/25940943" TargetMode="External"/><Relationship Id="rId35" Type="http://schemas.openxmlformats.org/officeDocument/2006/relationships/hyperlink" Target="http://www.nevo.co.il/case/17948154" TargetMode="External"/><Relationship Id="rId36" Type="http://schemas.openxmlformats.org/officeDocument/2006/relationships/hyperlink" Target="http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2020-12-23T11:56:00Z</dcterms:created>
  <dc:creator>h10</dc:creator>
  <dc:description/>
  <cp:keywords/>
  <dc:language>en-IL</dc:language>
  <cp:lastModifiedBy>orly</cp:lastModifiedBy>
  <cp:lastPrinted>2020-12-22T18:20:00Z</cp:lastPrinted>
  <dcterms:modified xsi:type="dcterms:W3CDTF">2020-12-23T11:56:00Z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גריפאת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26671192;22754831;26888657;25430243;22791135;26538254;7791493;5821327;23750625;25824863;5762686;10485615;24152593;7821883;10485614;23793846;5581458;6054752;6473037;26978063;26567407;26747892;25940943;17948154</vt:lpwstr>
  </property>
  <property fmtid="{D5CDD505-2E9C-101B-9397-08002B2CF9AE}" pid="9" name="CITY">
    <vt:lpwstr/>
  </property>
  <property fmtid="{D5CDD505-2E9C-101B-9397-08002B2CF9AE}" pid="10" name="DATE">
    <vt:lpwstr>20201222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פוגלמן;נ' סולברג;ה א' חיות</vt:lpwstr>
  </property>
  <property fmtid="{D5CDD505-2E9C-101B-9397-08002B2CF9AE}" pid="14" name="LAWLISTTMP1">
    <vt:lpwstr>70301/144.a;144.b;144.c;029</vt:lpwstr>
  </property>
  <property fmtid="{D5CDD505-2E9C-101B-9397-08002B2CF9AE}" pid="15" name="LAWYER">
    <vt:lpwstr>יניב אביטן;אשרף אבוליל;מירי קולומבוס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15230;13800</vt:lpwstr>
  </property>
  <property fmtid="{D5CDD505-2E9C-101B-9397-08002B2CF9AE}" pid="59" name="PADIDATE">
    <vt:lpwstr>20201223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8017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410120201222</vt:lpwstr>
  </property>
  <property fmtid="{D5CDD505-2E9C-101B-9397-08002B2CF9AE}" pid="69" name="TYPE_N_DATE">
    <vt:lpwstr>41020201222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