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rFonts w:cs="Times New Roman"/>
                <w:sz w:val="28"/>
                <w:szCs w:val="28"/>
                <w:rtl w:val="true"/>
              </w:rPr>
              <w:t xml:space="preserve">    </w:t>
            </w:r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804/17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837/17</w:t>
            </w:r>
          </w:p>
        </w:tc>
      </w:tr>
    </w:tbl>
    <w:p>
      <w:pPr>
        <w:pStyle w:val="Normal"/>
        <w:ind w:end="0"/>
        <w:jc w:val="end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אמארה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837/17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מועתז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אמארה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837/17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rFonts w:cs="FrankRuehl"/>
                <w:spacing w:val="10"/>
                <w:szCs w:val="20"/>
              </w:rPr>
            </w:pPr>
            <w:r>
              <w:rPr>
                <w:rFonts w:cs="FrankRuehl"/>
                <w:spacing w:val="10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2316-03-14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"/>
        <w:gridCol w:w="3217"/>
        <w:gridCol w:w="40"/>
        <w:gridCol w:w="2261"/>
        <w:gridCol w:w="2977"/>
      </w:tblGrid>
      <w:tr>
        <w:trPr/>
        <w:tc>
          <w:tcPr>
            <w:tcW w:w="3257" w:type="dxa"/>
            <w:gridSpan w:val="2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cs="FrankRuehl"/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  <w:t>תאריך</w:t>
            </w:r>
            <w:r>
              <w:rPr>
                <w:rFonts w:cs="Times New Roman"/>
                <w:spacing w:val="10"/>
                <w:rtl w:val="true"/>
              </w:rPr>
              <w:t xml:space="preserve"> </w:t>
            </w:r>
            <w:r>
              <w:rPr>
                <w:rFonts w:cs="FrankRuehl"/>
                <w:spacing w:val="10"/>
                <w:rtl w:val="true"/>
              </w:rPr>
              <w:t>הישיבה</w:t>
            </w:r>
            <w:r>
              <w:rPr>
                <w:rFonts w:cs="FrankRuehl"/>
                <w:spacing w:val="10"/>
                <w:rtl w:val="true"/>
              </w:rPr>
              <w:t>:</w:t>
            </w:r>
          </w:p>
        </w:tc>
        <w:tc>
          <w:tcPr>
            <w:tcW w:w="2301" w:type="dxa"/>
            <w:gridSpan w:val="2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cs="FrankRuehl"/>
                <w:spacing w:val="10"/>
              </w:rPr>
            </w:pPr>
            <w:r>
              <w:rPr>
                <w:rFonts w:cs="FrankRuehl"/>
                <w:spacing w:val="10"/>
                <w:rtl w:val="true"/>
              </w:rPr>
              <w:t>כ</w:t>
            </w:r>
            <w:r>
              <w:rPr>
                <w:rFonts w:cs="FrankRuehl"/>
                <w:spacing w:val="10"/>
                <w:rtl w:val="true"/>
              </w:rPr>
              <w:t>"</w:t>
            </w:r>
            <w:r>
              <w:rPr>
                <w:rFonts w:cs="FrankRuehl"/>
                <w:spacing w:val="10"/>
                <w:rtl w:val="true"/>
              </w:rPr>
              <w:t>ט</w:t>
            </w:r>
            <w:r>
              <w:rPr>
                <w:rFonts w:cs="Times New Roman"/>
                <w:spacing w:val="10"/>
                <w:rtl w:val="true"/>
              </w:rPr>
              <w:t xml:space="preserve"> </w:t>
            </w:r>
            <w:r>
              <w:rPr>
                <w:rFonts w:cs="FrankRuehl"/>
                <w:spacing w:val="10"/>
                <w:rtl w:val="true"/>
              </w:rPr>
              <w:t>בתשרי</w:t>
            </w:r>
            <w:r>
              <w:rPr>
                <w:rFonts w:cs="Times New Roman"/>
                <w:spacing w:val="10"/>
                <w:rtl w:val="true"/>
              </w:rPr>
              <w:t xml:space="preserve"> </w:t>
            </w:r>
            <w:r>
              <w:rPr>
                <w:rFonts w:cs="FrankRuehl"/>
                <w:spacing w:val="10"/>
                <w:rtl w:val="true"/>
              </w:rPr>
              <w:t>התשע</w:t>
            </w:r>
            <w:r>
              <w:rPr>
                <w:rFonts w:cs="FrankRuehl"/>
                <w:spacing w:val="10"/>
                <w:rtl w:val="true"/>
              </w:rPr>
              <w:t>"</w:t>
            </w:r>
            <w:r>
              <w:rPr>
                <w:rFonts w:cs="FrankRuehl"/>
                <w:spacing w:val="10"/>
                <w:rtl w:val="true"/>
              </w:rPr>
              <w:t>ח</w:t>
            </w:r>
            <w:r>
              <w:rPr>
                <w:rFonts w:cs="Times New Roman"/>
                <w:spacing w:val="10"/>
                <w:rtl w:val="true"/>
              </w:rPr>
              <w:t xml:space="preserve"> </w:t>
            </w:r>
            <w:r>
              <w:rPr>
                <w:rFonts w:cs="Times New Roman"/>
                <w:spacing w:val="10"/>
                <w:rtl w:val="true"/>
              </w:rPr>
              <w:t xml:space="preserve">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spacing w:val="10"/>
                <w:rtl w:val="true"/>
              </w:rPr>
              <w:t>(</w:t>
            </w:r>
            <w:r>
              <w:rPr>
                <w:rFonts w:cs="FrankRuehl"/>
                <w:spacing w:val="10"/>
              </w:rPr>
              <w:t>19.10.2017</w:t>
            </w:r>
            <w:r>
              <w:rPr>
                <w:rFonts w:cs="FrankRuehl"/>
                <w:spacing w:val="10"/>
                <w:rtl w:val="true"/>
              </w:rPr>
              <w:t xml:space="preserve">) </w:t>
            </w:r>
          </w:p>
        </w:tc>
      </w:tr>
      <w:tr>
        <w:trPr/>
        <w:tc>
          <w:tcPr>
            <w:tcW w:w="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Times New Roman"/>
                <w:spacing w:val="10"/>
                <w:szCs w:val="20"/>
              </w:rPr>
            </w:pPr>
            <w:r>
              <w:rPr>
                <w:rFonts w:cs="Times New Roman"/>
                <w:spacing w:val="10"/>
                <w:szCs w:val="20"/>
                <w:rtl w:val="true"/>
              </w:rPr>
            </w:r>
          </w:p>
        </w:tc>
        <w:tc>
          <w:tcPr>
            <w:tcW w:w="3257" w:type="dxa"/>
            <w:gridSpan w:val="2"/>
            <w:tcBorders/>
          </w:tcPr>
          <w:p>
            <w:pPr>
              <w:pStyle w:val="BodyRuller1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gridSpan w:val="2"/>
            <w:tcBorders/>
          </w:tcPr>
          <w:p>
            <w:pPr>
              <w:pStyle w:val="BodyRuller1"/>
              <w:spacing w:lineRule="auto" w:line="360"/>
              <w:ind w:end="0"/>
              <w:jc w:val="both"/>
              <w:rPr>
                <w:rFonts w:cs="FrankRuehl"/>
                <w:spacing w:val="10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פאהום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Times New Roman"/>
                <w:spacing w:val="10"/>
                <w:szCs w:val="20"/>
              </w:rPr>
            </w:pPr>
            <w:r>
              <w:rPr>
                <w:rFonts w:cs="Times New Roman"/>
                <w:spacing w:val="10"/>
                <w:szCs w:val="20"/>
                <w:rtl w:val="true"/>
              </w:rPr>
            </w:r>
          </w:p>
        </w:tc>
        <w:tc>
          <w:tcPr>
            <w:tcW w:w="3257" w:type="dxa"/>
            <w:gridSpan w:val="2"/>
            <w:tcBorders/>
          </w:tcPr>
          <w:p>
            <w:pPr>
              <w:pStyle w:val="BodyRuller1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837/17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gridSpan w:val="2"/>
            <w:tcBorders/>
          </w:tcPr>
          <w:p>
            <w:pPr>
              <w:pStyle w:val="BodyRuller1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עתאמנה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both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837/17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311"/>
        <w:spacing w:lineRule="exact" w:line="240" w:before="0" w:after="120"/>
        <w:ind w:hanging="283" w:start="283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למבוגרים</w:t>
      </w:r>
      <w:r>
        <w:rPr>
          <w:sz w:val="28"/>
          <w:szCs w:val="28"/>
          <w:rtl w:val="true"/>
        </w:rPr>
        <w:t xml:space="preserve">:    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אורנית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עמי</w:t>
      </w:r>
      <w:bookmarkStart w:id="5" w:name="LawTable"/>
      <w:bookmarkEnd w:id="5"/>
      <w:r>
        <w:rPr>
          <w:sz w:val="28"/>
          <w:sz w:val="28"/>
          <w:szCs w:val="28"/>
          <w:rtl w:val="true"/>
        </w:rPr>
        <w:t>ר</w:t>
      </w:r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</w:t>
        </w:r>
      </w:hyperlink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עונש – ערעור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במידת העונש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msonormal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msonormal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מלצר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ובהסכמת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דנציגר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וסולברג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וטומנות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משתמשי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הובילו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מהנזקים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שהבחינו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בנפגע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נמלטו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ברכבם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start="0" w:end="0"/>
        <w:contextualSpacing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המפורט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והמנומק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וביניהן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והמשפחתיות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בתסקירי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מוקמו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/>
          <w:spacing w:val="0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12"/>
          <w:szCs w:val="18"/>
          <w:u w:val="single"/>
        </w:rPr>
      </w:pPr>
      <w:r>
        <w:rPr>
          <w:rFonts w:cs="Times New Roman" w:ascii="Times New Roman" w:hAnsi="Times New Roman"/>
          <w:sz w:val="12"/>
          <w:szCs w:val="18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4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בפנינו ערעורים על גזר דינו של בית המשפט המחוזי בנצרת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שטרית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מתאריך </w:t>
      </w:r>
      <w:r>
        <w:rPr>
          <w:rFonts w:cs="Times New Roman" w:ascii="Times New Roman" w:hAnsi="Times New Roman"/>
        </w:rPr>
        <w:t>15.12.2016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-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2316-03-14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במסגרתו הושתו על המערער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804/17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מוחמד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והמערער ב</w:t>
      </w:r>
      <w:r>
        <w:rPr>
          <w:rFonts w:cs="Times New Roman" w:ascii="Times New Roman" w:hAnsi="Times New Roman"/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837/17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מועתז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בניכוי ימי מעצרם לפי המפורט בגזר הדין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בתנאי שלא יעברו במשך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עבירה של נהיגה בזמן 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נהיגה ללא רישיון 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חובת נוסע להתקשר לגופי הצלה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שיבוש מהלכי 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קשירת קשר לביצוע עוון ויורשעו בגין אחת מאלה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פסילת רישיון נהיגה למשך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פיצוי לנפגע העבירה בסך של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וקנס בסך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 כפי המפורט בגזר הדין</w:t>
      </w:r>
      <w:r>
        <w:rPr>
          <w:rFonts w:cs="Calibri" w:ascii="Calibri" w:hAnsi="Calibri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4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 xml:space="preserve">בתאריך </w:t>
      </w:r>
      <w:r>
        <w:rPr>
          <w:rFonts w:cs="Times New Roman" w:ascii="Times New Roman" w:hAnsi="Times New Roman"/>
        </w:rPr>
        <w:t>25.01.2017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חברי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המשנה לנשיאה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בדימ</w:t>
      </w:r>
      <w:r>
        <w:rPr>
          <w:rFonts w:cs="Times New Roman" w:ascii="Times New Roman" w:hAnsi="Times New Roman"/>
          <w:rtl w:val="true"/>
        </w:rPr>
        <w:t xml:space="preserve">')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עיכב את ביצוע עונש המאסר שהושת על המערערים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עד למתן החלטה אחרת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נביא 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בתמצית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הנתונים הדרושים להכרעה בערעורים</w:t>
      </w:r>
      <w:r>
        <w:rPr>
          <w:rFonts w:cs="Calibri" w:ascii="Calibri" w:hAnsi="Calibri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4"/>
        </w:numPr>
        <w:ind w:hanging="0" w:start="0" w:end="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rtl w:val="true"/>
        </w:rPr>
        <w:t xml:space="preserve">בתאריך </w:t>
      </w:r>
      <w:r>
        <w:rPr>
          <w:rFonts w:cs="Times New Roman" w:ascii="Times New Roman" w:hAnsi="Times New Roman"/>
        </w:rPr>
        <w:t>20.04.2016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המערערים הורשעו במיוחס להם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הודאתם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בכתב אישום מתוקן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Century" w:hAnsi="Century" w:cs="Century"/>
          <w:rtl w:val="true"/>
        </w:rPr>
        <w:t>מסגרת הסדר הטיעון הוסכם כי המערערים יודו בכתב אישום 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נוכח גילם הצעיר במועד ביצוע העבירות –  הם יופנו לשירות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שיגיש תסקירים בעניינם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טרם שמיעת הטיעונים לעונש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הוסכם כי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המערערים יהיו חופשיים בטיעוניהם לעונש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4"/>
        </w:numPr>
        <w:ind w:hanging="0" w:start="0" w:end="0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rtl w:val="true"/>
        </w:rPr>
        <w:t>כתב האישום המתוקן כלל שני אישומים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תמציתם הוא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>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Fonts w:ascii="Times New Roman" w:hAnsi="Times New Roman" w:cs="Times New Roman"/>
          <w:rtl w:val="true"/>
        </w:rPr>
        <w:t xml:space="preserve"> – המערערים הורשעו בכך שבתאריך </w:t>
      </w:r>
      <w:r>
        <w:rPr>
          <w:rFonts w:cs="Times New Roman" w:ascii="Times New Roman" w:hAnsi="Times New Roman"/>
        </w:rPr>
        <w:t>18.02.2014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הם נהגו ברכב ללא רישיון 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ביטוח בתוקף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והיו מעורבים בתאונה במסגרתה אחד מהם נהג בשלב מסויים ברכב בקלות ראש וברשלנות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הבחין בהולכי רגל וסטה לעברה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מה שאילץ את הולכי הרגל לקפוץ כדי להימנע מפגיעה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מכן נהג הרכב סטה שמאלה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חצה קו הפרדה רצוף ופגע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אשר הוטח בשמשת הרכב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וזו התנפצה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במסגרת התאונה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ascii="Times New Roman" w:hAnsi="Times New Roman" w:cs="Times New Roman"/>
          <w:rtl w:val="true"/>
        </w:rPr>
        <w:t xml:space="preserve"> נפגע באורח קשה ונגרמה לו חבלה חמורה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הפגיעה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ולמרות שהמערערים ידעו 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ascii="Times New Roman" w:hAnsi="Times New Roman" w:cs="Times New Roman"/>
          <w:rtl w:val="true"/>
        </w:rPr>
        <w:t xml:space="preserve"> נפגע בתאונה – הם נמלטו מהמקום ברכב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התקשרו לגופי ההצלה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הגישו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ascii="Times New Roman" w:hAnsi="Times New Roman" w:cs="Times New Roman"/>
          <w:rtl w:val="true"/>
        </w:rPr>
        <w:t xml:space="preserve"> כל עזרה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במסגרת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Fonts w:ascii="Times New Roman" w:hAnsi="Times New Roman" w:cs="Times New Roman"/>
          <w:rtl w:val="true"/>
        </w:rPr>
        <w:t xml:space="preserve"> המערערים הורשעו בביצוען של העבירות הבאות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הפרת </w:t>
      </w:r>
      <w:r>
        <w:rPr>
          <w:rFonts w:ascii="Calibri" w:hAnsi="Calibri" w:cs="Calibri"/>
          <w:rtl w:val="true"/>
        </w:rPr>
        <w:t>חובת נוסע להתקשר לגופי הצלה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עבירה לפי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21">
        <w:r>
          <w:rPr>
            <w:rStyle w:val="Hyperlink"/>
            <w:rFonts w:cs="Calibri" w:ascii="Calibri" w:hAnsi="Calibri"/>
          </w:rPr>
          <w:t>40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בנסיבות </w:t>
      </w:r>
      <w:hyperlink r:id="rId22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64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התעבורה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1961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הפקודה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Calibri" w:hAnsi="Calibri" w:cs="Calibri"/>
          <w:rtl w:val="true"/>
        </w:rPr>
        <w:t>שימוש ברכב ללא רישיון רכב תקף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עבירה לפי </w:t>
      </w:r>
      <w:hyperlink r:id="rId24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ושימוש ברכב ללא ביטוח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עבירה לפי </w:t>
      </w:r>
      <w:hyperlink r:id="rId2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ביטוח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רכב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מנועי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1970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הורשע ב</w:t>
      </w:r>
      <w:r>
        <w:rPr>
          <w:rFonts w:ascii="Calibri" w:hAnsi="Calibri" w:cs="Calibri"/>
          <w:rtl w:val="true"/>
        </w:rPr>
        <w:t xml:space="preserve">נהיגה ללא רישיון נהיגה – עבירה לפי </w:t>
      </w:r>
      <w:hyperlink r:id="rId2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10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מועתז</w:t>
      </w:r>
      <w:r>
        <w:rPr>
          <w:rFonts w:ascii="Times New Roman" w:hAnsi="Times New Roman" w:cs="Times New Roman"/>
          <w:rtl w:val="true"/>
        </w:rPr>
        <w:t xml:space="preserve"> הורשע גם בביצוען של העבירות הבאות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alibri" w:hAnsi="Calibri" w:cs="Calibri"/>
          <w:rtl w:val="true"/>
        </w:rPr>
        <w:t>התנהגות הגורמת 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עבירה לפי </w:t>
      </w:r>
      <w:hyperlink r:id="rId28">
        <w:r>
          <w:rPr>
            <w:rStyle w:val="Hyperlink"/>
            <w:rFonts w:ascii="Calibri" w:hAnsi="Calibri" w:cs="Calibri"/>
            <w:rtl w:val="true"/>
          </w:rPr>
          <w:t>תקנה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תקנות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התעבורה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1961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בצירוף </w:t>
      </w:r>
      <w:hyperlink r:id="rId3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38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cs="Calibri" w:ascii="Calibri" w:hAnsi="Calibri"/>
          </w:rPr>
          <w:t>3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ואיסור לנהוג בלי רישיון 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עבירה לפי </w:t>
      </w:r>
      <w:hyperlink r:id="rId31">
        <w:r>
          <w:rPr>
            <w:rStyle w:val="Hyperlink"/>
            <w:rFonts w:ascii="Calibri" w:hAnsi="Calibri" w:cs="Calibri"/>
            <w:rtl w:val="true"/>
          </w:rPr>
          <w:t>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10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32">
        <w:r>
          <w:rPr>
            <w:rStyle w:val="Hyperlink"/>
            <w:rFonts w:cs="Calibri" w:ascii="Calibri" w:hAnsi="Calibri"/>
            <w:color w:val="0000FF"/>
            <w:u w:val="single"/>
          </w:rPr>
          <w:t>36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msolistparagraph"/>
        <w:spacing w:lineRule="auto" w:line="360"/>
        <w:ind w:end="0"/>
        <w:jc w:val="start"/>
        <w:rPr>
          <w:rFonts w:ascii="Calibri" w:hAnsi="Calibri" w:cs="FrankRuehl"/>
          <w:spacing w:val="10"/>
          <w:sz w:val="22"/>
          <w:szCs w:val="28"/>
        </w:rPr>
      </w:pPr>
      <w:r>
        <w:rPr>
          <w:rFonts w:cs="FrankRuehl" w:ascii="Calibri" w:hAnsi="Calibri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– המערערים הורשעו בכך לאחר שהאירועים שתוארו באישום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– יחד עם נאשם </w:t>
      </w:r>
      <w:r>
        <w:rPr>
          <w:rFonts w:cs="Times New Roman" w:ascii="Times New Roman" w:hAnsi="Times New Roman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נזיה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נזיה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אביו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מועתז</w:t>
      </w:r>
      <w:r>
        <w:rPr>
          <w:rFonts w:ascii="Times New Roman" w:hAnsi="Times New Roman" w:cs="Times New Roman"/>
          <w:rtl w:val="true"/>
        </w:rPr>
        <w:t xml:space="preserve"> – הם קשרו קשר לשבש חקירת משטרה עתידית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להסתיר את מעורבותם של המערערים בתאונה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ולהעלים את הראיות הנוגעות לתאונה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באמצעות הצתת הרכב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הרכב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אכן הוצת באמצעות אחרים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במסגרת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 הורשעו בשיבוש מהלכי 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עבירה לפי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ascii="Calibri" w:hAnsi="Calibri" w:cs="Calibri"/>
          <w:rtl w:val="true"/>
        </w:rPr>
        <w:t>קשירת קשר לביצוע עוון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 xml:space="preserve">עבירה לפי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msonormalcxspmiddle"/>
        <w:numPr>
          <w:ilvl w:val="0"/>
          <w:numId w:val="4"/>
        </w:numPr>
        <w:bidi w:val="1"/>
        <w:spacing w:lineRule="auto" w:line="360" w:before="100" w:after="100"/>
        <w:ind w:hanging="0" w:start="0"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נזיה</w:t>
      </w:r>
      <w:r>
        <w:rPr>
          <w:sz w:val="28"/>
          <w:sz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msonormalcxspmiddle"/>
        <w:bidi w:val="1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msonormalcxspmiddle"/>
        <w:numPr>
          <w:ilvl w:val="0"/>
          <w:numId w:val="4"/>
        </w:numPr>
        <w:bidi w:val="1"/>
        <w:spacing w:lineRule="auto" w:line="360" w:before="100" w:after="100"/>
        <w:ind w:hanging="0" w:start="0"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בתאריך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15.12.2016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הנכבד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בשני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sz w:val="28"/>
          <w:rtl w:val="true"/>
        </w:rPr>
        <w:t>אירוע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הראשון</w:t>
      </w:r>
      <w:r>
        <w:rPr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sz w:val="28"/>
          <w:sz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</w:t>
      </w:r>
      <w:r>
        <w:rPr>
          <w:rFonts w:cs="FrankRuehl"/>
          <w:spacing w:val="10"/>
          <w:sz w:val="22"/>
          <w:sz w:val="22"/>
          <w:szCs w:val="28"/>
          <w:rtl w:val="true"/>
        </w:rPr>
        <w:t>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ינוע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24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בצד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בגין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האירוע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השני</w:t>
      </w:r>
      <w:r>
        <w:rPr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ינוע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שיכול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וירוצו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דרך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קיומו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פנימי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להשית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/>
          <w:spacing w:val="10"/>
          <w:sz w:val="22"/>
          <w:szCs w:val="28"/>
          <w:rtl w:val="true"/>
        </w:rPr>
        <w:t xml:space="preserve">.  </w:t>
      </w:r>
    </w:p>
    <w:p>
      <w:pPr>
        <w:pStyle w:val="msonormalcxspmiddle"/>
        <w:bidi w:val="1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msonormalcxspmiddle"/>
        <w:numPr>
          <w:ilvl w:val="0"/>
          <w:numId w:val="4"/>
        </w:numPr>
        <w:bidi w:val="1"/>
        <w:spacing w:lineRule="auto" w:line="360" w:before="100" w:after="100"/>
        <w:ind w:hanging="0" w:start="0" w:end="0"/>
        <w:contextualSpacing/>
        <w:jc w:val="both"/>
        <w:rPr>
          <w:rFonts w:ascii="Arial" w:hAnsi="Arial" w:cs="David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הנכבד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תסקירי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נמנעו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מלבוא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בהמלצה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הובאו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בחשבון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גילם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הצעיר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היותם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נעדרי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מוחמד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נעדר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תעבורתי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</w:t>
      </w:r>
      <w:r>
        <w:rPr>
          <w:rFonts w:cs="Miriam"/>
          <w:sz w:val="28"/>
          <w:sz w:val="28"/>
          <w:rtl w:val="true"/>
        </w:rPr>
        <w:t>מועתז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תעבורתי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נסיבותיהם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והמשפחתיות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תקופת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מאחורי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סורג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ובריח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במעצר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בסיכום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הנכבד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העמיד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ברף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הנמוך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והשית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עליהם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הנזכרים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בפיסקה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שלעיל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msonormalcxspmiddle"/>
        <w:bidi w:val="1"/>
        <w:spacing w:lineRule="auto" w:line="360"/>
        <w:ind w:end="0"/>
        <w:jc w:val="both"/>
        <w:rPr>
          <w:rFonts w:ascii="Arial" w:hAnsi="Arial" w:cs="FrankRuehl"/>
          <w:spacing w:val="10"/>
          <w:sz w:val="22"/>
          <w:szCs w:val="28"/>
        </w:rPr>
      </w:pPr>
      <w:r>
        <w:rPr>
          <w:rFonts w:cs="FrankRuehl" w:ascii="Arial" w:hAnsi="Arial"/>
          <w:spacing w:val="10"/>
          <w:sz w:val="22"/>
          <w:szCs w:val="28"/>
          <w:rtl w:val="true"/>
        </w:rPr>
      </w:r>
    </w:p>
    <w:p>
      <w:pPr>
        <w:pStyle w:val="msonormalcxsplast"/>
        <w:bidi w:val="1"/>
        <w:spacing w:lineRule="auto" w:line="360"/>
        <w:ind w:end="0"/>
        <w:jc w:val="both"/>
        <w:rPr>
          <w:rFonts w:ascii="Arial" w:hAnsi="Arial" w:cs="David"/>
          <w:sz w:val="20"/>
        </w:rPr>
      </w:pPr>
      <w:r>
        <w:rPr>
          <w:rFonts w:cs="Miriam"/>
          <w:sz w:val="28"/>
          <w:sz w:val="28"/>
          <w:rtl w:val="true"/>
        </w:rPr>
        <w:t>טענות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הצדדים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העדרו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התומך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באפיק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בסיכום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msonormalcxspmiddle"/>
        <w:bidi w:val="1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msonormalcxsplast"/>
        <w:numPr>
          <w:ilvl w:val="0"/>
          <w:numId w:val="4"/>
        </w:numPr>
        <w:bidi w:val="1"/>
        <w:spacing w:lineRule="auto" w:line="360" w:before="100" w:after="100"/>
        <w:ind w:hanging="0" w:start="0"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מועתז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הנכבד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שגה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בקובעו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מתחמי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מועתז</w:t>
      </w:r>
      <w:r>
        <w:rPr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ליתן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מוגבר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לגילו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הצעיר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מועתז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ללקיחת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והאמור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בתסקיר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המליץ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מועתז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ירצה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מועתז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לסטות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מהמתחם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מועתז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שיקום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וצדק</w:t>
      </w:r>
      <w:r>
        <w:rPr>
          <w:rFonts w:cs="FrankRuehl"/>
          <w:spacing w:val="10"/>
          <w:sz w:val="22"/>
          <w:szCs w:val="28"/>
          <w:rtl w:val="true"/>
        </w:rPr>
        <w:t xml:space="preserve">.  </w:t>
      </w:r>
    </w:p>
    <w:p>
      <w:pPr>
        <w:pStyle w:val="msolistparagraph"/>
        <w:spacing w:lineRule="auto" w:line="360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לגישתה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/>
          <w:spacing w:val="10"/>
          <w:sz w:val="22"/>
          <w:szCs w:val="28"/>
          <w:rtl w:val="true"/>
        </w:rPr>
        <w:t xml:space="preserve">". </w:t>
      </w:r>
      <w:r>
        <w:rPr>
          <w:rFonts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בתסקירים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/>
          <w:spacing w:val="10"/>
          <w:sz w:val="22"/>
          <w:szCs w:val="28"/>
          <w:rtl w:val="true"/>
        </w:rPr>
        <w:t xml:space="preserve">.  </w:t>
      </w:r>
    </w:p>
    <w:p>
      <w:pPr>
        <w:pStyle w:val="msonormalcxspmiddle"/>
        <w:bidi w:val="1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msonormalcxspmiddle"/>
        <w:bidi w:val="1"/>
        <w:spacing w:lineRule="auto" w:line="360"/>
        <w:ind w:end="0"/>
        <w:jc w:val="both"/>
        <w:rPr>
          <w:sz w:val="28"/>
        </w:rPr>
      </w:pPr>
      <w:r>
        <w:rPr>
          <w:rFonts w:cs="Miriam"/>
          <w:sz w:val="28"/>
          <w:sz w:val="28"/>
          <w:rtl w:val="true"/>
        </w:rPr>
        <w:t>דיון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והכרעה</w:t>
      </w:r>
    </w:p>
    <w:p>
      <w:pPr>
        <w:pStyle w:val="msonormalcxspmiddle"/>
        <w:bidi w:val="1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msonormalcxsplast"/>
        <w:numPr>
          <w:ilvl w:val="0"/>
          <w:numId w:val="4"/>
        </w:numPr>
        <w:bidi w:val="1"/>
        <w:spacing w:lineRule="auto" w:line="360" w:before="100" w:after="100"/>
        <w:ind w:hanging="0" w:start="0"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שעיינו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בהודעת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שמענו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טיעוני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ועיינו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בתסקירי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הגענו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לכלל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מסקנה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דין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הערעורים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להידחות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נביא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נימוקינו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לכך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מיד</w:t>
      </w:r>
      <w:r>
        <w:rPr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Ruller51"/>
        <w:spacing w:lineRule="auto" w:line="360"/>
        <w:ind w:start="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51"/>
        <w:numPr>
          <w:ilvl w:val="0"/>
          <w:numId w:val="4"/>
        </w:numPr>
        <w:spacing w:lineRule="auto" w:line="360"/>
        <w:ind w:hanging="0" w:start="0" w:end="0"/>
        <w:jc w:val="both"/>
        <w:rPr/>
      </w:pPr>
      <w:r>
        <w:rPr>
          <w:sz w:val="28"/>
          <w:sz w:val="28"/>
          <w:rtl w:val="true"/>
        </w:rPr>
        <w:t>הלכה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rFonts w:ascii="Times New Roman" w:hAnsi="Times New Roman" w:cs="Times New Roman"/>
          <w:rtl w:val="true"/>
        </w:rPr>
        <w:t>ענישה הנוהגת והראויה במקרים דומים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או כאשר ישנן נסיבות מיוחדות אחרות המצדיקות זאת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390/17</w:t>
        </w:r>
      </w:hyperlink>
      <w:r>
        <w:rPr>
          <w:rFonts w:cs="Times New Roman" w:ascii="Times New Roman" w:hAnsi="Times New Roman"/>
          <w:rtl w:val="true"/>
        </w:rPr>
        <w:t xml:space="preserve"> ‏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03.07.2017</w:t>
      </w:r>
      <w:r>
        <w:rPr>
          <w:rFonts w:cs="Times New Roman" w:ascii="Times New Roman" w:hAnsi="Times New Roman"/>
          <w:rtl w:val="true"/>
        </w:rPr>
        <w:t xml:space="preserve">); </w:t>
      </w:r>
      <w:hyperlink r:id="rId3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7694/14</w:t>
        </w:r>
      </w:hyperlink>
      <w:r>
        <w:rPr>
          <w:rFonts w:cs="Times New Roman" w:ascii="Times New Roman" w:hAnsi="Times New Roman"/>
          <w:rtl w:val="true"/>
        </w:rPr>
        <w:t xml:space="preserve"> ‏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19.07.2017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msolistparagraph"/>
        <w:spacing w:lineRule="auto" w:line="360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51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rtl w:val="true"/>
        </w:rPr>
        <w:t>בנסיבות העניין לא מצאנו כי העונש שהושת על המערערים סוטה לחומרא באופן המצדיק את התערבותנו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העבירות בהן המערערים הורשעו הן חמורות וטומנות בחובן פוטנציאל סיכון משמעותי לציבור משתמשי הדרך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עבירות אלו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בנסיבות ביצוען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מצדיקות ענישה מוחשית</w:t>
      </w:r>
      <w:r>
        <w:rPr>
          <w:rFonts w:ascii="Arial" w:hAnsi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6396/11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אדקידק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19.02.2012</w:t>
      </w:r>
      <w:r>
        <w:rPr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ascii="Times New Roman" w:hAnsi="Times New Roman" w:cs="Times New Roman"/>
          <w:rtl w:val="true"/>
        </w:rPr>
        <w:t xml:space="preserve"> בדרך נס – מעשיהם של המערערים לא הובילו לתוצאות חמורות יותר מהנזקים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הקשים כשלעצמם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שנגרמו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ascii="Times New Roman" w:hAnsi="Times New Roman" w:cs="Times New Roman"/>
          <w:rtl w:val="true"/>
        </w:rPr>
        <w:t xml:space="preserve"> כתוצאה מהתאונה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Arial" w:hAnsi="Arial" w:cs="Arial"/>
          <w:rtl w:val="true"/>
        </w:rPr>
        <w:t>שבר בקלוויקולה ובסקפולה משמאל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קונטוזיות ריאתיות דו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צדדיות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שברים בחוליות </w:t>
      </w:r>
      <w:r>
        <w:rPr>
          <w:rFonts w:cs="Times New Roman" w:ascii="Times New Roman" w:hAnsi="Times New Roman"/>
        </w:rPr>
        <w:t>L-1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Times New Roman" w:ascii="Times New Roman" w:hAnsi="Times New Roman"/>
        </w:rPr>
        <w:t>L-2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 בסקרום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חתך בקרקפת ושפשופים בכפות הידיים ובברכיים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הבחינו בפגיעה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ascii="Arial" w:hAnsi="Arial" w:cs="Arial"/>
          <w:rtl w:val="true"/>
        </w:rPr>
        <w:t xml:space="preserve"> – נמלטו מהמקום ברכבם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לעמוד על תוצאות התאונה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להגיש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עיסא</w:t>
      </w:r>
      <w:r>
        <w:rPr>
          <w:rFonts w:ascii="Arial" w:hAnsi="Arial" w:cs="Arial"/>
          <w:rtl w:val="true"/>
        </w:rPr>
        <w:t xml:space="preserve"> כל עזרה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בכך לא 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המערערים הורשעו גם בש</w:t>
      </w:r>
      <w:r>
        <w:rPr>
          <w:rFonts w:ascii="Calibri" w:hAnsi="Calibri" w:cs="Calibri"/>
          <w:rtl w:val="true"/>
        </w:rPr>
        <w:t>יבוש מהלכי משפט וקשירת קשר לביצוע 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שהן עבירות חמורות בפני עצמן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ruller5cxspmiddle"/>
        <w:bidi w:val="1"/>
        <w:spacing w:lineRule="auto" w:line="360" w:before="0" w:after="0"/>
        <w:ind w:end="0"/>
        <w:contextualSpacing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ruller5cxsplast"/>
        <w:numPr>
          <w:ilvl w:val="0"/>
          <w:numId w:val="4"/>
        </w:numPr>
        <w:bidi w:val="1"/>
        <w:spacing w:lineRule="auto" w:line="360" w:before="0" w:after="0"/>
        <w:ind w:hanging="0" w:start="0" w:end="0"/>
        <w:contextualSpacing/>
        <w:jc w:val="start"/>
        <w:rPr/>
      </w:pPr>
      <w:r>
        <w:rPr>
          <w:rFonts w:ascii="Arial" w:hAnsi="Arial" w:cs="FrankRuehl"/>
          <w:sz w:val="22"/>
          <w:sz w:val="22"/>
          <w:szCs w:val="28"/>
          <w:rtl w:val="true"/>
        </w:rPr>
        <w:t>גזר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דינו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המפורט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והמנומק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בית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המשפט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המחוזי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הנכבד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הביא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בחשבון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את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מכלול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הנסיבות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לקולא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בעניינם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המערערים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וביניהן</w:t>
      </w:r>
      <w:r>
        <w:rPr>
          <w:rFonts w:cs="FrankRuehl" w:ascii="Arial" w:hAnsi="Arial"/>
          <w:sz w:val="22"/>
          <w:szCs w:val="28"/>
          <w:rtl w:val="true"/>
        </w:rPr>
        <w:t xml:space="preserve">: </w:t>
      </w:r>
      <w:r>
        <w:rPr>
          <w:rFonts w:ascii="Arial" w:hAnsi="Arial" w:cs="FrankRuehl"/>
          <w:sz w:val="22"/>
          <w:sz w:val="22"/>
          <w:szCs w:val="28"/>
          <w:rtl w:val="true"/>
        </w:rPr>
        <w:t>גילם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הצעיר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המערערים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במועד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ביצוע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העבירות</w:t>
      </w:r>
      <w:r>
        <w:rPr>
          <w:rFonts w:cs="FrankRuehl" w:ascii="Arial" w:hAnsi="Arial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z w:val="22"/>
          <w:sz w:val="22"/>
          <w:szCs w:val="28"/>
          <w:rtl w:val="true"/>
        </w:rPr>
        <w:t>הודאת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המערערים</w:t>
      </w:r>
      <w:r>
        <w:rPr>
          <w:rFonts w:cs="FrankRuehl" w:ascii="Arial" w:hAnsi="Arial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z w:val="22"/>
          <w:sz w:val="22"/>
          <w:szCs w:val="28"/>
          <w:rtl w:val="true"/>
        </w:rPr>
        <w:t>העדרו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עבר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פלילי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cs="FrankRuehl" w:ascii="Arial" w:hAnsi="Arial"/>
          <w:sz w:val="22"/>
          <w:szCs w:val="28"/>
          <w:rtl w:val="true"/>
        </w:rPr>
        <w:t>(</w:t>
      </w:r>
      <w:r>
        <w:rPr>
          <w:rFonts w:cs="Miriam"/>
          <w:sz w:val="28"/>
          <w:sz w:val="28"/>
          <w:rtl w:val="true"/>
        </w:rPr>
        <w:t>מוחמד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נעדר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אף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עבר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תעבורתי</w:t>
      </w:r>
      <w:r>
        <w:rPr>
          <w:rFonts w:cs="FrankRuehl" w:ascii="Arial" w:hAnsi="Arial"/>
          <w:sz w:val="22"/>
          <w:szCs w:val="28"/>
          <w:rtl w:val="true"/>
        </w:rPr>
        <w:t xml:space="preserve">), </w:t>
      </w:r>
      <w:r>
        <w:rPr>
          <w:rFonts w:ascii="Arial" w:hAnsi="Arial" w:cs="FrankRuehl"/>
          <w:sz w:val="22"/>
          <w:sz w:val="22"/>
          <w:szCs w:val="28"/>
          <w:rtl w:val="true"/>
        </w:rPr>
        <w:t>תקופת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מעצרם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והיותם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</w:t>
      </w:r>
      <w:r>
        <w:rPr>
          <w:rFonts w:cs="FrankRuehl" w:ascii="Arial" w:hAnsi="Arial"/>
          <w:sz w:val="22"/>
          <w:szCs w:val="28"/>
          <w:rtl w:val="true"/>
        </w:rPr>
        <w:t>"</w:t>
      </w:r>
      <w:r>
        <w:rPr>
          <w:rFonts w:ascii="Arial" w:hAnsi="Arial" w:cs="FrankRuehl"/>
          <w:sz w:val="22"/>
          <w:sz w:val="22"/>
          <w:szCs w:val="28"/>
          <w:rtl w:val="true"/>
        </w:rPr>
        <w:t>מעצר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בית</w:t>
      </w:r>
      <w:r>
        <w:rPr>
          <w:rFonts w:cs="FrankRuehl" w:ascii="Arial" w:hAnsi="Arial"/>
          <w:sz w:val="22"/>
          <w:szCs w:val="28"/>
          <w:rtl w:val="true"/>
        </w:rPr>
        <w:t xml:space="preserve">" </w:t>
      </w:r>
      <w:r>
        <w:rPr>
          <w:rFonts w:ascii="Arial" w:hAnsi="Arial" w:cs="FrankRuehl"/>
          <w:sz w:val="22"/>
          <w:sz w:val="22"/>
          <w:szCs w:val="28"/>
          <w:rtl w:val="true"/>
        </w:rPr>
        <w:t>מלא</w:t>
      </w:r>
      <w:r>
        <w:rPr>
          <w:rFonts w:cs="FrankRuehl" w:ascii="Arial" w:hAnsi="Arial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z w:val="22"/>
          <w:sz w:val="22"/>
          <w:szCs w:val="28"/>
          <w:rtl w:val="true"/>
        </w:rPr>
        <w:t>ואת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נסיבותיהם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האישיות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והמשפחתיות</w:t>
      </w:r>
      <w:r>
        <w:rPr>
          <w:rFonts w:cs="FrankRuehl" w:ascii="Arial" w:hAnsi="Arial"/>
          <w:sz w:val="22"/>
          <w:szCs w:val="28"/>
          <w:rtl w:val="true"/>
        </w:rPr>
        <w:t xml:space="preserve">, </w:t>
      </w:r>
      <w:r>
        <w:rPr>
          <w:rFonts w:ascii="Arial" w:hAnsi="Arial" w:cs="FrankRuehl"/>
          <w:sz w:val="22"/>
          <w:sz w:val="22"/>
          <w:szCs w:val="28"/>
          <w:rtl w:val="true"/>
        </w:rPr>
        <w:t>והאמור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בתסקירי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שירות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המבחן</w:t>
      </w:r>
      <w:r>
        <w:rPr>
          <w:rFonts w:ascii="Arial" w:hAnsi="Arial" w:eastAsia="Arial" w:cs="Arial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z w:val="22"/>
          <w:sz w:val="22"/>
          <w:szCs w:val="28"/>
          <w:rtl w:val="true"/>
        </w:rPr>
        <w:t>בעניינם</w:t>
      </w:r>
      <w:r>
        <w:rPr>
          <w:rFonts w:cs="FrankRuehl" w:ascii="Arial" w:hAnsi="Arial"/>
          <w:sz w:val="22"/>
          <w:szCs w:val="28"/>
          <w:rtl w:val="true"/>
        </w:rPr>
        <w:t>.</w:t>
      </w:r>
      <w:r>
        <w:rPr>
          <w:rFonts w:cs="FrankRuehl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הננו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סבורים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שהושתו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מוקמו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ברף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הנמוך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המתחמים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הינם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מידתיים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ואינם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מצדיקים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נתערב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z w:val="22"/>
          <w:szCs w:val="28"/>
          <w:rtl w:val="true"/>
        </w:rPr>
        <w:t>.</w:t>
      </w:r>
      <w:r>
        <w:rPr>
          <w:rtl w:val="true"/>
        </w:rPr>
        <w:t xml:space="preserve"> 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 </w:t>
      </w:r>
    </w:p>
    <w:p>
      <w:pPr>
        <w:pStyle w:val="msolistparagraph"/>
        <w:spacing w:lineRule="auto" w:line="360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51"/>
        <w:numPr>
          <w:ilvl w:val="0"/>
          <w:numId w:val="4"/>
        </w:numPr>
        <w:overflowPunct w:val="true"/>
        <w:autoSpaceDE w:val="true"/>
        <w:spacing w:lineRule="auto" w:line="360" w:before="0" w:after="0"/>
        <w:ind w:hanging="0" w:start="0" w:end="0"/>
        <w:contextualSpacing/>
        <w:jc w:val="both"/>
        <w:rPr/>
      </w:pP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נדחים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03.12.2017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המגבילים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eastAsia="Arial TUR;Arial" w:cs="Arial TUR;Arial"/>
          <w:rtl w:val="true"/>
        </w:rPr>
        <w:t xml:space="preserve"> </w:t>
      </w:r>
      <w:r>
        <w:rPr/>
        <w:t>25.01.2017</w:t>
      </w:r>
      <w:r>
        <w:rPr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בחשון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25.10.2017</w:t>
      </w:r>
      <w:r>
        <w:rPr>
          <w:rFonts w:cs="Times New Roman" w:ascii="Times New Roman" w:hAnsi="Times New Roman"/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17008040</w:t>
      </w:r>
      <w:r>
        <w:rPr>
          <w:sz w:val="16"/>
          <w:rtl w:val="true"/>
        </w:rPr>
        <w:t>_</w:t>
      </w:r>
      <w:r>
        <w:rPr>
          <w:sz w:val="16"/>
        </w:rPr>
        <w:t>K04.doc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דנ</w:t>
      </w:r>
      <w:r>
        <w:rPr>
          <w:rtl w:val="true"/>
        </w:rPr>
        <w:t>+</w:t>
      </w:r>
      <w:r>
        <w:rPr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ח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מלצר </w:t>
      </w:r>
      <w:r>
        <w:rPr>
          <w:rFonts w:cs="David" w:ascii="David" w:hAnsi="David"/>
          <w:color w:val="000000"/>
          <w:szCs w:val="22"/>
        </w:rPr>
        <w:t>54678313-837/17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אמארה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Style15"/>
    <w:qFormat/>
    <w:pPr>
      <w:keepNext w:val="true"/>
      <w:numPr>
        <w:ilvl w:val="0"/>
        <w:numId w:val="1"/>
      </w:numPr>
      <w:overflowPunct w:val="true"/>
      <w:autoSpaceDE w:val="true"/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Style15"/>
    <w:qFormat/>
    <w:pPr>
      <w:keepNext w:val="true"/>
      <w:numPr>
        <w:ilvl w:val="1"/>
        <w:numId w:val="1"/>
      </w:numPr>
      <w:overflowPunct w:val="true"/>
      <w:autoSpaceDE w:val="true"/>
      <w:spacing w:before="240" w:after="60"/>
      <w:ind w:hanging="0" w:start="0" w:end="0"/>
      <w:jc w:val="start"/>
      <w:outlineLvl w:val="1"/>
    </w:pPr>
    <w:rPr>
      <w:b/>
      <w:bCs/>
      <w:i/>
      <w:iCs/>
      <w:sz w:val="24"/>
    </w:rPr>
  </w:style>
  <w:style w:type="paragraph" w:styleId="Heading3">
    <w:name w:val="heading 3"/>
    <w:basedOn w:val="Normal"/>
    <w:next w:val="Style15"/>
    <w:qFormat/>
    <w:pPr>
      <w:keepNext w:val="true"/>
      <w:numPr>
        <w:ilvl w:val="2"/>
        <w:numId w:val="1"/>
      </w:numPr>
      <w:overflowPunct w:val="true"/>
      <w:autoSpaceDE w:val="true"/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3z0">
    <w:name w:val="WW8Num3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1">
    <w:name w:val="כותרת 1 תו"/>
    <w:qFormat/>
    <w:rPr>
      <w:rFonts w:ascii="Arial" w:hAnsi="Arial" w:cs="David"/>
      <w:b/>
      <w:bCs/>
      <w:kern w:val="2"/>
      <w:sz w:val="32"/>
      <w:szCs w:val="32"/>
    </w:rPr>
  </w:style>
  <w:style w:type="character" w:styleId="2">
    <w:name w:val="כותרת 2 תו"/>
    <w:qFormat/>
    <w:rPr>
      <w:rFonts w:ascii="David" w:hAnsi="David" w:cs="David"/>
      <w:b/>
      <w:bCs/>
      <w:i/>
      <w:iCs/>
      <w:sz w:val="24"/>
      <w:szCs w:val="24"/>
    </w:rPr>
  </w:style>
  <w:style w:type="character" w:styleId="3">
    <w:name w:val="כותרת 3 תו"/>
    <w:qFormat/>
    <w:rPr>
      <w:rFonts w:ascii="David" w:hAnsi="David" w:cs="David"/>
      <w:b/>
      <w:bCs/>
      <w:sz w:val="26"/>
      <w:szCs w:val="26"/>
    </w:rPr>
  </w:style>
  <w:style w:type="character" w:styleId="Style11">
    <w:name w:val="טקסט הערה תו"/>
    <w:basedOn w:val="DefaultParagraphFont"/>
    <w:qFormat/>
    <w:rPr/>
  </w:style>
  <w:style w:type="character" w:styleId="Style12">
    <w:name w:val="כותרת עליונה תו"/>
    <w:qFormat/>
    <w:rPr>
      <w:rFonts w:cs="David"/>
      <w:szCs w:val="24"/>
    </w:rPr>
  </w:style>
  <w:style w:type="character" w:styleId="Style13">
    <w:name w:val="כותרת תחתונה תו"/>
    <w:qFormat/>
    <w:rPr>
      <w:rFonts w:cs="David"/>
      <w:szCs w:val="24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CommentReference">
    <w:name w:val="Comment Reference"/>
    <w:qFormat/>
    <w:rPr>
      <w:rFonts w:ascii="Times New Roman" w:hAnsi="Times New Roman" w:cs="Times New Roman"/>
      <w:sz w:val="16"/>
      <w:szCs w:val="16"/>
    </w:rPr>
  </w:style>
  <w:style w:type="character" w:styleId="LineNumber">
    <w:name w:val="line number"/>
    <w:rPr>
      <w:rFonts w:ascii="Arial" w:hAnsi="Arial" w:cs="Arial"/>
      <w:sz w:val="20"/>
      <w:szCs w:val="2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רגיל"/>
    <w:basedOn w:val="Normal"/>
    <w:qFormat/>
    <w:pPr/>
    <w:rPr/>
  </w:style>
  <w:style w:type="paragraph" w:styleId="CommentText">
    <w:name w:val="Comment Text"/>
    <w:basedOn w:val="Normal"/>
    <w:qFormat/>
    <w:pPr>
      <w:overflowPunct w:val="true"/>
      <w:autoSpaceDE w:val="true"/>
      <w:ind w:hanging="0" w:start="0" w:end="0"/>
      <w:jc w:val="start"/>
    </w:pPr>
    <w:rPr>
      <w:rFonts w:cs="Times New Roman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overflowPunct w:val="true"/>
      <w:autoSpaceDE w:val="true"/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>
      <w:rFonts w:cs="Times New Roman"/>
      <w:szCs w:val="20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1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ruller311">
    <w:name w:val="ruller 31"/>
    <w:basedOn w:val="Casenameintextbody"/>
    <w:qFormat/>
    <w:pPr>
      <w:ind w:hanging="0" w:start="0" w:end="0"/>
      <w:jc w:val="start"/>
    </w:pPr>
    <w:rPr>
      <w:rFonts w:cs="David"/>
      <w:b w:val="false"/>
      <w:bCs w:val="false"/>
      <w:sz w:val="22"/>
      <w:u w:val="none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overflowPunct w:val="true"/>
      <w:autoSpaceDE w:val="true"/>
      <w:spacing w:lineRule="auto" w:line="240"/>
      <w:ind w:hanging="0" w:start="0" w:end="0"/>
      <w:jc w:val="both"/>
    </w:pPr>
    <w:rPr>
      <w:rFonts w:ascii="Garamond" w:hAnsi="Garamond" w:cs="David"/>
      <w:spacing w:val="0"/>
      <w:sz w:val="24"/>
      <w:szCs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overflowPunct w:val="true"/>
      <w:autoSpaceDE w:val="true"/>
      <w:spacing w:lineRule="auto" w:line="240"/>
      <w:ind w:hanging="0" w:start="0" w:end="0"/>
      <w:jc w:val="both"/>
    </w:pPr>
    <w:rPr>
      <w:rFonts w:cs="David"/>
      <w:spacing w:val="0"/>
      <w:szCs w:val="24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Arial" w:hAnsi="Arial" w:cs="Arial"/>
      <w:sz w:val="24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Arial" w:hAnsi="Arial" w:cs="Arial"/>
      <w:b/>
      <w:bCs/>
      <w:sz w:val="24"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b/>
      <w:bCs/>
      <w:sz w:val="26"/>
      <w:szCs w:val="26"/>
    </w:rPr>
  </w:style>
  <w:style w:type="paragraph" w:styleId="12">
    <w:name w:val="רגיל + ‏12 נק'"/>
    <w:basedOn w:val="Normal"/>
    <w:qFormat/>
    <w:pPr>
      <w:overflowPunct w:val="true"/>
      <w:autoSpaceDE w:val="true"/>
      <w:ind w:hanging="0" w:start="0" w:end="0"/>
      <w:jc w:val="start"/>
    </w:pPr>
    <w:rPr>
      <w:b/>
      <w:bCs/>
      <w:sz w:val="24"/>
      <w:u w:val="single"/>
    </w:rPr>
  </w:style>
  <w:style w:type="paragraph" w:styleId="11">
    <w:name w:val="כותרת 1"/>
    <w:basedOn w:val="Normal"/>
    <w:qFormat/>
    <w:pPr/>
    <w:rPr/>
  </w:style>
  <w:style w:type="paragraph" w:styleId="22">
    <w:name w:val="כותרת 2"/>
    <w:basedOn w:val="Normal"/>
    <w:qFormat/>
    <w:pPr/>
    <w:rPr/>
  </w:style>
  <w:style w:type="paragraph" w:styleId="31">
    <w:name w:val="כותרת 3"/>
    <w:basedOn w:val="Normal"/>
    <w:qFormat/>
    <w:pPr/>
    <w:rPr/>
  </w:style>
  <w:style w:type="paragraph" w:styleId="Style16">
    <w:name w:val="כותרת תחתונה"/>
    <w:basedOn w:val="Normal"/>
    <w:qFormat/>
    <w:pPr/>
    <w:rPr/>
  </w:style>
  <w:style w:type="paragraph" w:styleId="Style17">
    <w:name w:val="כותרת עליונה"/>
    <w:basedOn w:val="Normal"/>
    <w:qFormat/>
    <w:pPr/>
    <w:rPr/>
  </w:style>
  <w:style w:type="paragraph" w:styleId="Style18">
    <w:name w:val="טקסט הערה"/>
    <w:basedOn w:val="Normal"/>
    <w:qFormat/>
    <w:pPr/>
    <w:rPr/>
  </w:style>
  <w:style w:type="paragraph" w:styleId="Style19">
    <w:name w:val="טקסט בלונים"/>
    <w:basedOn w:val="Normal"/>
    <w:qFormat/>
    <w:pPr/>
    <w:rPr/>
  </w:style>
  <w:style w:type="paragraph" w:styleId="msonormalcxspmiddle">
    <w:name w:val="msonormalcxspmiddle"/>
    <w:basedOn w:val="Normal"/>
    <w:qFormat/>
    <w:pPr>
      <w:overflowPunct w:val="true"/>
      <w:autoSpaceDE w:val="true"/>
      <w:bidi w:val="0"/>
      <w:spacing w:before="100" w:after="100"/>
      <w:jc w:val="start"/>
    </w:pPr>
    <w:rPr>
      <w:rFonts w:cs="Times New Roman"/>
      <w:sz w:val="24"/>
    </w:rPr>
  </w:style>
  <w:style w:type="paragraph" w:styleId="msonormalcxsplast">
    <w:name w:val="msonormalcxsplast"/>
    <w:basedOn w:val="Normal"/>
    <w:qFormat/>
    <w:pPr>
      <w:overflowPunct w:val="true"/>
      <w:autoSpaceDE w:val="true"/>
      <w:bidi w:val="0"/>
      <w:spacing w:before="100" w:after="100"/>
      <w:jc w:val="start"/>
    </w:pPr>
    <w:rPr>
      <w:rFonts w:cs="Times New Roman"/>
      <w:sz w:val="24"/>
    </w:rPr>
  </w:style>
  <w:style w:type="paragraph" w:styleId="ruller5cxspmiddle">
    <w:name w:val="ruller5cxspmiddle"/>
    <w:basedOn w:val="Normal"/>
    <w:qFormat/>
    <w:pPr>
      <w:overflowPunct w:val="true"/>
      <w:autoSpaceDE w:val="true"/>
      <w:bidi w:val="0"/>
      <w:spacing w:before="100" w:after="100"/>
      <w:jc w:val="start"/>
    </w:pPr>
    <w:rPr>
      <w:rFonts w:cs="Times New Roman"/>
      <w:sz w:val="24"/>
    </w:rPr>
  </w:style>
  <w:style w:type="paragraph" w:styleId="ruller5cxsplast">
    <w:name w:val="ruller5cxsplast"/>
    <w:basedOn w:val="Normal"/>
    <w:qFormat/>
    <w:pPr>
      <w:overflowPunct w:val="true"/>
      <w:autoSpaceDE w:val="true"/>
      <w:bidi w:val="0"/>
      <w:spacing w:before="100" w:after="100"/>
      <w:jc w:val="start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26427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2" TargetMode="External"/><Relationship Id="rId5" Type="http://schemas.openxmlformats.org/officeDocument/2006/relationships/hyperlink" Target="http://www.nevo.co.il/law/5227/10.a" TargetMode="External"/><Relationship Id="rId6" Type="http://schemas.openxmlformats.org/officeDocument/2006/relationships/hyperlink" Target="http://www.nevo.co.il/law/5227/10.b" TargetMode="External"/><Relationship Id="rId7" Type="http://schemas.openxmlformats.org/officeDocument/2006/relationships/hyperlink" Target="http://www.nevo.co.il/law/5227/36b.c" TargetMode="External"/><Relationship Id="rId8" Type="http://schemas.openxmlformats.org/officeDocument/2006/relationships/hyperlink" Target="http://www.nevo.co.il/law/5227/38.3" TargetMode="External"/><Relationship Id="rId9" Type="http://schemas.openxmlformats.org/officeDocument/2006/relationships/hyperlink" Target="http://www.nevo.co.il/law/5227/40" TargetMode="External"/><Relationship Id="rId10" Type="http://schemas.openxmlformats.org/officeDocument/2006/relationships/hyperlink" Target="http://www.nevo.co.il/law/5227/64a.c" TargetMode="External"/><Relationship Id="rId11" Type="http://schemas.openxmlformats.org/officeDocument/2006/relationships/hyperlink" Target="http://www.nevo.co.il/law/5227/64a1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.b" TargetMode="External"/><Relationship Id="rId14" Type="http://schemas.openxmlformats.org/officeDocument/2006/relationships/hyperlink" Target="http://www.nevo.co.il/law/74274" TargetMode="External"/><Relationship Id="rId15" Type="http://schemas.openxmlformats.org/officeDocument/2006/relationships/hyperlink" Target="http://www.nevo.co.il/law/74274/2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case/13026427" TargetMode="External"/><Relationship Id="rId20" Type="http://schemas.openxmlformats.org/officeDocument/2006/relationships/hyperlink" Target="http://www.nevo.co.il/law/5227/64a1" TargetMode="External"/><Relationship Id="rId21" Type="http://schemas.openxmlformats.org/officeDocument/2006/relationships/hyperlink" Target="http://www.nevo.co.il/law/5227/40" TargetMode="External"/><Relationship Id="rId22" Type="http://schemas.openxmlformats.org/officeDocument/2006/relationships/hyperlink" Target="http://www.nevo.co.il/law/5227/64a.c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2" TargetMode="External"/><Relationship Id="rId25" Type="http://schemas.openxmlformats.org/officeDocument/2006/relationships/hyperlink" Target="http://www.nevo.co.il/law/74501/2.a.b" TargetMode="External"/><Relationship Id="rId26" Type="http://schemas.openxmlformats.org/officeDocument/2006/relationships/hyperlink" Target="http://www.nevo.co.il/law/74501" TargetMode="External"/><Relationship Id="rId27" Type="http://schemas.openxmlformats.org/officeDocument/2006/relationships/hyperlink" Target="http://www.nevo.co.il/law/5227/10.a" TargetMode="External"/><Relationship Id="rId28" Type="http://schemas.openxmlformats.org/officeDocument/2006/relationships/hyperlink" Target="http://www.nevo.co.il/law/74274/21" TargetMode="External"/><Relationship Id="rId29" Type="http://schemas.openxmlformats.org/officeDocument/2006/relationships/hyperlink" Target="http://www.nevo.co.il/law/74274" TargetMode="External"/><Relationship Id="rId30" Type="http://schemas.openxmlformats.org/officeDocument/2006/relationships/hyperlink" Target="http://www.nevo.co.il/law/5227/38.3" TargetMode="External"/><Relationship Id="rId31" Type="http://schemas.openxmlformats.org/officeDocument/2006/relationships/hyperlink" Target="http://www.nevo.co.il/law/5227/10.b" TargetMode="External"/><Relationship Id="rId32" Type="http://schemas.openxmlformats.org/officeDocument/2006/relationships/hyperlink" Target="http://www.nevo.co.il/law/5227/36b.c" TargetMode="External"/><Relationship Id="rId33" Type="http://schemas.openxmlformats.org/officeDocument/2006/relationships/hyperlink" Target="http://www.nevo.co.il/law/70301/2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99.a.1" TargetMode="External"/><Relationship Id="rId36" Type="http://schemas.openxmlformats.org/officeDocument/2006/relationships/hyperlink" Target="http://www.nevo.co.il/case/22137915" TargetMode="External"/><Relationship Id="rId37" Type="http://schemas.openxmlformats.org/officeDocument/2006/relationships/hyperlink" Target="http://www.nevo.co.il/case/20443035" TargetMode="External"/><Relationship Id="rId38" Type="http://schemas.openxmlformats.org/officeDocument/2006/relationships/hyperlink" Target="http://www.nevo.co.il/case/5594469" TargetMode="External"/><Relationship Id="rId39" Type="http://schemas.openxmlformats.org/officeDocument/2006/relationships/hyperlink" Target="http://www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17008040.K04.doc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2017-10-29T12:34:00Z</dcterms:created>
  <dc:creator> </dc:creator>
  <dc:description/>
  <cp:keywords/>
  <dc:language>en-IL</dc:language>
  <cp:lastModifiedBy>orly</cp:lastModifiedBy>
  <cp:lastPrinted>2017-10-23T17:49:00Z</cp:lastPrinted>
  <dcterms:modified xsi:type="dcterms:W3CDTF">2017-10-29T12:34:00Z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אמארה;מועתז אמארה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13026427:2;22137915;20443035;5594469</vt:lpwstr>
  </property>
  <property fmtid="{D5CDD505-2E9C-101B-9397-08002B2CF9AE}" pid="9" name="CITY">
    <vt:lpwstr/>
  </property>
  <property fmtid="{D5CDD505-2E9C-101B-9397-08002B2CF9AE}" pid="10" name="DATE">
    <vt:lpwstr>20171025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מלצר;י' דנציגר;נ' סולברג</vt:lpwstr>
  </property>
  <property fmtid="{D5CDD505-2E9C-101B-9397-08002B2CF9AE}" pid="14" name="LAWLISTTMP1">
    <vt:lpwstr>5227/64a1;040;064a.c;002;010.a;038.3;010.b;036b.c</vt:lpwstr>
  </property>
  <property fmtid="{D5CDD505-2E9C-101B-9397-08002B2CF9AE}" pid="15" name="LAWLISTTMP2">
    <vt:lpwstr>74501/002.a.b</vt:lpwstr>
  </property>
  <property fmtid="{D5CDD505-2E9C-101B-9397-08002B2CF9AE}" pid="16" name="LAWLISTTMP3">
    <vt:lpwstr>74274/021</vt:lpwstr>
  </property>
  <property fmtid="{D5CDD505-2E9C-101B-9397-08002B2CF9AE}" pid="17" name="LAWLISTTMP4">
    <vt:lpwstr>70301/244;499.a.1</vt:lpwstr>
  </property>
  <property fmtid="{D5CDD505-2E9C-101B-9397-08002B2CF9AE}" pid="18" name="LAWYER">
    <vt:lpwstr>מירי קולומבוס;עבד אלמג'יד פאהום;עלאא עתאמנה;אורנית עמיר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בתי-משפט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18;77;77;14</vt:lpwstr>
  </property>
  <property fmtid="{D5CDD505-2E9C-101B-9397-08002B2CF9AE}" pid="40" name="NOSE21">
    <vt:lpwstr>עונש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ערעור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498;1446;1446;333</vt:lpwstr>
  </property>
  <property fmtid="{D5CDD505-2E9C-101B-9397-08002B2CF9AE}" pid="51" name="NOSE31">
    <vt:lpwstr>ערעור</vt:lpwstr>
  </property>
  <property fmtid="{D5CDD505-2E9C-101B-9397-08002B2CF9AE}" pid="52" name="NOSE310">
    <vt:lpwstr/>
  </property>
  <property fmtid="{D5CDD505-2E9C-101B-9397-08002B2CF9AE}" pid="53" name="NOSE32">
    <vt:lpwstr>התערבות ערכאת הערעור</vt:lpwstr>
  </property>
  <property fmtid="{D5CDD505-2E9C-101B-9397-08002B2CF9AE}" pid="54" name="NOSE33">
    <vt:lpwstr>מדיניות ענישה: שיקולים</vt:lpwstr>
  </property>
  <property fmtid="{D5CDD505-2E9C-101B-9397-08002B2CF9AE}" pid="55" name="NOSE34">
    <vt:lpwstr>התערבות במידת העונש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3814;8978;8994;2708</vt:lpwstr>
  </property>
  <property fmtid="{D5CDD505-2E9C-101B-9397-08002B2CF9AE}" pid="62" name="PADIDATE">
    <vt:lpwstr>20171029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837;804</vt:lpwstr>
  </property>
  <property fmtid="{D5CDD505-2E9C-101B-9397-08002B2CF9AE}" pid="68" name="PROCYEAR">
    <vt:lpwstr>17;17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410120171025</vt:lpwstr>
  </property>
  <property fmtid="{D5CDD505-2E9C-101B-9397-08002B2CF9AE}" pid="72" name="TYPE_N_DATE">
    <vt:lpwstr>41020171025</vt:lpwstr>
  </property>
  <property fmtid="{D5CDD505-2E9C-101B-9397-08002B2CF9AE}" pid="73" name="VOLUME">
    <vt:lpwstr/>
  </property>
  <property fmtid="{D5CDD505-2E9C-101B-9397-08002B2CF9AE}" pid="74" name="WORDNUMPAGES">
    <vt:lpwstr>7</vt:lpwstr>
  </property>
</Properties>
</file>