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8120/19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26.6.2019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7139-01-15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יורם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רבקה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421"/>
        <w:gridCol w:w="71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29.9.2021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7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1"/>
        <w:gridCol w:w="5150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וייסבוך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גבריאלה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גרפינקל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דקלה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טוטיאן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דודהּ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lang w:eastAsia="he-IL"/>
        </w:rPr>
      </w:pP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מפי השופט קרא ובהסכמת השופטים ברון ואלרון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מתקיימים חריגים המצדיקים התערבות ערכאת הערעור בממצאי עובדה וקביעות מהימנות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המבוססים בעיקרם על התרשמותו הבלתי אמצעית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מהעדויות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הנדבך המרכזי להרשעת המערער הוא עדות המתלוננת שנמצאה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עקבית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אותנטית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כנה ובלתי מוגזמת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עדות המערער אינה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הצביע על כל טעם המצדיק התערבות בקביעות אלו וגם לו עדות המתלוננת הייתה עדות יחידה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היה לבסס את הרשעת המערער על פיה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בכפוף לחובת ההנמקה שבסעיף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 לפקודת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חובת ההנמקה מתמלאת עם מתן אמון מלא בגרסת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נתן אמון בעדות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בחן את מכלול הקשיים שהעלה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התייחס לטענותיו לגבי סתירות מסוימות בגרסת המתלוננת ובדין מצא כי הן אינן מהותיות ואין בהן כדי לכרסם במהימנות 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בחן בקפדנות את עדות המתלוננת ואיתר בה גרעין מבוסס של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ש קמא ציין כי מטבע הדברים עשויים להתעורר סתירות בגרסה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שמקורם בגילה הצעיר של המתלוננת ובחלוף הזמן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ובנוסף יש את המורכבות הקשורה בעבירות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קשיים אלה לא כרסמו במהימנותה של המתלוננת ויש לקבל את גרסתה לגבי פגיעת המערער בה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אף אין להתערב בקביעות בימ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ש קמא המבוססות על התרשמותו הישירה מהמתלוננת בהתייחס לסימני האמת העולים מעדותה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המתלוננת תיארה תיאור אותנטי ומוחשי את האירועים ואת תחושותיה בעת הפגיעות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כמו כן בדין דחה בימ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 xml:space="preserve">ש קמא את טענת ההגנה כי המתלוננת 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העלילה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על המערער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לצורך קבלת טענה מסוג עלילת שווא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 xml:space="preserve">עליה 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להיות ממשית לעמוד במבחן ההיגיון והשכל הישר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  <w:lang w:eastAsia="he-IL"/>
        </w:rPr>
        <w:t>הנסיבות לא מעלות היתכנות כי מדובר בעלילה או כי יש למתלוננת מניע כלשהו להעליל על המערער</w:t>
      </w: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הנמקות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לדחיית טענת העלילה מעוגנות בראיות בלוחות הזמנים באשר לאופן התפתחות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בשכל הישר ובהיעדר הגיון בהעלאת טענת עלילה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 המערער ביחס להתנהגות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המצופה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מנפגע עבירות מין נדחו תוך עמידה על כך שהפסיקה הכירה בכך שהתנהגות נפגעי עבירות מין אינה נמדדת באמות מידה רציונליות למתבונן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מן החוץ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כבישת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העדות אינה פוגמת במהימנות 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לא הבינה כשהייתה ילדה כי נעשו בה מעשים אסורים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ובהמשך היא ביקשה להימנע מחשיפת הפגיעות המיניות במשפחתה וניסתה להמשיך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כרגיל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והוריה אכן העידו שהבינו רק בדיעבד כי היא נפגעה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הם לא ידעו להסביר את התנהגותה ומצבה הנפשי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זמן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כשהמתלוננת הבינה שהיא זקוקה לטיפול היא לא ביקשה לחשוף את הפגיעות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שלעדות המתלוננת לא נדרש סיוע או חיזוק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בחן את הגיונה הפנימי ומצא ראיות המחזקות את עדותה ולא נמצאה כל עילה להתערבות בממצאים שנקבעו ביחס אליהן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ממצאי העובדה והמהימנות שנקבעו מבססים היטב את המסקנה המרשיעה ואין עילה להתערב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26.6.2019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lang w:eastAsia="he-IL"/>
        </w:rPr>
        <w:t>31.10.2019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בירושלים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והשופטים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פרידמן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פלדמן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7139-01-15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וחיוב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בתשלום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rFonts w:ascii="Calibri" w:hAnsi="Calibri" w:cs="Calibri"/>
        </w:rPr>
      </w:pPr>
      <w:r>
        <w:rPr>
          <w:rtl w:val="true"/>
          <w:lang w:eastAsia="he-IL"/>
        </w:rPr>
        <w:t xml:space="preserve">נגד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דודה של המתלוננת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אחיה של אם המתלוננת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 xml:space="preserve">ילידת </w:t>
      </w:r>
      <w:r>
        <w:rPr>
          <w:lang w:eastAsia="he-IL"/>
        </w:rPr>
        <w:t>1991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</w:t>
      </w:r>
      <w:r>
        <w:rPr>
          <w:rtl w:val="true"/>
          <w:lang w:eastAsia="he-IL"/>
        </w:rPr>
        <w:t xml:space="preserve"> בשנת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כתב אישום </w:t>
      </w:r>
      <w:r>
        <w:rPr>
          <w:rtl w:val="true"/>
          <w:lang w:eastAsia="he-IL"/>
        </w:rPr>
        <w:t>שייחס</w:t>
      </w:r>
      <w:r>
        <w:rPr>
          <w:rtl w:val="true"/>
          <w:lang w:eastAsia="he-IL"/>
        </w:rPr>
        <w:t xml:space="preserve"> לו </w:t>
      </w:r>
      <w:r>
        <w:rPr>
          <w:rtl w:val="true"/>
          <w:lang w:eastAsia="he-IL"/>
        </w:rPr>
        <w:t xml:space="preserve">ביצוע עבירות מין רבות במתלוננת שכללו מעשים של </w:t>
      </w:r>
      <w:r>
        <w:rPr>
          <w:rtl w:val="true"/>
          <w:lang w:eastAsia="he-IL"/>
        </w:rPr>
        <w:t>החדרת איבר מינו לפיה של המתלוננת</w:t>
      </w:r>
      <w:r>
        <w:rPr>
          <w:rtl w:val="true"/>
          <w:lang w:eastAsia="he-IL"/>
        </w:rPr>
        <w:t xml:space="preserve"> בהזדמנויות רבות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החדרת אצבעותיו של המערער לאיבר מינה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דרישות מהמתלוננת ש</w:t>
      </w:r>
      <w:r>
        <w:rPr>
          <w:rtl w:val="true"/>
          <w:lang w:eastAsia="he-IL"/>
        </w:rPr>
        <w:t>תשפשף את איבר מינו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נגיעות באיבריה המוצנעים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ועבירת </w:t>
      </w:r>
      <w:r>
        <w:rPr>
          <w:rtl w:val="true"/>
          <w:lang w:eastAsia="he-IL"/>
        </w:rPr>
        <w:t xml:space="preserve">אינוס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 עת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החדיר את איבר מינו לאיבר מינה של המתלוננת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בגין האמור יוחסו למערער עבירות רבות של מעשי סדום במשפחה </w:t>
      </w:r>
      <w:r>
        <w:rPr>
          <w:rtl w:val="true"/>
          <w:lang w:eastAsia="he-IL"/>
        </w:rPr>
        <w:t xml:space="preserve">לפי </w:t>
      </w:r>
      <w:hyperlink r:id="rId10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351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עבירה אחת של אינוס במשפחה </w:t>
      </w:r>
      <w:r>
        <w:rPr>
          <w:rtl w:val="true"/>
          <w:lang w:eastAsia="he-IL"/>
        </w:rPr>
        <w:t xml:space="preserve">לפי </w:t>
      </w:r>
      <w:hyperlink r:id="rId12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351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ועבירות רבות של מעשים מגונים במשפחה </w:t>
      </w:r>
      <w:r>
        <w:rPr>
          <w:rtl w:val="true"/>
          <w:lang w:eastAsia="he-IL"/>
        </w:rPr>
        <w:t xml:space="preserve">לפי </w:t>
      </w:r>
      <w:hyperlink r:id="rId13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351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ג</w:t>
        </w:r>
        <w:r>
          <w:rPr>
            <w:rStyle w:val="Hyperlink"/>
            <w:rtl w:val="true"/>
            <w:lang w:eastAsia="he-IL"/>
          </w:rPr>
          <w:t>)(</w:t>
        </w:r>
        <w:r>
          <w:rPr>
            <w:rStyle w:val="Hyperlink"/>
            <w:lang w:eastAsia="he-IL"/>
          </w:rPr>
          <w:t>1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 העונשין</w:t>
      </w:r>
      <w:r>
        <w:rPr>
          <w:rtl w:val="true"/>
          <w:lang w:eastAsia="he-IL"/>
        </w:rPr>
        <w:t>.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cs="FrankRuehl" w:ascii="Century" w:hAnsi="Century"/>
          <w:spacing w:val="10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  <w:lang w:eastAsia="he-IL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  <w:lang w:eastAsia="he-IL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  <w:t>בכתב האישום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נטען כי במהלך תקופה </w:t>
      </w:r>
      <w:r>
        <w:rPr>
          <w:rtl w:val="true"/>
          <w:lang w:eastAsia="he-IL"/>
        </w:rPr>
        <w:t>שהחלה ב</w:t>
      </w:r>
      <w:r>
        <w:rPr>
          <w:rtl w:val="true"/>
          <w:lang w:eastAsia="he-IL"/>
        </w:rPr>
        <w:t xml:space="preserve">שנת </w:t>
      </w:r>
      <w:r>
        <w:rPr>
          <w:lang w:eastAsia="he-IL"/>
        </w:rPr>
        <w:t>1997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 בסמוך לכך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ועד שנת </w:t>
      </w:r>
      <w:r>
        <w:rPr>
          <w:lang w:eastAsia="he-IL"/>
        </w:rPr>
        <w:t>2005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לערך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התקופה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 xml:space="preserve">עת הייתה המתלוננת כבת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 ועד לגיל </w:t>
      </w:r>
      <w:r>
        <w:rPr>
          <w:lang w:eastAsia="he-IL"/>
        </w:rPr>
        <w:t>13.5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ביצע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 במתלוננת עבירות מין בבית </w:t>
      </w:r>
      <w:r>
        <w:rPr>
          <w:rtl w:val="true"/>
          <w:lang w:eastAsia="he-IL"/>
        </w:rPr>
        <w:t>של סבא וסבתא של המתלוננת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הבית</w:t>
      </w:r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 התגורר המערער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במהלך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תקופה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לאחר שסיים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 לבצע את עבירות המין במתלוננת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היה מבקש </w:t>
      </w:r>
      <w:r>
        <w:rPr>
          <w:rtl w:val="true"/>
          <w:lang w:eastAsia="he-IL"/>
        </w:rPr>
        <w:t xml:space="preserve">ממנה שלא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ספר דבר לאיש</w:t>
      </w:r>
      <w:r>
        <w:rPr>
          <w:rtl w:val="true"/>
          <w:lang w:eastAsia="he-IL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end="0"/>
        <w:contextualSpacing/>
        <w:jc w:val="both"/>
        <w:textAlignment w:val="auto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cs="FrankRuehl" w:ascii="Century" w:hAnsi="Century"/>
          <w:spacing w:val="10"/>
          <w:szCs w:val="28"/>
          <w:rtl w:val="true"/>
          <w:lang w:eastAsia="he-IL"/>
        </w:rPr>
      </w:r>
    </w:p>
    <w:p>
      <w:pPr>
        <w:pStyle w:val="Normal"/>
        <w:overflowPunct w:val="true"/>
        <w:autoSpaceDE w:val="true"/>
        <w:spacing w:lineRule="auto" w:line="360" w:before="0" w:after="0"/>
        <w:ind w:firstLine="778" w:start="-58" w:end="0"/>
        <w:contextualSpacing/>
        <w:jc w:val="both"/>
        <w:textAlignment w:val="auto"/>
        <w:rPr/>
      </w:pPr>
      <w:r>
        <w:rPr>
          <w:rFonts w:ascii="Century" w:hAnsi="Century" w:cs="FrankRuehl"/>
          <w:spacing w:val="10"/>
          <w:szCs w:val="28"/>
          <w:rtl w:val="true"/>
          <w:lang w:eastAsia="he-IL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התקופה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שיחק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דודיה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במשחק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"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רופא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וחולה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חש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כאבים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שתלטף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(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להלן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</w:t>
      </w:r>
      <w:r>
        <w:rPr>
          <w:rFonts w:cs="Miriam" w:ascii="Century" w:hAnsi="Century"/>
          <w:b/>
          <w:sz w:val="22"/>
          <w:rtl w:val="true"/>
          <w:lang w:eastAsia="he-IL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רופא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וחולה</w:t>
      </w:r>
      <w:r>
        <w:rPr>
          <w:rFonts w:cs="Miriam" w:ascii="Century" w:hAnsi="Century"/>
          <w:b/>
          <w:sz w:val="22"/>
          <w:rtl w:val="true"/>
          <w:lang w:eastAsia="he-IL"/>
        </w:rPr>
        <w:t>"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)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.</w:t>
      </w:r>
    </w:p>
    <w:p>
      <w:pPr>
        <w:pStyle w:val="Normal"/>
        <w:overflowPunct w:val="true"/>
        <w:autoSpaceDE w:val="true"/>
        <w:spacing w:lineRule="auto" w:line="360" w:before="0" w:after="0"/>
        <w:ind w:start="-58" w:end="0"/>
        <w:contextualSpacing/>
        <w:jc w:val="both"/>
        <w:textAlignment w:val="auto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cs="FrankRuehl" w:ascii="Century" w:hAnsi="Century"/>
          <w:spacing w:val="10"/>
          <w:szCs w:val="28"/>
          <w:rtl w:val="true"/>
          <w:lang w:eastAsia="he-IL"/>
        </w:rPr>
      </w:r>
    </w:p>
    <w:p>
      <w:pPr>
        <w:pStyle w:val="Normal"/>
        <w:overflowPunct w:val="true"/>
        <w:autoSpaceDE w:val="true"/>
        <w:spacing w:lineRule="auto" w:line="360" w:before="0" w:after="0"/>
        <w:ind w:firstLine="778" w:start="-58" w:end="0"/>
        <w:contextualSpacing/>
        <w:jc w:val="both"/>
        <w:textAlignment w:val="auto"/>
        <w:rPr/>
      </w:pPr>
      <w:r>
        <w:rPr>
          <w:rFonts w:ascii="Century" w:hAnsi="Century" w:cs="FrankRuehl"/>
          <w:spacing w:val="10"/>
          <w:szCs w:val="28"/>
          <w:rtl w:val="true"/>
          <w:lang w:eastAsia="he-IL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הסלים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תכיפות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במתלוננת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בחזה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פעמים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לגעת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כדבריו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.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מהמתלוננת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הפעמים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לשפשף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חזק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התקופה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במועדים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רבים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דרש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ולמצוץ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אותו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התנגדה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וחרף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הגועל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שאחז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כדבריו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start="-58" w:end="0"/>
        <w:contextualSpacing/>
        <w:jc w:val="both"/>
        <w:textAlignment w:val="auto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cs="FrankRuehl" w:ascii="Century" w:hAnsi="Century"/>
          <w:spacing w:val="10"/>
          <w:szCs w:val="28"/>
          <w:rtl w:val="true"/>
          <w:lang w:eastAsia="he-IL"/>
        </w:rPr>
      </w:r>
    </w:p>
    <w:p>
      <w:pPr>
        <w:pStyle w:val="Normal"/>
        <w:overflowPunct w:val="true"/>
        <w:autoSpaceDE w:val="true"/>
        <w:spacing w:lineRule="auto" w:line="360" w:before="0" w:after="0"/>
        <w:ind w:firstLine="778" w:start="-58" w:end="0"/>
        <w:contextualSpacing/>
        <w:jc w:val="both"/>
        <w:textAlignment w:val="auto"/>
        <w:rPr/>
      </w:pPr>
      <w:r>
        <w:rPr>
          <w:rFonts w:ascii="Century" w:hAnsi="Century" w:cs="FrankRuehl"/>
          <w:spacing w:val="10"/>
          <w:szCs w:val="28"/>
          <w:rtl w:val="true"/>
          <w:lang w:eastAsia="he-IL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מאוחר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יותר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,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נותרה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הבוקר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למיטתו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שתיגע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וניסה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שהדבר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אפשרי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אפשרי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וניסה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בכוח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המיוחס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האישום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מינה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מכאיב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,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חדל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(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להלן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שיבואר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בהמשך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cs="Miriam" w:ascii="Century" w:hAnsi="Century"/>
          <w:b/>
          <w:sz w:val="22"/>
          <w:rtl w:val="true"/>
          <w:lang w:eastAsia="he-IL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קייטנת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האימהות</w:t>
      </w:r>
      <w:r>
        <w:rPr>
          <w:rFonts w:cs="Miriam" w:ascii="Century" w:hAnsi="Century"/>
          <w:b/>
          <w:sz w:val="22"/>
          <w:rtl w:val="true"/>
          <w:lang w:eastAsia="he-IL"/>
        </w:rPr>
        <w:t>"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)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0"/>
        <w:ind w:start="-58" w:end="0"/>
        <w:contextualSpacing/>
        <w:jc w:val="both"/>
        <w:textAlignment w:val="auto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cs="FrankRuehl" w:ascii="Century" w:hAnsi="Century"/>
          <w:spacing w:val="10"/>
          <w:szCs w:val="28"/>
          <w:rtl w:val="true"/>
          <w:lang w:eastAsia="he-IL"/>
        </w:rPr>
      </w:r>
    </w:p>
    <w:p>
      <w:pPr>
        <w:pStyle w:val="Normal"/>
        <w:overflowPunct w:val="true"/>
        <w:autoSpaceDE w:val="true"/>
        <w:spacing w:lineRule="auto" w:line="360" w:before="0" w:after="0"/>
        <w:ind w:firstLine="778" w:start="-58" w:end="0"/>
        <w:contextualSpacing/>
        <w:jc w:val="both"/>
        <w:textAlignment w:val="auto"/>
        <w:rPr/>
      </w:pP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פסקו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נישואי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cs="FrankRuehl" w:ascii="Century" w:hAnsi="Century"/>
          <w:spacing w:val="10"/>
          <w:szCs w:val="28"/>
          <w:lang w:eastAsia="he-IL"/>
        </w:rPr>
        <w:t>2001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בכפר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חב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"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בשבת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חג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חנוכה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cs="FrankRuehl" w:ascii="Century" w:hAnsi="Century"/>
          <w:spacing w:val="10"/>
          <w:szCs w:val="28"/>
          <w:lang w:eastAsia="he-IL"/>
        </w:rPr>
        <w:t>2004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לכפר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חב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"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ד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התגורר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שתתלווה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השכנים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השכנים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סגר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החדר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נשען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הדלת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וכ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מולו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הפשיל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תחתוניו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ומכנסיו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סובב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שגבה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אליו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נצמד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והתחכך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בה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משהתנגדה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הפסיק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(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להלן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cs="Miriam" w:ascii="Century" w:hAnsi="Century"/>
          <w:b/>
          <w:sz w:val="22"/>
          <w:rtl w:val="true"/>
          <w:lang w:eastAsia="he-IL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שבת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חנוכה</w:t>
      </w:r>
      <w:r>
        <w:rPr>
          <w:rFonts w:cs="Miriam" w:ascii="Century" w:hAnsi="Century"/>
          <w:b/>
          <w:sz w:val="22"/>
          <w:rtl w:val="true"/>
          <w:lang w:eastAsia="he-IL"/>
        </w:rPr>
        <w:t>"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>)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Cs w:val="28"/>
          <w:lang w:eastAsia="he-IL"/>
        </w:rPr>
      </w:pPr>
      <w:r>
        <w:rPr>
          <w:rFonts w:cs="Century" w:ascii="Century" w:hAnsi="Century"/>
          <w:spacing w:val="10"/>
          <w:szCs w:val="28"/>
          <w:rtl w:val="true"/>
          <w:lang w:eastAsia="he-IL"/>
        </w:rPr>
      </w:r>
    </w:p>
    <w:p>
      <w:pPr>
        <w:pStyle w:val="Normal"/>
        <w:overflowPunct w:val="true"/>
        <w:autoSpaceDE w:val="true"/>
        <w:spacing w:lineRule="auto" w:line="360" w:before="0" w:after="0"/>
        <w:ind w:start="-58" w:end="0"/>
        <w:contextualSpacing/>
        <w:jc w:val="both"/>
        <w:textAlignment w:val="auto"/>
        <w:rPr>
          <w:rFonts w:ascii="Century" w:hAnsi="Century" w:cs="Miriam"/>
          <w:b/>
          <w:sz w:val="22"/>
          <w:lang w:eastAsia="he-IL"/>
        </w:rPr>
      </w:pP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וההליך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המחוזי</w:t>
      </w:r>
    </w:p>
    <w:p>
      <w:pPr>
        <w:pStyle w:val="Ruller42"/>
        <w:ind w:end="0"/>
        <w:jc w:val="both"/>
        <w:rPr>
          <w:rFonts w:ascii="Century" w:hAnsi="Century" w:cs="Century"/>
          <w:b/>
          <w:sz w:val="22"/>
          <w:lang w:eastAsia="he-IL"/>
        </w:rPr>
      </w:pPr>
      <w:r>
        <w:rPr>
          <w:rFonts w:cs="Century" w:ascii="Century" w:hAnsi="Century"/>
          <w:b/>
          <w:sz w:val="22"/>
          <w:rtl w:val="true"/>
          <w:lang w:eastAsia="he-IL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rFonts w:cs="Miriam"/>
          <w:b/>
          <w:sz w:val="22"/>
          <w:lang w:eastAsia="he-IL"/>
        </w:rPr>
      </w:pPr>
      <w:r>
        <w:rPr>
          <w:rtl w:val="true"/>
        </w:rPr>
        <w:t xml:space="preserve">בשנת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הגישה המתלוננת</w:t>
      </w:r>
      <w:r>
        <w:rPr>
          <w:rtl w:val="true"/>
        </w:rPr>
        <w:t xml:space="preserve">, </w:t>
      </w:r>
      <w:r>
        <w:rPr>
          <w:rtl w:val="true"/>
        </w:rPr>
        <w:t>שהיא כיום נשואה ואם לילדים</w:t>
      </w:r>
      <w:r>
        <w:rPr>
          <w:rtl w:val="true"/>
        </w:rPr>
        <w:t xml:space="preserve">, </w:t>
      </w:r>
      <w:r>
        <w:rPr>
          <w:rtl w:val="true"/>
        </w:rPr>
        <w:t xml:space="preserve">את התלונה במשטרה נגד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התלונה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cs="Miriam"/>
          <w:b/>
          <w:sz w:val="22"/>
          <w:lang w:eastAsia="he-IL"/>
        </w:rPr>
      </w:pPr>
      <w:r>
        <w:rPr>
          <w:rFonts w:cs="Miriam"/>
          <w:b/>
          <w:sz w:val="22"/>
          <w:rtl w:val="true"/>
          <w:lang w:eastAsia="he-IL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כפר במיוחס לו וטען כי המתלוננת מעלילה עליו</w:t>
      </w:r>
      <w:r>
        <w:rPr>
          <w:rtl w:val="true"/>
        </w:rPr>
        <w:t xml:space="preserve">, </w:t>
      </w:r>
      <w:r>
        <w:rPr>
          <w:rtl w:val="true"/>
        </w:rPr>
        <w:t>מהסיבות הבאות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על רקע סכסוך משפחתי שהחל בשנת </w:t>
      </w:r>
      <w:r>
        <w:rPr/>
        <w:t>2008/2009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בין אמה של המתלוננת לבין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שפגע במערער ואשתו והעליב אותם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הסכסוך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המשפחתי</w:t>
      </w:r>
      <w:r>
        <w:rPr>
          <w:rtl w:val="true"/>
        </w:rPr>
        <w:t xml:space="preserve">);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המתלוננת היא ממשפחה חרדית מחסידות חב</w:t>
      </w:r>
      <w:r>
        <w:rPr>
          <w:rtl w:val="true"/>
        </w:rPr>
        <w:t>"</w:t>
      </w:r>
      <w:r>
        <w:rPr>
          <w:rtl w:val="true"/>
        </w:rPr>
        <w:t>ד והיה עליה להסביר את הגעתה לשידוכים כשאינה בתולה</w:t>
      </w:r>
      <w:r>
        <w:rPr>
          <w:rtl w:val="true"/>
        </w:rPr>
        <w:t xml:space="preserve">, </w:t>
      </w:r>
      <w:r>
        <w:rPr>
          <w:rtl w:val="true"/>
        </w:rPr>
        <w:t>בין אם מרצון ובין כתוצאה מפגיעות מיניות שפגעו בה אחרים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  <w:t>המשפט נוהל ונשמעו ראיות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בבית המשפט המחוזי העידו המתלוננת</w:t>
      </w:r>
      <w:r>
        <w:rPr>
          <w:rtl w:val="true"/>
        </w:rPr>
        <w:t xml:space="preserve">, </w:t>
      </w:r>
      <w:r>
        <w:rPr>
          <w:rtl w:val="true"/>
        </w:rPr>
        <w:t>בעלה של המתלוננת</w:t>
      </w:r>
      <w:r>
        <w:rPr>
          <w:rtl w:val="true"/>
        </w:rPr>
        <w:t xml:space="preserve">,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 xml:space="preserve">מי שהייתה חברתה הטובה של המתלוננת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הרב ד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tl w:val="true"/>
        </w:rPr>
        <w:t xml:space="preserve">) </w:t>
      </w:r>
      <w:r>
        <w:rPr>
          <w:rtl w:val="true"/>
        </w:rPr>
        <w:t xml:space="preserve">והפסיכולוגית אצלה טופלה המתלוננת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הפסיכולוגית</w:t>
      </w:r>
      <w:r>
        <w:rPr>
          <w:rtl w:val="true"/>
        </w:rPr>
        <w:t xml:space="preserve">). </w:t>
      </w:r>
      <w:r>
        <w:rPr>
          <w:rtl w:val="true"/>
        </w:rPr>
        <w:t>במסגרת פרשת ההגנה נשמעו המערער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אחותו ואחייניתו ואדם נוסף המטפל בסכסוכים בקהילת חב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lang w:eastAsia="he-IL"/>
        </w:rPr>
      </w:pPr>
      <w:r>
        <w:rPr>
          <w:rtl w:val="true"/>
        </w:rPr>
        <w:tab/>
      </w:r>
      <w:r>
        <w:rPr>
          <w:rtl w:val="true"/>
          <w:lang w:eastAsia="he-IL"/>
        </w:rPr>
        <w:t>לבית המשפט המחוזי הוגשו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בשלב מאוחר של שמיעת הראיות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הדפים</w:t>
      </w:r>
      <w:r>
        <w:rPr>
          <w:rtl w:val="true"/>
          <w:lang w:eastAsia="he-IL"/>
        </w:rPr>
        <w:t xml:space="preserve">" </w:t>
      </w:r>
      <w:r>
        <w:rPr>
          <w:rtl w:val="true"/>
        </w:rPr>
        <w:t xml:space="preserve">שכתבה המתלוננת לעצמה לגבי הפגיעות המיניות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הדפים</w:t>
      </w:r>
      <w:r>
        <w:rPr>
          <w:rFonts w:cs="Miriam" w:ascii="Century" w:hAnsi="Century"/>
          <w:b/>
          <w:rtl w:val="true"/>
        </w:rPr>
        <w:t>"</w:t>
      </w:r>
      <w:r>
        <w:rPr>
          <w:rtl w:val="true"/>
        </w:rPr>
        <w:t>)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שהפסיכולוגית מסרה את הדפים לתביעה במהלך הכנתה לעדות בבית המשפט</w:t>
      </w:r>
      <w:r>
        <w:rPr>
          <w:rtl w:val="true"/>
        </w:rPr>
        <w:t xml:space="preserve">, </w:t>
      </w:r>
      <w:r>
        <w:rPr>
          <w:rtl w:val="true"/>
        </w:rPr>
        <w:t>והם הועברו להגנה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</w:rPr>
        <w:t>המתלוננת וחברתה הוחזרו לעדות משלימה לאחר שנתקבל חומר זה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Ruller42"/>
        <w:ind w:end="0"/>
        <w:jc w:val="both"/>
        <w:rPr>
          <w:rFonts w:ascii="Century" w:hAnsi="Century" w:cs="Century"/>
          <w:b/>
          <w:sz w:val="22"/>
        </w:rPr>
      </w:pPr>
      <w:r>
        <w:rPr>
          <w:rFonts w:cs="Century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  <w:lang w:eastAsia="he-IL"/>
        </w:rPr>
        <w:t xml:space="preserve">בית המשפט המחוזי קבע כי </w:t>
      </w:r>
      <w:r>
        <w:rPr>
          <w:rtl w:val="true"/>
          <w:lang w:eastAsia="he-IL"/>
        </w:rPr>
        <w:t xml:space="preserve">הוכחה מעבר לספק סביר אשמתו של </w:t>
      </w:r>
      <w:r>
        <w:rPr>
          <w:rtl w:val="true"/>
        </w:rPr>
        <w:t>המערער</w:t>
      </w:r>
      <w:r>
        <w:rPr>
          <w:rtl w:val="true"/>
          <w:lang w:eastAsia="he-IL"/>
        </w:rPr>
        <w:t xml:space="preserve"> בעבירות שיוחסו ל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נקבע כי</w:t>
      </w:r>
      <w:r>
        <w:rPr>
          <w:rtl w:val="true"/>
          <w:lang w:eastAsia="he-IL"/>
        </w:rPr>
        <w:t xml:space="preserve"> מעש</w:t>
      </w:r>
      <w:r>
        <w:rPr>
          <w:rtl w:val="true"/>
          <w:lang w:eastAsia="he-IL"/>
        </w:rPr>
        <w:t>י ה</w:t>
      </w:r>
      <w:r>
        <w:rPr>
          <w:rtl w:val="true"/>
          <w:lang w:eastAsia="he-IL"/>
        </w:rPr>
        <w:t>סדום ו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מעשים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מגונים </w:t>
      </w:r>
      <w:r>
        <w:rPr>
          <w:rtl w:val="true"/>
          <w:lang w:eastAsia="he-IL"/>
        </w:rPr>
        <w:t>הפכו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לאירועים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שגרתיים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עבור המתלוננת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המתלוננת הייתה צעירה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לא ידעה לציין </w:t>
      </w:r>
      <w:r>
        <w:rPr>
          <w:rtl w:val="true"/>
          <w:lang w:eastAsia="he-IL"/>
        </w:rPr>
        <w:t>את</w:t>
      </w:r>
      <w:r>
        <w:rPr>
          <w:rtl w:val="true"/>
          <w:lang w:eastAsia="he-IL"/>
        </w:rPr>
        <w:t xml:space="preserve"> תדירות</w:t>
      </w:r>
      <w:r>
        <w:rPr>
          <w:rtl w:val="true"/>
          <w:lang w:eastAsia="he-IL"/>
        </w:rPr>
        <w:t xml:space="preserve">ם של המעשים או </w:t>
      </w:r>
      <w:r>
        <w:rPr>
          <w:rtl w:val="true"/>
          <w:lang w:eastAsia="he-IL"/>
        </w:rPr>
        <w:t>בכמה אירועים מדובר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נקבע</w:t>
      </w:r>
      <w:r>
        <w:rPr>
          <w:rtl w:val="true"/>
          <w:lang w:eastAsia="he-IL"/>
        </w:rPr>
        <w:t xml:space="preserve"> כי מדובר 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מספר עבירות</w:t>
      </w:r>
      <w:r>
        <w:rPr>
          <w:rtl w:val="true"/>
          <w:lang w:eastAsia="he-IL"/>
        </w:rPr>
        <w:t>".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 זוכה מ</w:t>
      </w:r>
      <w:r>
        <w:rPr>
          <w:rtl w:val="true"/>
          <w:lang w:eastAsia="he-IL"/>
        </w:rPr>
        <w:t>עבירת האינוס</w:t>
      </w:r>
      <w:r>
        <w:rPr>
          <w:rtl w:val="true"/>
          <w:lang w:eastAsia="he-IL"/>
        </w:rPr>
        <w:t xml:space="preserve"> שיוחסה לו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משנותר ספק בדבר קיומה של חדירה לאיבר מינה של המתלוננת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והורשע </w:t>
      </w:r>
      <w:r>
        <w:rPr>
          <w:rtl w:val="true"/>
          <w:lang w:eastAsia="he-IL"/>
        </w:rPr>
        <w:t>בניסיון אינוס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 xml:space="preserve">במשפחה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בצרוף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  <w:lang w:eastAsia="he-IL"/>
        </w:rPr>
      </w:pP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  <w:highlight w:val="yellow"/>
          <w:lang w:eastAsia="he-IL"/>
        </w:rPr>
      </w:pP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העדיף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שחזרו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עצמם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זמן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תחושת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הגועל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שחשה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תחושת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שריפה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האונס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ארוכות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ונקראה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משלימה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–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מהימנה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עקבית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אותנטית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מוגזמת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מסוימות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מהותיות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לכרסם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המהימן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הותירה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4"/>
          <w:sz w:val="24"/>
          <w:rtl w:val="true"/>
        </w:rPr>
        <w:t>העימות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תשוב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תמקד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בהכחשת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הכחשות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דבריה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שינתה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המחזקות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החברה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הרב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הפסיכולוגית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והורי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שנשמעו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המכתבים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לרבי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שיפורט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highlight w:val="yellow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highlight w:val="yellow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מהימנה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מגמתיות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חסרות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בסיס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לקעקע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למזער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להרחיק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אשתו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שהיה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להצביע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טענותיה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הוסיפו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תרמו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במחלוקת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highlight w:val="yellow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highlight w:val="yellow"/>
          <w:rtl w:val="true"/>
          <w:lang w:eastAsia="he-IL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 xml:space="preserve">בית משפט קמא דחה את טענת ההגנה לפיה המתלוננת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מעלילה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עליו עלילות שווא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במשך שנים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הסתירה מבני משפחתה את הפגיעות המיניות ולא </w:t>
      </w:r>
      <w:r>
        <w:rPr>
          <w:rtl w:val="true"/>
          <w:lang w:eastAsia="he-IL"/>
        </w:rPr>
        <w:t xml:space="preserve">חשפה </w:t>
      </w:r>
      <w:r>
        <w:rPr>
          <w:rtl w:val="true"/>
          <w:lang w:eastAsia="he-IL"/>
        </w:rPr>
        <w:t>אותן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דוד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שאהבה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הקשר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וזה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סוד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המתלוננת העידה כי בהיותה בכיתה ח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לערך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חשפה לראשונה לפני חברתה את האירועים שעברה בעת שהן</w:t>
      </w:r>
      <w:r>
        <w:rPr>
          <w:rtl w:val="true"/>
          <w:lang w:eastAsia="he-IL"/>
        </w:rPr>
        <w:t xml:space="preserve"> שוחחו בטלפון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שיחת בנות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ואמרה לחברתה כי היא אינה בתולה 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ונקבה בשמו של המערער כסיבה שהיא אינה בתולה עוד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שיחה זו התקיימה זמן רב לפני פרוץ הסכסוך המשפחתי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עוד עמד בית המשפט על הקשר הטוב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אם כי קשר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מרחוק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שנשמר בין המתלוננת לבין המערער בזמן שהותו של זה בניו יורק לאחר נישואיו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המתלוננת אף ביקרה בביתו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 לא ביחידות ותמיד בנוכחות אדם נוסף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 xml:space="preserve">תמיכה וחיזוק לגרסת המתלוננת מצא בית המשפט בעדות </w:t>
      </w:r>
      <w:r>
        <w:rPr>
          <w:rtl w:val="true"/>
          <w:lang w:eastAsia="he-IL"/>
        </w:rPr>
        <w:t xml:space="preserve">אשתו של </w:t>
      </w:r>
      <w:r>
        <w:rPr>
          <w:rtl w:val="true"/>
        </w:rPr>
        <w:t>המערער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העידה כי המתלוננת תמיד הגיעה עם חברה כשבאה לבית</w:t>
      </w:r>
      <w:r>
        <w:rPr>
          <w:rtl w:val="true"/>
          <w:lang w:eastAsia="he-IL"/>
        </w:rPr>
        <w:t xml:space="preserve"> בו התגוררו בניו יורק וכי</w:t>
      </w:r>
      <w:r>
        <w:rPr>
          <w:rtl w:val="true"/>
          <w:lang w:eastAsia="he-IL"/>
        </w:rPr>
        <w:t xml:space="preserve"> מעולם לא באה לבדה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 אל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בקשר </w:t>
      </w:r>
      <w:r>
        <w:rPr>
          <w:rtl w:val="true"/>
          <w:lang w:eastAsia="he-IL"/>
        </w:rPr>
        <w:t xml:space="preserve">שנשמר </w:t>
      </w:r>
      <w:r>
        <w:rPr>
          <w:rtl w:val="true"/>
          <w:lang w:eastAsia="he-IL"/>
        </w:rPr>
        <w:t xml:space="preserve">כדי </w:t>
      </w:r>
      <w:r>
        <w:rPr>
          <w:rtl w:val="true"/>
          <w:lang w:eastAsia="he-IL"/>
        </w:rPr>
        <w:t>לפגוע</w:t>
      </w:r>
      <w:r>
        <w:rPr>
          <w:rtl w:val="true"/>
          <w:lang w:eastAsia="he-IL"/>
        </w:rPr>
        <w:t xml:space="preserve"> במהימנות גירסתה של המתלוננת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cs="FrankRuehl" w:ascii="Century" w:hAnsi="Century"/>
          <w:spacing w:val="10"/>
          <w:szCs w:val="28"/>
          <w:rtl w:val="true"/>
          <w:lang w:eastAsia="he-IL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lang w:eastAsia="he-IL"/>
        </w:rPr>
      </w:pPr>
      <w:r>
        <w:rPr>
          <w:rtl w:val="true"/>
        </w:rPr>
        <w:t xml:space="preserve">בגיל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ועל רקע הצעות שידוכים ו</w:t>
      </w:r>
      <w:r>
        <w:rPr>
          <w:rtl w:val="true"/>
        </w:rPr>
        <w:t>"</w:t>
      </w:r>
      <w:r>
        <w:rPr>
          <w:rtl w:val="true"/>
        </w:rPr>
        <w:t>חשבון נפש</w:t>
      </w:r>
      <w:r>
        <w:rPr>
          <w:rtl w:val="true"/>
        </w:rPr>
        <w:t xml:space="preserve">" </w:t>
      </w:r>
      <w:r>
        <w:rPr>
          <w:rtl w:val="true"/>
        </w:rPr>
        <w:t>ערב יום הולדתה</w:t>
      </w:r>
      <w:r>
        <w:rPr>
          <w:rtl w:val="true"/>
        </w:rPr>
        <w:t xml:space="preserve">, </w:t>
      </w:r>
      <w:r>
        <w:rPr>
          <w:rtl w:val="true"/>
        </w:rPr>
        <w:t>כתבה המתלוננת שני מכתבים המופנים ל</w:t>
      </w:r>
      <w:r>
        <w:rPr>
          <w:rtl w:val="true"/>
        </w:rPr>
        <w:t>'</w:t>
      </w:r>
      <w:r>
        <w:rPr>
          <w:rtl w:val="true"/>
        </w:rPr>
        <w:t>רבי</w:t>
      </w:r>
      <w:r>
        <w:rPr>
          <w:rtl w:val="true"/>
        </w:rPr>
        <w:t xml:space="preserve">', </w:t>
      </w:r>
      <w:r>
        <w:rPr>
          <w:rtl w:val="true"/>
        </w:rPr>
        <w:t>כנהוג בקהילת חב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 xml:space="preserve">ושמה את מכתביה בספר בחדרה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המכתבים</w:t>
      </w:r>
      <w:r>
        <w:rPr>
          <w:rtl w:val="true"/>
        </w:rPr>
        <w:t xml:space="preserve">). </w:t>
      </w:r>
      <w:r>
        <w:rPr>
          <w:rtl w:val="true"/>
        </w:rPr>
        <w:t>באותה תקופה</w:t>
      </w:r>
      <w:r>
        <w:rPr>
          <w:rtl w:val="true"/>
        </w:rPr>
        <w:t xml:space="preserve">, </w:t>
      </w:r>
      <w:r>
        <w:rPr>
          <w:rtl w:val="true"/>
        </w:rPr>
        <w:t>שיתפה המתלוננת את חברתה בכך שהיא זקוקה לטיפול לפני שתתחתן</w:t>
      </w:r>
      <w:r>
        <w:rPr>
          <w:rtl w:val="true"/>
        </w:rPr>
        <w:t xml:space="preserve">. </w:t>
      </w:r>
      <w:r>
        <w:rPr>
          <w:rtl w:val="true"/>
        </w:rPr>
        <w:t>חברתה עודדה אותה לפנות לרב כדי להתייעץ אותו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עודדה אותה לכתוב את הדברים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המתלוננת כתבה</w:t>
      </w:r>
      <w:r>
        <w:rPr>
          <w:rtl w:val="true"/>
          <w:lang w:eastAsia="he-IL"/>
        </w:rPr>
        <w:t xml:space="preserve"> את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הדפים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במחשב של חברתה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הדפים לא שימשו לה 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יומן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המתאר באופן סדור אירועים שקרו 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אלא היא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ציירה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את </w:t>
      </w:r>
      <w:r>
        <w:rPr>
          <w:rtl w:val="true"/>
          <w:lang w:eastAsia="he-IL"/>
        </w:rPr>
        <w:t>רגשותיה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המתלוננת הדפיסה את הדפים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קרעה אותם והניחה מתחת למזרון מיטתה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</w:rPr>
        <w:t>סיפרה המתלוננת לרב כי היא נפגעה מדוד שלה</w:t>
      </w:r>
      <w:r>
        <w:rPr>
          <w:rtl w:val="true"/>
        </w:rPr>
        <w:t xml:space="preserve">. </w:t>
      </w:r>
      <w:r>
        <w:rPr>
          <w:rtl w:val="true"/>
        </w:rPr>
        <w:t>הרב הפנה אותה לטיפול אצל הפסיכולוגית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החלה טיפול פסיכולוגי שנמשך כשנה וחצי וכלל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מפגשים אצל הפסיכולוגית</w:t>
      </w:r>
      <w:r>
        <w:rPr>
          <w:rtl w:val="true"/>
        </w:rPr>
        <w:t xml:space="preserve">, </w:t>
      </w:r>
      <w:r>
        <w:rPr>
          <w:rtl w:val="true"/>
        </w:rPr>
        <w:t xml:space="preserve">העוסקת בתחום של פגיעות מיניות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</w:t>
      </w:r>
      <w:r>
        <w:rPr>
          <w:rtl w:val="true"/>
        </w:rPr>
        <w:t xml:space="preserve">). </w:t>
      </w:r>
      <w:r>
        <w:rPr>
          <w:rtl w:val="true"/>
        </w:rPr>
        <w:t>המתלוננת מסרה לפסיכולוגית שם בדוי מאחר שחששה מחובת הדיווח של הפסיכולוגית ומחשיפת זהותה</w:t>
      </w:r>
      <w:r>
        <w:rPr>
          <w:rtl w:val="true"/>
        </w:rPr>
        <w:t xml:space="preserve">.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שמצאו עם הזמן את המכתבים ואת קרעי הדפים בחדרה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ידעו על הטיפול וסברו שהוא נחוץ עקב מצבה של המתלוננת והם מימנו את עלויות הטיפול הגבוהות </w:t>
      </w:r>
      <w:r>
        <w:rPr>
          <w:rtl w:val="true"/>
          <w:lang w:eastAsia="he-IL"/>
        </w:rPr>
        <w:t>ואת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הוצאות ה</w:t>
      </w:r>
      <w:r>
        <w:rPr>
          <w:rtl w:val="true"/>
          <w:lang w:eastAsia="he-IL"/>
        </w:rPr>
        <w:t>נסיעה במוניות</w:t>
      </w:r>
      <w:r>
        <w:rPr>
          <w:rtl w:val="true"/>
          <w:lang w:eastAsia="he-IL"/>
        </w:rPr>
        <w:t xml:space="preserve"> למפגשים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שהפסיכולוגית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מחשבותיה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ורגשותיה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שינתה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מהטיפול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הוסיפה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השמיטה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מזהים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הדיווח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הפסיכולוגית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בדפים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נכתבו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שפגעו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נכתבו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תיאורים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שנעשו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ההולדת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משחק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רופא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וחולה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סדום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מכאיב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גדול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ממנה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שתוארו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ושביצעו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: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הפגיעות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הנוספות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בדפים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התייחסות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היחיד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שאנס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תוספת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והמופנית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לפסיכולוגית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נכתבו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ששמעה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התוספת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בסופו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דבר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אירוסיה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וחתונתה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מוצלח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כתיבת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לפרוק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רגשות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שקרית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: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  <w:lang w:eastAsia="he-IL"/>
        </w:rPr>
        <w:t>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  <w:lang w:eastAsia="he-IL"/>
        </w:rPr>
        <w:t>כתבה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  <w:lang w:eastAsia="he-IL"/>
        </w:rPr>
        <w:t>על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  <w:lang w:eastAsia="he-IL"/>
        </w:rPr>
        <w:t>המערער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  <w:lang w:eastAsia="he-IL"/>
        </w:rPr>
        <w:t>דברים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  <w:lang w:eastAsia="he-IL"/>
        </w:rPr>
        <w:t>שלא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  <w:lang w:eastAsia="he-IL"/>
        </w:rPr>
        <w:t>היו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נכתבו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הדיבה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לתלונה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שהדפים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נכתבו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התלוננה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  <w:lang w:eastAsia="he-IL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וזכרי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מתעדים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כאבה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לדבר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לאחר נישואיה של המתלוננת בשנת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הגיש המערער לבית הדין של חב</w:t>
      </w:r>
      <w:r>
        <w:rPr>
          <w:rtl w:val="true"/>
        </w:rPr>
        <w:t>"</w:t>
      </w:r>
      <w:r>
        <w:rPr>
          <w:rtl w:val="true"/>
        </w:rPr>
        <w:t>ד תביעת דיבה נגד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אביה והרב בגין הוצאת לשון הרע ביחס לטענות שהמערער ביצע לכאורה פגיעות מיניות במתלוננת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הדיבה</w:t>
      </w:r>
      <w:r>
        <w:rPr>
          <w:rtl w:val="true"/>
        </w:rPr>
        <w:t xml:space="preserve">). </w:t>
      </w:r>
      <w:r>
        <w:rPr>
          <w:rtl w:val="true"/>
        </w:rPr>
        <w:t xml:space="preserve">בשנת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הגישה המתלוננת את התלונה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>
          <w:rFonts w:ascii="Calibri" w:hAnsi="Calibri" w:cs="Calibri"/>
        </w:rPr>
      </w:pPr>
      <w:r>
        <w:rPr>
          <w:rtl w:val="true"/>
        </w:rPr>
        <w:t xml:space="preserve">בגזר הדין צוין כי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 </w:t>
      </w:r>
      <w:r>
        <w:rPr>
          <w:rtl w:val="true"/>
        </w:rPr>
        <w:t>אהוב</w:t>
      </w:r>
      <w:r>
        <w:rPr>
          <w:rtl w:val="true"/>
        </w:rPr>
        <w:t xml:space="preserve"> </w:t>
      </w:r>
      <w:r>
        <w:rPr>
          <w:rtl w:val="true"/>
        </w:rPr>
        <w:t>באחייניתו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 xml:space="preserve">המתמשכת </w:t>
      </w:r>
      <w:r>
        <w:rPr>
          <w:rtl w:val="true"/>
        </w:rPr>
        <w:t>במתלוננת</w:t>
      </w:r>
      <w:r>
        <w:rPr>
          <w:rtl w:val="true"/>
        </w:rPr>
        <w:t xml:space="preserve"> </w:t>
      </w:r>
      <w:r>
        <w:rPr>
          <w:rtl w:val="true"/>
        </w:rPr>
        <w:t>החלה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  <w:lang w:eastAsia="he-IL"/>
        </w:rPr>
        <w:t xml:space="preserve">כאשר </w:t>
      </w:r>
      <w:r>
        <w:rPr>
          <w:rtl w:val="true"/>
          <w:lang w:eastAsia="he-IL"/>
        </w:rPr>
        <w:t>עיקר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 בגילאי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 –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 </w:t>
      </w:r>
      <w:r>
        <w:rPr>
          <w:rtl w:val="true"/>
        </w:rPr>
        <w:t>ברמות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 </w:t>
      </w:r>
      <w:r>
        <w:rPr>
          <w:rtl w:val="true"/>
        </w:rPr>
        <w:t>וניסיון</w:t>
      </w:r>
      <w:r>
        <w:rPr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ונפשי קשה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 ו</w:t>
      </w:r>
      <w:r>
        <w:rPr>
          <w:rFonts w:ascii="Calibri" w:hAnsi="Calibri" w:cs="Calibri"/>
          <w:rtl w:val="true"/>
        </w:rPr>
        <w:t>חברתי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הסגורה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גזר הדין עמד על ה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בייחוד ב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ועל כך שהמערער פגע בערכים המוגנים של כבוד האדם ושלמות גופו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האוטונומיה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משפט קמא קבע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ענישה שנע בין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ודן את המערער לעונש של </w:t>
      </w:r>
      <w:r>
        <w:rPr>
          <w:rtl w:val="true"/>
        </w:rPr>
        <w:t>שש וחצי 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וחייבו בתשלום פיצויים למתלוננת בסך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Ruller42"/>
        <w:ind w:end="0"/>
        <w:jc w:val="both"/>
        <w:rPr>
          <w:rFonts w:ascii="Century" w:hAnsi="Century" w:cs="Century"/>
          <w:b/>
          <w:sz w:val="22"/>
        </w:rPr>
      </w:pPr>
      <w:r>
        <w:rPr>
          <w:rFonts w:cs="Century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עיקר הערעור נסב על הכרעת הדין</w:t>
      </w:r>
      <w:r>
        <w:rPr>
          <w:rtl w:val="true"/>
        </w:rPr>
        <w:t xml:space="preserve">.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המערער חוזר על טענות שהעלה בבית המשפט המחוזי ותוקף ממצאי עובדה ומהימנות שקבע בית המשפט קמא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המתלוננת אינה עדה מהימנה מאחר ש</w:t>
      </w:r>
      <w:r>
        <w:rPr>
          <w:rtl w:val="true"/>
        </w:rPr>
        <w:t>"</w:t>
      </w:r>
      <w:r>
        <w:rPr>
          <w:rtl w:val="true"/>
        </w:rPr>
        <w:t>הדפים</w:t>
      </w:r>
      <w:r>
        <w:rPr>
          <w:rtl w:val="true"/>
        </w:rPr>
        <w:t xml:space="preserve">" </w:t>
      </w:r>
      <w:r>
        <w:rPr>
          <w:rtl w:val="true"/>
        </w:rPr>
        <w:t>שכתבה המתלוננת מתארים פגיעות נוספות שפגעו בה אחרים</w:t>
      </w:r>
      <w:r>
        <w:rPr>
          <w:rtl w:val="true"/>
        </w:rPr>
        <w:t xml:space="preserve">, </w:t>
      </w:r>
      <w:r>
        <w:rPr>
          <w:rtl w:val="true"/>
        </w:rPr>
        <w:t>פגיעות השונות מתיאוריה את פגיעות המערער בה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 המערער אין לאמץ את גרסת המתלוננת בשל סתירות בין עדותה בבית המשפט לבין הודעותיה במשטרה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באירוע </w:t>
      </w:r>
      <w:r>
        <w:rPr>
          <w:rtl w:val="true"/>
        </w:rPr>
        <w:t>"</w:t>
      </w:r>
      <w:r>
        <w:rPr>
          <w:rtl w:val="true"/>
        </w:rPr>
        <w:t>שבת חנוכה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האם המתלונן התפשט</w:t>
      </w:r>
      <w:r>
        <w:rPr>
          <w:rtl w:val="true"/>
        </w:rPr>
        <w:t xml:space="preserve">? </w:t>
      </w:r>
      <w:r>
        <w:rPr>
          <w:rtl w:val="true"/>
        </w:rPr>
        <w:t>האם ישן בבית השכנים או בבית חמיו</w:t>
      </w:r>
      <w:r>
        <w:rPr>
          <w:rtl w:val="true"/>
        </w:rPr>
        <w:t xml:space="preserve">? </w:t>
      </w:r>
      <w:r>
        <w:rPr>
          <w:rtl w:val="true"/>
        </w:rPr>
        <w:t>באירוע ה</w:t>
      </w:r>
      <w:r>
        <w:rPr>
          <w:rtl w:val="true"/>
        </w:rPr>
        <w:t>"</w:t>
      </w:r>
      <w:r>
        <w:rPr>
          <w:rtl w:val="true"/>
        </w:rPr>
        <w:t>רופא וחולה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האם ביקש שתשפשף את איבר מינו בלבד</w:t>
      </w:r>
      <w:r>
        <w:rPr>
          <w:rtl w:val="true"/>
        </w:rPr>
        <w:t xml:space="preserve">?; </w:t>
      </w:r>
      <w:r>
        <w:rPr>
          <w:rtl w:val="true"/>
        </w:rPr>
        <w:t>מועד אירוע ה</w:t>
      </w:r>
      <w:r>
        <w:rPr>
          <w:rtl w:val="true"/>
        </w:rPr>
        <w:t>"</w:t>
      </w:r>
      <w:r>
        <w:rPr>
          <w:rtl w:val="true"/>
        </w:rPr>
        <w:t>רופא וחולה</w:t>
      </w:r>
      <w:r>
        <w:rPr>
          <w:rtl w:val="true"/>
        </w:rPr>
        <w:t xml:space="preserve">". </w:t>
      </w:r>
      <w:r>
        <w:rPr>
          <w:rtl w:val="true"/>
        </w:rPr>
        <w:t>המערער טוען באופן כללי לקיומן של סתירות בגרסת המתלוננת לגבי מועדי המעשים ולקביעות עובדתיות שגויות של מועדים בפסק הדין</w:t>
      </w:r>
      <w:r>
        <w:rPr>
          <w:rtl w:val="true"/>
        </w:rPr>
        <w:t xml:space="preserve">. </w:t>
      </w:r>
      <w:r>
        <w:rPr>
          <w:rtl w:val="true"/>
        </w:rPr>
        <w:t>טענה נוספת היא כי התנהגותה של המתלוננת</w:t>
      </w:r>
      <w:r>
        <w:rPr>
          <w:rtl w:val="true"/>
        </w:rPr>
        <w:t xml:space="preserve">, </w:t>
      </w:r>
      <w:r>
        <w:rPr>
          <w:rtl w:val="true"/>
        </w:rPr>
        <w:t>לפני התלונה במשטרה ובמהלך הודעותיה במשטרה</w:t>
      </w:r>
      <w:r>
        <w:rPr>
          <w:rtl w:val="true"/>
        </w:rPr>
        <w:t xml:space="preserve">, </w:t>
      </w:r>
      <w:r>
        <w:rPr>
          <w:rtl w:val="true"/>
        </w:rPr>
        <w:t xml:space="preserve">אינה </w:t>
      </w:r>
      <w:r>
        <w:rPr>
          <w:rtl w:val="true"/>
        </w:rPr>
        <w:t>"</w:t>
      </w:r>
      <w:r>
        <w:rPr>
          <w:rtl w:val="true"/>
        </w:rPr>
        <w:t>תואמת</w:t>
      </w:r>
      <w:r>
        <w:rPr>
          <w:rtl w:val="true"/>
        </w:rPr>
        <w:t xml:space="preserve">" </w:t>
      </w:r>
      <w:r>
        <w:rPr>
          <w:rtl w:val="true"/>
        </w:rPr>
        <w:t>התנהגות של נפגעת עבירות מין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שהיא צוחקת במהלך תיאורה את האירוע בו ניסה לאנוס אותה ובמהלך העימות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הקשר עליו היא שמרה איתו לאחר הפגיעות הנטענות </w:t>
      </w:r>
      <w:r>
        <w:rPr>
          <w:rtl w:val="true"/>
        </w:rPr>
        <w:t>–</w:t>
      </w:r>
      <w:r>
        <w:rPr>
          <w:rtl w:val="true"/>
        </w:rPr>
        <w:t xml:space="preserve"> תומך במסקנה שהמתלוננת מעלילה עליו ושהתלונה הוגשה </w:t>
      </w:r>
      <w:r>
        <w:rPr>
          <w:rtl w:val="true"/>
        </w:rPr>
        <w:t>"</w:t>
      </w:r>
      <w:r>
        <w:rPr>
          <w:rtl w:val="true"/>
        </w:rPr>
        <w:t>בתגובה</w:t>
      </w:r>
      <w:r>
        <w:rPr>
          <w:rtl w:val="true"/>
        </w:rPr>
        <w:t xml:space="preserve">" </w:t>
      </w:r>
      <w:r>
        <w:rPr>
          <w:rtl w:val="true"/>
        </w:rPr>
        <w:t>לתביעת הדיבה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הדבר נובע מרצון המתלוננת להסביר את אובדן בתוליה לפני חתונתה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משיג על חומרת העונש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המשיבה ביקשה לדחות את הערעור</w:t>
      </w:r>
      <w:r>
        <w:rPr>
          <w:rtl w:val="true"/>
        </w:rPr>
        <w:t xml:space="preserve">.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אין הצדקה לסטות מהכלל לפיו ערכאת הערעור אינה נוטה להתערב בממצאים עובדתיים ובממצאי מהימנות שקבעה הערכאה הדיונית</w:t>
      </w:r>
      <w:r>
        <w:rPr>
          <w:rtl w:val="true"/>
        </w:rPr>
        <w:t xml:space="preserve">. </w:t>
      </w:r>
      <w:r>
        <w:rPr>
          <w:rtl w:val="true"/>
        </w:rPr>
        <w:t>גרסת המתלוננת אמינה ו</w:t>
      </w:r>
      <w:r>
        <w:rPr>
          <w:rtl w:val="true"/>
        </w:rPr>
        <w:t>"</w:t>
      </w:r>
      <w:r>
        <w:rPr>
          <w:rtl w:val="true"/>
        </w:rPr>
        <w:t>גרעין האמת</w:t>
      </w:r>
      <w:r>
        <w:rPr>
          <w:rtl w:val="true"/>
        </w:rPr>
        <w:t xml:space="preserve">" </w:t>
      </w:r>
      <w:r>
        <w:rPr>
          <w:rtl w:val="true"/>
        </w:rPr>
        <w:t>בגרסת המתלוננת חוזר בעקביות בכל הודעותיה במשטרה ובעדותה בבית המשפט</w:t>
      </w:r>
      <w:r>
        <w:rPr>
          <w:rtl w:val="true"/>
        </w:rPr>
        <w:t xml:space="preserve">. </w:t>
      </w:r>
      <w:r>
        <w:rPr>
          <w:rtl w:val="true"/>
        </w:rPr>
        <w:t>יש גם לדחות את הטענות לפיהן התנהגות המתלוננת אינה תואמת את ה</w:t>
      </w:r>
      <w:r>
        <w:rPr>
          <w:rtl w:val="true"/>
        </w:rPr>
        <w:t>"</w:t>
      </w:r>
      <w:r>
        <w:rPr>
          <w:rtl w:val="true"/>
        </w:rPr>
        <w:t>מצופה</w:t>
      </w:r>
      <w:r>
        <w:rPr>
          <w:rtl w:val="true"/>
        </w:rPr>
        <w:t xml:space="preserve">" </w:t>
      </w:r>
      <w:r>
        <w:rPr>
          <w:rtl w:val="true"/>
        </w:rPr>
        <w:t>מנפגעת עבירות מין</w:t>
      </w:r>
      <w:r>
        <w:rPr>
          <w:rtl w:val="true"/>
        </w:rPr>
        <w:t xml:space="preserve">. </w:t>
      </w:r>
      <w:r>
        <w:rPr>
          <w:rtl w:val="true"/>
        </w:rPr>
        <w:t>גם לעניין טענות המערער ביחס ל</w:t>
      </w:r>
      <w:r>
        <w:rPr>
          <w:rtl w:val="true"/>
        </w:rPr>
        <w:t>"</w:t>
      </w:r>
      <w:r>
        <w:rPr>
          <w:rtl w:val="true"/>
        </w:rPr>
        <w:t>דפים</w:t>
      </w:r>
      <w:r>
        <w:rPr>
          <w:rtl w:val="true"/>
        </w:rPr>
        <w:t xml:space="preserve">" </w:t>
      </w:r>
      <w:r>
        <w:rPr>
          <w:rtl w:val="true"/>
        </w:rPr>
        <w:t>וטענת ה</w:t>
      </w:r>
      <w:r>
        <w:rPr>
          <w:rtl w:val="true"/>
        </w:rPr>
        <w:t>"</w:t>
      </w:r>
      <w:r>
        <w:rPr>
          <w:rtl w:val="true"/>
        </w:rPr>
        <w:t>עלילה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המשיבה סומכת ידיה על פסק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>יש לדחות גם את הערעור על חומרת העונש</w:t>
      </w:r>
      <w:r>
        <w:rPr>
          <w:rtl w:val="true"/>
        </w:rPr>
        <w:t xml:space="preserve">. </w:t>
      </w:r>
      <w:r>
        <w:rPr>
          <w:rtl w:val="true"/>
        </w:rPr>
        <w:t>המערער פצע את נפשה של המתלוננת מאז הייתה ילדה קטנה וביצע בה מעשים מיניים חמורים שהפכו לשגרת יומה ובעונש שהוטל אין מידת חומרא המצדיקה התערבות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highlight w:val="darkCyan"/>
        </w:rPr>
      </w:pPr>
      <w:r>
        <w:rPr>
          <w:rFonts w:cs="Century" w:ascii="Century" w:hAnsi="Century"/>
          <w:highlight w:val="darkCyan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4"/>
        </w:rPr>
      </w:pPr>
      <w:r>
        <w:rPr>
          <w:rFonts w:ascii="Century" w:hAnsi="Century" w:cs="Miriam"/>
          <w:b/>
          <w:b/>
          <w:sz w:val="24"/>
          <w:sz w:val="24"/>
          <w:rtl w:val="true"/>
        </w:rPr>
        <w:t>דיון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Century"/>
          <w:b/>
          <w:sz w:val="24"/>
        </w:rPr>
      </w:pPr>
      <w:r>
        <w:rPr>
          <w:rFonts w:cs="Century" w:ascii="Century" w:hAnsi="Century"/>
          <w:b/>
          <w:sz w:val="24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לאחר עיון </w:t>
      </w:r>
      <w:r>
        <w:rPr>
          <w:rtl w:val="true"/>
        </w:rPr>
        <w:t>בטיעוני הצדדים בערעור</w:t>
      </w:r>
      <w:r>
        <w:rPr>
          <w:rtl w:val="true"/>
        </w:rPr>
        <w:t xml:space="preserve">, </w:t>
      </w:r>
      <w:r>
        <w:rPr>
          <w:rtl w:val="true"/>
        </w:rPr>
        <w:t>בפסק דינו של בית המשפט המחוזי ובמסכת הראיות ולאחר שמיעת טיעוני הצדדים בעל פה</w:t>
      </w:r>
      <w:r>
        <w:rPr>
          <w:rtl w:val="true"/>
        </w:rPr>
        <w:t xml:space="preserve">, </w:t>
      </w:r>
      <w:r>
        <w:rPr>
          <w:rtl w:val="true"/>
        </w:rPr>
        <w:t>הגע</w:t>
      </w:r>
      <w:r>
        <w:rPr>
          <w:rtl w:val="true"/>
        </w:rPr>
        <w:t>תי</w:t>
      </w:r>
      <w:r>
        <w:rPr>
          <w:rtl w:val="true"/>
        </w:rPr>
        <w:t xml:space="preserve"> למסקנה כי </w:t>
      </w:r>
      <w:r>
        <w:rPr>
          <w:rtl w:val="true"/>
        </w:rPr>
        <w:t>יש לדחות את 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טענות המערער נסבות על ממצאי עובדה וקביעות מהימנות</w:t>
      </w:r>
      <w:r>
        <w:rPr>
          <w:rtl w:val="true"/>
        </w:rPr>
        <w:t xml:space="preserve">. </w:t>
      </w:r>
      <w:r>
        <w:rPr>
          <w:rtl w:val="true"/>
        </w:rPr>
        <w:t>הלכה היא כי אין זה מדרכה של ערכאת הערעור להתערב בממצאי עובדה וקביעות מהימנות שקבעה הערכאה 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שהערכאה הדיונית התרשמה באופן ישיר ובלתי אמצעי מהעדויות ומהשתלבותן במארג הראייתי</w:t>
      </w:r>
      <w:r>
        <w:rPr>
          <w:rtl w:val="true"/>
        </w:rPr>
        <w:t xml:space="preserve">. </w:t>
      </w:r>
      <w:r>
        <w:rPr>
          <w:rtl w:val="true"/>
        </w:rPr>
        <w:t xml:space="preserve">כלל זה מקבל משנה תוקף במקרים של עבירות מין בכלל ובעבירות מין במשפחה בפרט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(</w:t>
      </w:r>
      <w:r>
        <w:rPr/>
        <w:t>21.3.2018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 xml:space="preserve">וההפניות שם </w:t>
      </w:r>
      <w:r>
        <w:rPr>
          <w:rtl w:val="true"/>
        </w:rPr>
        <w:t>(</w:t>
      </w:r>
      <w:r>
        <w:rPr/>
        <w:t>26.3.2020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84-83</w:t>
      </w:r>
      <w:r>
        <w:rPr>
          <w:rtl w:val="true"/>
        </w:rPr>
        <w:t xml:space="preserve"> (</w:t>
      </w:r>
      <w:r>
        <w:rPr/>
        <w:t>20.10.2010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43</w:t>
      </w:r>
      <w:r>
        <w:rPr>
          <w:rtl w:val="true"/>
        </w:rPr>
        <w:t xml:space="preserve"> (</w:t>
      </w:r>
      <w:r>
        <w:rPr/>
        <w:t>5.3.2017</w:t>
      </w:r>
      <w:r>
        <w:rPr>
          <w:rtl w:val="true"/>
        </w:rPr>
        <w:t xml:space="preserve">)). </w:t>
      </w:r>
      <w:r>
        <w:rPr>
          <w:rtl w:val="true"/>
        </w:rPr>
        <w:t>התערבות ערכאת הערעור בממצאי עובדה ומהימנות תיעשה במקרים חריגים</w:t>
      </w:r>
      <w:r>
        <w:rPr>
          <w:rtl w:val="true"/>
        </w:rPr>
        <w:t xml:space="preserve">, </w:t>
      </w:r>
      <w:r>
        <w:rPr>
          <w:rtl w:val="true"/>
        </w:rPr>
        <w:t>בהם הקביעות לא התבססו על התרשמות בלתי אמצעית מהעדים</w:t>
      </w:r>
      <w:r>
        <w:rPr>
          <w:rtl w:val="true"/>
        </w:rPr>
        <w:t xml:space="preserve">, </w:t>
      </w:r>
      <w:r>
        <w:rPr>
          <w:rtl w:val="true"/>
        </w:rPr>
        <w:t>כאשר יש סתירות היורדות לשורש הדברים בעדויות שנשמעו ואשר הערכאה הדיונית לא נתנה את הדעת עליהן</w:t>
      </w:r>
      <w:r>
        <w:rPr>
          <w:rtl w:val="true"/>
        </w:rPr>
        <w:t xml:space="preserve">, </w:t>
      </w:r>
      <w:r>
        <w:rPr>
          <w:rtl w:val="true"/>
        </w:rPr>
        <w:t xml:space="preserve">או כאשר מתגלה טעות מהותית בהערכת מהימנותם של העדים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המבוססים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מפורטת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מנומקת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ומבוססת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ראייתית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הנדבך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אותנטית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מוגזמת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משתדלת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לדייק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בפרטים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שזכרה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שהיה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הגזימה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השחיר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נחקרה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חקירות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נגדיות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ארוכות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התמודדה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בכנות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בעניינים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משמשים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נגדה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התמודדה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פנטזיות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עלילות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העלילה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גרסתה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בכפוף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ההנמקה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1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</w:rPr>
        <w:t>71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ההנמקה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מתמלאת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2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8290/16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וההפניות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28.11.2017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ס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מהותיות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לכרסם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הסברים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טובים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גירסאותיה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חנוכה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התפשט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מבגדיו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ותחתוניו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הגירסאות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ההתרשמות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קעקע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ומשפחתו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השכנים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הזמנים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בארץ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כניסות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ויציאות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לליבתה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האופפות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 "'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והחיזוקים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'" (</w:t>
      </w:r>
      <w:hyperlink r:id="rId2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8916/08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1.7.2009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צפויות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טבעיות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במרוצת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האינהרנטי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נתקלים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לשחזר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טראומט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שתהא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כרונולוגית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ונטולת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במאפיינים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במיוחד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הקרבנות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קטינים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המתגלות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בגרסאותיהם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בקפדנות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ואיתרה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גרעין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מבוסס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הוספו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קורבנות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המתבצעות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וסדורה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מוקד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2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3958/08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10.9.2014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לתדירות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לכרסם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בקפדנות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מטבע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עשויים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להתעורר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דיוקים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בגרסה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שמקורם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ובחלוף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הזמן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ובנוסף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המורכבות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הקשורה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במשפחה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כרסמו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פגיעתו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מקובלות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עליי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כשנפגעה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שהתגלו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בגרסאותיה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המבוססות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ומוחשי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סנסורית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דחה את טענת ההגנה כי המתלוננת </w:t>
      </w:r>
      <w:r>
        <w:rPr>
          <w:rtl w:val="true"/>
        </w:rPr>
        <w:t>"</w:t>
      </w:r>
      <w:r>
        <w:rPr>
          <w:rtl w:val="true"/>
        </w:rPr>
        <w:t>העלילה</w:t>
      </w:r>
      <w:r>
        <w:rPr>
          <w:rtl w:val="true"/>
        </w:rPr>
        <w:t xml:space="preserve">" </w:t>
      </w:r>
      <w:r>
        <w:rPr>
          <w:rtl w:val="true"/>
        </w:rPr>
        <w:t>על המערער</w:t>
      </w:r>
      <w:r>
        <w:rPr>
          <w:rtl w:val="true"/>
        </w:rPr>
        <w:t xml:space="preserve">, </w:t>
      </w:r>
      <w:r>
        <w:rPr>
          <w:rtl w:val="true"/>
        </w:rPr>
        <w:t>ובדין כך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 xml:space="preserve">בית המשפט המחוזי קבע כי </w:t>
      </w:r>
      <w:r>
        <w:rPr>
          <w:rtl w:val="true"/>
          <w:lang w:eastAsia="he-IL"/>
        </w:rPr>
        <w:t>לא עלה מהראיות הסבר כלשהו מדוע תעליל המתלוננת עלילה כה קשה כלפי המערער</w:t>
      </w:r>
      <w:r>
        <w:rPr>
          <w:rtl w:val="true"/>
          <w:lang w:eastAsia="he-IL"/>
        </w:rPr>
        <w:t xml:space="preserve"> או תגיש תלונת שווא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מדובר בדוד </w:t>
      </w:r>
      <w:r>
        <w:rPr>
          <w:rtl w:val="true"/>
          <w:lang w:eastAsia="he-IL"/>
        </w:rPr>
        <w:t>של המתלוננת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 העידה המתלוננת כי היה</w:t>
      </w:r>
      <w:r>
        <w:rPr>
          <w:rtl w:val="true"/>
          <w:lang w:eastAsia="he-IL"/>
        </w:rPr>
        <w:t xml:space="preserve"> אוהב ו</w:t>
      </w:r>
      <w:r>
        <w:rPr>
          <w:rtl w:val="true"/>
          <w:lang w:eastAsia="he-IL"/>
        </w:rPr>
        <w:t>אהוב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בית משפט קמא דחה אחת לאחת את טענות ההגנה למניעים של המתלוננת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להעליל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על המערער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המתלוננת העידה על יחסים טובים בינה לבין המערער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 היגיון ש</w:t>
      </w:r>
      <w:r>
        <w:rPr>
          <w:rtl w:val="true"/>
          <w:lang w:eastAsia="he-IL"/>
        </w:rPr>
        <w:t>תעליל</w:t>
      </w:r>
      <w:r>
        <w:rPr>
          <w:rtl w:val="true"/>
          <w:lang w:eastAsia="he-IL"/>
        </w:rPr>
        <w:t xml:space="preserve"> עליו </w:t>
      </w:r>
      <w:r>
        <w:rPr>
          <w:rtl w:val="true"/>
          <w:lang w:eastAsia="he-IL"/>
        </w:rPr>
        <w:t xml:space="preserve">כי ביצע בה </w:t>
      </w:r>
      <w:r>
        <w:rPr>
          <w:rtl w:val="true"/>
          <w:lang w:eastAsia="he-IL"/>
        </w:rPr>
        <w:t>פגיעות מיניות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לאחר הסכסוך המשפחתי בין אמה של המתלוננת לבין 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נמשך הקשר בין המערער למתלוננת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 על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היה כל קשר בין הסכסוך </w:t>
      </w:r>
      <w:r>
        <w:rPr>
          <w:rtl w:val="true"/>
          <w:lang w:eastAsia="he-IL"/>
        </w:rPr>
        <w:t xml:space="preserve">המשפחתי </w:t>
      </w:r>
      <w:r>
        <w:rPr>
          <w:rtl w:val="true"/>
          <w:lang w:eastAsia="he-IL"/>
        </w:rPr>
        <w:t xml:space="preserve">משנת </w:t>
      </w:r>
      <w:r>
        <w:rPr>
          <w:lang w:eastAsia="he-IL"/>
        </w:rPr>
        <w:t>2009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 תלונתה של המתלוננת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שלישית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נקבע כי </w:t>
      </w:r>
      <w:r>
        <w:rPr>
          <w:rtl w:val="true"/>
          <w:lang w:eastAsia="he-IL"/>
        </w:rPr>
        <w:t>המתלוננת לא התכוונה להתלונן נגד המערער</w:t>
      </w:r>
      <w:r>
        <w:rPr>
          <w:rtl w:val="true"/>
          <w:lang w:eastAsia="he-IL"/>
        </w:rPr>
        <w:t xml:space="preserve"> על 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 שבשנים הרבות שחלפו מאז הפגיעות לא התלוננה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אפילו כש</w:t>
      </w:r>
      <w:r>
        <w:rPr>
          <w:rtl w:val="true"/>
          <w:lang w:eastAsia="he-IL"/>
        </w:rPr>
        <w:t>פנתה</w:t>
      </w:r>
      <w:r>
        <w:rPr>
          <w:rtl w:val="true"/>
          <w:lang w:eastAsia="he-IL"/>
        </w:rPr>
        <w:t xml:space="preserve"> המתלוננת</w:t>
      </w:r>
      <w:r>
        <w:rPr>
          <w:rtl w:val="true"/>
          <w:lang w:eastAsia="he-IL"/>
        </w:rPr>
        <w:t xml:space="preserve"> ל</w:t>
      </w:r>
      <w:r>
        <w:rPr>
          <w:rtl w:val="true"/>
          <w:lang w:eastAsia="he-IL"/>
        </w:rPr>
        <w:t>פסיכולוגית</w:t>
      </w:r>
      <w:r>
        <w:rPr>
          <w:rtl w:val="true"/>
          <w:lang w:eastAsia="he-IL"/>
        </w:rPr>
        <w:t xml:space="preserve"> לקבל טיפול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היא </w:t>
      </w:r>
      <w:r>
        <w:rPr>
          <w:rtl w:val="true"/>
          <w:lang w:eastAsia="he-IL"/>
        </w:rPr>
        <w:t>הזדהתה בשם בדוי והסתירה את שמו של 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מחשש מפני חובת הדיווח של </w:t>
      </w:r>
      <w:r>
        <w:rPr>
          <w:rtl w:val="true"/>
          <w:lang w:eastAsia="he-IL"/>
        </w:rPr>
        <w:t>הפסיכולוגית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התלונה הוגשה רק לאחר שהמערער הגיש </w:t>
      </w:r>
      <w:r>
        <w:rPr>
          <w:rtl w:val="true"/>
          <w:lang w:eastAsia="he-IL"/>
        </w:rPr>
        <w:t xml:space="preserve">את </w:t>
      </w:r>
      <w:r>
        <w:rPr>
          <w:rtl w:val="true"/>
          <w:lang w:eastAsia="he-IL"/>
        </w:rPr>
        <w:t xml:space="preserve">תביעת </w:t>
      </w:r>
      <w:r>
        <w:rPr>
          <w:rtl w:val="true"/>
          <w:lang w:eastAsia="he-IL"/>
        </w:rPr>
        <w:t>הדיבה ו</w:t>
      </w:r>
      <w:r>
        <w:rPr>
          <w:rtl w:val="true"/>
          <w:lang w:eastAsia="he-IL"/>
        </w:rPr>
        <w:t>בית הדין הפנה את אביה להג</w:t>
      </w:r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 xml:space="preserve"> תלונה במשטרה</w:t>
      </w:r>
      <w:r>
        <w:rPr>
          <w:rtl w:val="true"/>
          <w:lang w:eastAsia="he-IL"/>
        </w:rPr>
        <w:t>.</w:t>
      </w:r>
      <w:r>
        <w:rPr>
          <w:color w:val="FF0000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לאחר </w:t>
      </w:r>
      <w:r>
        <w:rPr>
          <w:rtl w:val="true"/>
          <w:lang w:eastAsia="he-IL"/>
        </w:rPr>
        <w:t xml:space="preserve">שממילא נחשפו </w:t>
      </w:r>
      <w:r>
        <w:rPr>
          <w:rtl w:val="true"/>
          <w:lang w:eastAsia="he-IL"/>
        </w:rPr>
        <w:t xml:space="preserve">הפגיעות שפגע </w:t>
      </w:r>
      <w:r>
        <w:rPr>
          <w:rtl w:val="true"/>
          <w:lang w:eastAsia="he-IL"/>
        </w:rPr>
        <w:t>בה ואשר הסתירה</w:t>
      </w:r>
      <w:r>
        <w:rPr>
          <w:rtl w:val="true"/>
          <w:lang w:eastAsia="he-IL"/>
        </w:rPr>
        <w:t xml:space="preserve"> במשך שנים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– לא היה עוד טעם בשתיקה ובהסתרה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מבחינת</w:t>
      </w:r>
      <w:r>
        <w:rPr>
          <w:rtl w:val="true"/>
          <w:lang w:eastAsia="he-IL"/>
        </w:rPr>
        <w:t xml:space="preserve"> המתלוננת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כפי שאמרה בעת שהגישה את </w:t>
      </w:r>
      <w:r>
        <w:rPr>
          <w:rtl w:val="true"/>
          <w:lang w:eastAsia="he-IL"/>
        </w:rPr>
        <w:t>התלונה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) – 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eastAsia="he-IL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עכשיו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ברירה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תבע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אותנו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דיבה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ממשיך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הלאה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השטויות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מעדיפה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התובעת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הנתבעת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eastAsia="he-IL"/>
        </w:rPr>
        <w:t>"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רביעית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 שהמתלוננת נפגעה</w:t>
      </w:r>
      <w:r>
        <w:rPr>
          <w:rtl w:val="true"/>
          <w:lang w:eastAsia="he-IL"/>
        </w:rPr>
        <w:t xml:space="preserve"> מינית</w:t>
      </w:r>
      <w:r>
        <w:rPr>
          <w:rtl w:val="true"/>
          <w:lang w:eastAsia="he-IL"/>
        </w:rPr>
        <w:t xml:space="preserve"> על ידי אחר</w:t>
      </w:r>
      <w:r>
        <w:rPr>
          <w:rtl w:val="true"/>
          <w:lang w:eastAsia="he-IL"/>
        </w:rPr>
        <w:t xml:space="preserve">ים </w:t>
      </w:r>
      <w:r>
        <w:rPr>
          <w:rtl w:val="true"/>
          <w:lang w:eastAsia="he-IL"/>
        </w:rPr>
        <w:t xml:space="preserve">– </w:t>
      </w:r>
      <w:r>
        <w:rPr>
          <w:rtl w:val="true"/>
          <w:lang w:eastAsia="he-IL"/>
        </w:rPr>
        <w:t xml:space="preserve">היא הייתה יכולה </w:t>
      </w:r>
      <w:r>
        <w:rPr>
          <w:rtl w:val="true"/>
          <w:lang w:eastAsia="he-IL"/>
        </w:rPr>
        <w:t xml:space="preserve">להתלונן נגדם ולא היה צורך </w:t>
      </w:r>
      <w:r>
        <w:rPr>
          <w:rtl w:val="true"/>
          <w:lang w:eastAsia="he-IL"/>
        </w:rPr>
        <w:t xml:space="preserve">שתתלונן נגד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 שהדבר נוגע בצורך להסביר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ערב מפגשי השידוכים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העובדה שאינה בתולה 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לא היה צורך בהגשת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תלונה נגד 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והיו לכך פתרונות 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חמישית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 כי</w:t>
      </w:r>
      <w:r>
        <w:rPr>
          <w:rtl w:val="true"/>
          <w:lang w:eastAsia="he-IL"/>
        </w:rPr>
        <w:t xml:space="preserve"> לא סביר </w:t>
      </w:r>
      <w:r>
        <w:rPr>
          <w:rtl w:val="true"/>
          <w:lang w:eastAsia="he-IL"/>
        </w:rPr>
        <w:t>שהמתלוננת הייתה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מטופלת ב</w:t>
      </w:r>
      <w:r>
        <w:rPr>
          <w:rtl w:val="true"/>
          <w:lang w:eastAsia="he-IL"/>
        </w:rPr>
        <w:t xml:space="preserve">טיפול </w:t>
      </w:r>
      <w:r>
        <w:rPr>
          <w:rtl w:val="true"/>
          <w:lang w:eastAsia="he-IL"/>
        </w:rPr>
        <w:t xml:space="preserve">פסיכולוגי ממושך ויקר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רק כדי לבדות עלילה בדבר אונס נגד דודה האהוב</w:t>
      </w:r>
      <w:r>
        <w:rPr>
          <w:rtl w:val="true"/>
          <w:lang w:eastAsia="he-IL"/>
        </w:rPr>
        <w:t xml:space="preserve"> ו</w:t>
      </w:r>
      <w:r>
        <w:rPr>
          <w:rtl w:val="true"/>
          <w:lang w:eastAsia="he-IL"/>
        </w:rPr>
        <w:t xml:space="preserve">כדי להסתיר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בעיית בתולין</w:t>
      </w:r>
      <w:r>
        <w:rPr>
          <w:rtl w:val="true"/>
          <w:lang w:eastAsia="he-IL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ההיגיון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'" (</w:t>
      </w:r>
      <w:hyperlink r:id="rId2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8050/17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וההפניות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31.10.2018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ולהשתלב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טיפולית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ממושכת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הסכסוך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שמישהו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וחברתה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ההדרגתית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צעיר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הסכסוך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להתלונן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הכשר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להינשא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נישואיה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החרדית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בתולין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והשלכותיה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שהטרידה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והצדיקה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טיפול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הנמקותיו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מעוגנות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בלוחות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בהעלאת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דין טענות המערער ביחס להתנהגות </w:t>
      </w:r>
      <w:r>
        <w:rPr>
          <w:rtl w:val="true"/>
        </w:rPr>
        <w:t>"</w:t>
      </w:r>
      <w:r>
        <w:rPr>
          <w:rtl w:val="true"/>
        </w:rPr>
        <w:t>המצופה</w:t>
      </w:r>
      <w:r>
        <w:rPr>
          <w:rtl w:val="true"/>
        </w:rPr>
        <w:t xml:space="preserve">" </w:t>
      </w:r>
      <w:r>
        <w:rPr>
          <w:rtl w:val="true"/>
        </w:rPr>
        <w:t xml:space="preserve">מנפגע עבירות מין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הפסיקה הכירה בכך שהתנהגותם של נפגעי עבירות מין אינה נמדדת באמות מידה רציונליות למתבונן </w:t>
      </w:r>
      <w:r>
        <w:rPr>
          <w:rtl w:val="true"/>
        </w:rPr>
        <w:t>"</w:t>
      </w:r>
      <w:r>
        <w:rPr>
          <w:rtl w:val="true"/>
        </w:rPr>
        <w:t>מן החוץ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 xml:space="preserve">וההפניות שם </w:t>
      </w:r>
      <w:r>
        <w:rPr>
          <w:rtl w:val="true"/>
        </w:rPr>
        <w:t>("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בניגוד ל</w:t>
      </w:r>
      <w:r>
        <w:rPr>
          <w:rtl w:val="true"/>
        </w:rPr>
        <w:t>'</w:t>
      </w:r>
      <w:r>
        <w:rPr>
          <w:rtl w:val="true"/>
        </w:rPr>
        <w:t>היגיון</w:t>
      </w:r>
      <w:r>
        <w:rPr>
          <w:rtl w:val="true"/>
        </w:rPr>
        <w:t xml:space="preserve">' </w:t>
      </w:r>
      <w:r>
        <w:rPr>
          <w:rtl w:val="true"/>
        </w:rPr>
        <w:t>של המתבונן מן הצד</w:t>
      </w:r>
      <w:r>
        <w:rPr>
          <w:rtl w:val="true"/>
        </w:rPr>
        <w:t xml:space="preserve">, </w:t>
      </w:r>
      <w:r>
        <w:rPr>
          <w:rtl w:val="true"/>
        </w:rPr>
        <w:t>קורבן העבירה עשוי להמשיך לחיות את חייו במחיצת התוקף ולעיתים אף להפגין כלפיו חיבה ולחפש את קרבתו</w:t>
      </w:r>
      <w:r>
        <w:rPr>
          <w:rtl w:val="true"/>
        </w:rPr>
        <w:t xml:space="preserve">");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8050/17</w:t>
        </w:r>
      </w:hyperlink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וההפניות שם </w:t>
      </w:r>
      <w:r>
        <w:rPr>
          <w:rtl w:val="true"/>
        </w:rPr>
        <w:t>("</w:t>
      </w:r>
      <w:r>
        <w:rPr>
          <w:rtl w:val="true"/>
        </w:rPr>
        <w:t>בתי המשפט הכירו</w:t>
      </w:r>
      <w:r>
        <w:rPr>
          <w:rtl w:val="true"/>
        </w:rPr>
        <w:t xml:space="preserve">, </w:t>
      </w:r>
      <w:r>
        <w:rPr>
          <w:rtl w:val="true"/>
        </w:rPr>
        <w:t>כפועל יוצא של ניסיון החיים</w:t>
      </w:r>
      <w:r>
        <w:rPr>
          <w:rtl w:val="true"/>
        </w:rPr>
        <w:t xml:space="preserve">, </w:t>
      </w:r>
      <w:r>
        <w:rPr>
          <w:rtl w:val="true"/>
        </w:rPr>
        <w:t>כי לעיתים התנהגות של קורבן עבירות מין נראית למתבונן מהצד כבלתי הגיונית או בלתי הולמת</w:t>
      </w:r>
      <w:r>
        <w:rPr>
          <w:rtl w:val="true"/>
        </w:rPr>
        <w:t xml:space="preserve">, </w:t>
      </w:r>
      <w:r>
        <w:rPr>
          <w:rtl w:val="true"/>
        </w:rPr>
        <w:t>ואין הדבר מעיד על כך שגרסת הקורבן אינה אמת</w:t>
      </w:r>
      <w:r>
        <w:rPr>
          <w:rtl w:val="true"/>
        </w:rPr>
        <w:t xml:space="preserve">"). </w:t>
      </w:r>
      <w:r>
        <w:rPr>
          <w:rtl w:val="true"/>
        </w:rPr>
        <w:t>אין בסיס לטענת המערער</w:t>
      </w:r>
      <w:r>
        <w:rPr>
          <w:rtl w:val="true"/>
        </w:rPr>
        <w:t xml:space="preserve">, </w:t>
      </w:r>
      <w:r>
        <w:rPr>
          <w:rtl w:val="true"/>
        </w:rPr>
        <w:t>לפיה צחוק אקראי של המתלוננת בעת מסירת הודעותיה במשטרה או במהלך העימות מלמד כי היא לא נפגעה מינית</w:t>
      </w:r>
      <w:r>
        <w:rPr>
          <w:rtl w:val="true"/>
        </w:rPr>
        <w:t xml:space="preserve">. </w:t>
      </w:r>
      <w:r>
        <w:rPr>
          <w:rtl w:val="true"/>
        </w:rPr>
        <w:t>גם אין בסיס לניסיון המערער להיבנות משמירת הקשר ה</w:t>
      </w:r>
      <w:r>
        <w:rPr>
          <w:rtl w:val="true"/>
        </w:rPr>
        <w:t>"</w:t>
      </w:r>
      <w:r>
        <w:rPr>
          <w:rtl w:val="true"/>
        </w:rPr>
        <w:t>ידידותי</w:t>
      </w:r>
      <w:r>
        <w:rPr>
          <w:rtl w:val="true"/>
        </w:rPr>
        <w:t xml:space="preserve">" </w:t>
      </w:r>
      <w:r>
        <w:rPr>
          <w:rtl w:val="true"/>
        </w:rPr>
        <w:t>עמו לכאורה</w:t>
      </w:r>
      <w:r>
        <w:rPr>
          <w:rtl w:val="true"/>
        </w:rPr>
        <w:t xml:space="preserve">.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הקשר עליו שמרה המתלוננת היה קשר </w:t>
      </w:r>
      <w:r>
        <w:rPr>
          <w:rtl w:val="true"/>
        </w:rPr>
        <w:t>"</w:t>
      </w:r>
      <w:r>
        <w:rPr>
          <w:rtl w:val="true"/>
        </w:rPr>
        <w:t>מרחוק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ללא סיכון</w:t>
      </w:r>
      <w:r>
        <w:rPr>
          <w:rtl w:val="true"/>
        </w:rPr>
        <w:t xml:space="preserve">" </w:t>
      </w:r>
      <w:r>
        <w:rPr>
          <w:rtl w:val="true"/>
        </w:rPr>
        <w:t>כפי שנקבע</w:t>
      </w:r>
      <w:r>
        <w:rPr>
          <w:rtl w:val="true"/>
        </w:rPr>
        <w:t xml:space="preserve">, </w:t>
      </w:r>
      <w:r>
        <w:rPr>
          <w:rtl w:val="true"/>
        </w:rPr>
        <w:t>שתכליתו למנוע מבני משפחתה לדעת על ביצוע המעשים המיניים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כאשר המתלוננת הגיעה לבקר את המערער במקום מגוריו בניו יורק</w:t>
      </w:r>
      <w:r>
        <w:rPr>
          <w:rtl w:val="true"/>
        </w:rPr>
        <w:t xml:space="preserve">, </w:t>
      </w:r>
      <w:r>
        <w:rPr>
          <w:rtl w:val="true"/>
        </w:rPr>
        <w:t>היא נמנעה במכוון מללכת לשם לבדה</w:t>
      </w:r>
      <w:r>
        <w:rPr>
          <w:rtl w:val="true"/>
        </w:rPr>
        <w:t xml:space="preserve">, </w:t>
      </w:r>
      <w:r>
        <w:rPr>
          <w:rtl w:val="true"/>
        </w:rPr>
        <w:t>ללא ליווי חברות</w:t>
      </w:r>
      <w:r>
        <w:rPr>
          <w:rtl w:val="true"/>
        </w:rPr>
        <w:t xml:space="preserve">, </w:t>
      </w:r>
      <w:r>
        <w:rPr>
          <w:rtl w:val="true"/>
        </w:rPr>
        <w:t>וזאת כדי לא להישאר עמו ביחידות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באמינותה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לקורבנות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לכבישתה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ובקטינים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hyperlink r:id="rId2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hyperlink r:id="rId3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3958/08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משעסקינן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החרדית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כממצא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אסורים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כרגיל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זקוקה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כבישת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שלעדות המתלוננת לא נדרש סיוע או חיזוק</w:t>
      </w:r>
      <w:r>
        <w:rPr>
          <w:rtl w:val="true"/>
        </w:rPr>
        <w:t xml:space="preserve">, </w:t>
      </w:r>
      <w:r>
        <w:rPr>
          <w:rtl w:val="true"/>
        </w:rPr>
        <w:t>בית המשפט המחוזי בחן את הגיונה הפנימי של העדות ומצא אף ראיות המחזקות את עדותה של המתלוננת</w:t>
      </w:r>
      <w:r>
        <w:rPr>
          <w:rtl w:val="true"/>
        </w:rPr>
        <w:t xml:space="preserve">. </w:t>
      </w:r>
      <w:r>
        <w:rPr>
          <w:rtl w:val="true"/>
        </w:rPr>
        <w:t>לאחר בחינת הראיות המחזקות</w:t>
      </w:r>
      <w:r>
        <w:rPr>
          <w:rtl w:val="true"/>
        </w:rPr>
        <w:t xml:space="preserve">, </w:t>
      </w:r>
      <w:r>
        <w:rPr>
          <w:rtl w:val="true"/>
        </w:rPr>
        <w:t>לא נמצאה כל עילה מבוררת להתערבות בממצאים שנקבעו ביחס אליהן</w:t>
      </w:r>
      <w:r>
        <w:rPr>
          <w:rtl w:val="true"/>
        </w:rPr>
        <w:t xml:space="preserve">, </w:t>
      </w:r>
      <w:r>
        <w:rPr>
          <w:rtl w:val="true"/>
        </w:rPr>
        <w:t>כמפורט להלן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החברה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מהימנה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מרכזי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ששמעה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מינית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בתולה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חשיבותה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בסמיכות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זמנים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לפגיעה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פרוץ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הסכסוך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המשפחתי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השידוכים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המהוו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מניע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אפשרי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עלילה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נדודי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ממנה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יורק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נסעה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ביחידות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לארץ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שתזדקק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חתונה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שקישרה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שליוותה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טיפולים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מפגשי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קשה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מעורבת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בחיי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ארוכה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שמעה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האירועים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אמצעי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החברה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נותק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נישואיה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קשורה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אינטרס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לשקר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להעליל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צמודה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בזמנים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דאגה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והתלוותה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הטיפולים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  <w:lang w:eastAsia="he-IL"/>
        </w:rPr>
      </w:pP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הרב</w:t>
      </w:r>
      <w:r>
        <w:rPr>
          <w:rFonts w:cs="Miriam" w:ascii="Century" w:hAnsi="Century"/>
          <w:b/>
          <w:sz w:val="22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הפנייה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נעשתה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ביוזמת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החברה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הפנייה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כאמצעי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הכשר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להינשא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רלוונטי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הנושא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פגועה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חשד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סיפור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האונס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הבתולין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בחורה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מספרת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שקיימה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יחסי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נישואין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סיפור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חייבת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לחתן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בגלל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בתולין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בגלל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טראומה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ומצלקת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מקעקע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להסתיר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בתולה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מינית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כשהדברים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נאמר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בזיקה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נישואין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כזו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תביע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בפנייה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עלילה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הקשורה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בתביע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הדיבה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ממצוקתה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לעדותה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שעוסקת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בנפגעי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טיפלה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וחצי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lang w:eastAsia="he-IL"/>
        </w:rPr>
        <w:t>35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מפגשים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ומכתב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להורי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שמו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חשובה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הטיפולים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ממושכת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שיתפה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מטופלת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קשה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דיברה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משפת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הגוף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הרבתה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להשתמש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הצבעה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איברי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ותנועות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גוף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לבטא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רגשותיה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שחוותה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התרשמה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חסרת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בטחון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מוגנת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פסיכולוגית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ונזקקה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לחבר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לקביים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";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שהתרשמה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מאוד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הפסיכולוגית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התרשמה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כעס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רב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מנסה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להסתיר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בהצלחה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מחיר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רגשי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כבד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משתמשת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במנגנוני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הדחקה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והכחשה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מנגנונים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הדורשים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אנרגיה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נפשית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רבה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חוסר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ובאנשים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בגידה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".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תלויה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בח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המפגשים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הטיפוליים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התנהלו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בנוכחות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החברה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הוריה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ההורים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ידעו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מאוחר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יחסית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גילתה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שידוכים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בהמשך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זקוקה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חתונה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הפרק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שבתות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נסבלות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הטיפולים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התפרצויות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וכעסים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שליטה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מבחוץ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יכלו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להבחין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סימנים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שהעידו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הובנו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בדיעבד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: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סירוב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להינשא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לילות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חריגה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התיכון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לגביה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הרכזת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החינוכית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לומדת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משהו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שמה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יודעת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משהו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בתקופת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והגדיר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טירוף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ועצבנות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השנים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תומכ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מינית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הנוגעות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מצבה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הנפשי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הופיעו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הפגיעה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ילדה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קטנה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בהמשך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נישואיו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התבגרותה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מיניות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הטיפול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שוללות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להסתיר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מערערת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בהסכמה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מסייעת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3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6080/20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וההפניות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overflowPunct w:val="true"/>
        <w:autoSpaceDE w:val="true"/>
        <w:spacing w:lineRule="auto" w:line="360" w:before="0" w:after="0"/>
        <w:ind w:firstLine="425" w:end="0"/>
        <w:contextualSpacing/>
        <w:jc w:val="both"/>
        <w:textAlignment w:val="auto"/>
        <w:rPr>
          <w:rFonts w:ascii="Century" w:hAnsi="Century" w:cs="FrankRuehl"/>
          <w:spacing w:val="10"/>
          <w:szCs w:val="28"/>
          <w:lang w:eastAsia="he-IL"/>
        </w:rPr>
      </w:pP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המכתבים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ל</w:t>
      </w:r>
      <w:r>
        <w:rPr>
          <w:rFonts w:cs="Miriam" w:ascii="Century" w:hAnsi="Century"/>
          <w:b/>
          <w:sz w:val="22"/>
          <w:rtl w:val="true"/>
          <w:lang w:eastAsia="he-IL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רבי</w:t>
      </w:r>
      <w:r>
        <w:rPr>
          <w:rFonts w:cs="Miriam" w:ascii="Century" w:hAnsi="Century"/>
          <w:b/>
          <w:sz w:val="22"/>
          <w:rtl w:val="true"/>
          <w:lang w:eastAsia="he-IL"/>
        </w:rPr>
        <w:t>'</w:t>
      </w:r>
      <w:r>
        <w:rPr>
          <w:rFonts w:cs="FrankRuehl" w:ascii="Century" w:hAnsi="Century"/>
          <w:spacing w:val="10"/>
          <w:szCs w:val="28"/>
          <w:rtl w:val="true"/>
          <w:lang w:eastAsia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eastAsia="he-IL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  <w:lang w:eastAsia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נכתבו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הדפים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והכתוב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עוגן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המשלימה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סירבה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שעסק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שתוארו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הכתוב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בתוספת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וזאת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משיקולי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שמירה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הפרטיות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מתוארות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הזכירה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מהחלקים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המתארים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המתוארות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שפגעו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נחשפו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הכתוב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מתגוננת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לשמור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פרטיותה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מנוע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פרסום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רלוונטיים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תלונה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חוששת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מהדלפת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חלקים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מעדותה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הימנעותה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הנוספים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תשובותיה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הכחשת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פוגעות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במהימנותה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הסתירה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שחוותה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חשפה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בודדים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זכותה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לבחור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אחרות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שנעשו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שתיקה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מכחישה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לח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הנוספות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נתון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שייזקף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לחובתה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נקבע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המתלוננת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התכוונה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להגיש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תלונה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בעניינו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המערער</w:t>
      </w:r>
      <w:r>
        <w:rPr>
          <w:rFonts w:cs="Miriam" w:ascii="Century" w:hAnsi="Century"/>
          <w:b/>
          <w:sz w:val="22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והתלונה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מוגשת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אלמלא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הגיש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תביע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הדיבה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נגדה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מקימה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התערבבו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מייחסת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בטעות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שפגעו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המיוחסים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ממוקדים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הבהירה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הוסיפה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שהיו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העצימה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התלונ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כלפי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המפורטים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בדפים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גרסתה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התכוונה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למשטרה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הפסיכולוגית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מכאן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בכוונת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לטעון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מהודעתה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  <w:lang w:eastAsia="he-IL"/>
        </w:rPr>
      </w:pP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מקובלות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עליי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ובתלונה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שהגישה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ייחסה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המתוארות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  <w:lang w:eastAsia="he-IL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  <w:lang w:eastAsia="he-IL"/>
        </w:rPr>
        <w:t>דפים</w:t>
      </w:r>
      <w:r>
        <w:rPr>
          <w:rFonts w:cs="FrankRuehl" w:ascii="Garamond" w:hAnsi="Garamond"/>
          <w:spacing w:val="10"/>
          <w:sz w:val="24"/>
          <w:szCs w:val="28"/>
          <w:rtl w:val="true"/>
          <w:lang w:eastAsia="he-IL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רלוונטיות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שמטרתו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הטיפול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ונועדו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להתמודד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שהציפו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על 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 שוכנע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כי נפלה טעות בממצאים שקבע בית משפט קמא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המבוססים כדבעי על העדויות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הראיות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tl w:val="true"/>
        </w:rPr>
        <w:t>ממצאי העובדה והמהימנות שנקבעו מבססים היטב את המסקנה המרשיעה ואין עילה להתערב בהם</w:t>
      </w:r>
      <w:r>
        <w:rPr>
          <w:rtl w:val="true"/>
        </w:rPr>
        <w:t xml:space="preserve">. </w:t>
      </w:r>
      <w:r>
        <w:rPr>
          <w:rtl w:val="true"/>
        </w:rPr>
        <w:t>בדין הורשע אפוא המערער בעבירות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הכרעת הדין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4"/>
        </w:rPr>
      </w:pPr>
      <w:r>
        <w:rPr>
          <w:rFonts w:ascii="Century" w:hAnsi="Century" w:cs="Miriam"/>
          <w:b/>
          <w:b/>
          <w:sz w:val="24"/>
          <w:sz w:val="24"/>
          <w:rtl w:val="true"/>
        </w:rPr>
        <w:t>הערעור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על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גזר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הלכה היא כי ערכאת הערעור לא תתערב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עונש </w:t>
      </w:r>
      <w:r>
        <w:rPr>
          <w:rtl w:val="true"/>
        </w:rPr>
        <w:t>שהטילה</w:t>
      </w:r>
      <w:r>
        <w:rPr>
          <w:rtl w:val="true"/>
        </w:rPr>
        <w:t xml:space="preserve"> הערכאה הדיונית</w:t>
      </w:r>
      <w:r>
        <w:rPr>
          <w:rtl w:val="true"/>
        </w:rPr>
        <w:t xml:space="preserve"> אלא בנסיבות חריגות שבהן נפלה בגזר דינה של הערכאה הדיונית טעות מהותית הבולטת על פניה או שהעונש חורג באופן קיצוני מרמת הענישה המקובלת או הראויה בנסיבות דומות</w:t>
      </w:r>
      <w:r>
        <w:rPr>
          <w:sz w:val="28"/>
          <w:sz w:val="28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28.9.2014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המערער פגע פגיעות מיניות חמורות ובאופן ממושך בבת אחותו הקטינה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 xml:space="preserve">העונש אשר הושת על המערער אינו מצדיק התערבות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5842/15</w:t>
        </w:r>
      </w:hyperlink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וההפניות שם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 xml:space="preserve">ל חומרתם היתרה של </w:t>
      </w:r>
      <w:r>
        <w:rPr>
          <w:rtl w:val="true"/>
        </w:rPr>
        <w:t>עבירות</w:t>
      </w:r>
      <w:r>
        <w:rPr>
          <w:rtl w:val="true"/>
        </w:rPr>
        <w:t xml:space="preserve"> מין במשפחה</w:t>
      </w:r>
      <w:r>
        <w:rPr>
          <w:rtl w:val="true"/>
        </w:rPr>
        <w:t xml:space="preserve"> ועל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לגביהם ו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 </w:t>
      </w:r>
      <w:r>
        <w:rPr>
          <w:rtl w:val="true"/>
        </w:rPr>
        <w:t>הנלווית</w:t>
      </w:r>
      <w:r>
        <w:rPr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72-71</w:t>
      </w:r>
      <w:r>
        <w:rPr>
          <w:rtl w:val="true"/>
        </w:rPr>
        <w:t xml:space="preserve"> </w:t>
      </w:r>
      <w:r>
        <w:rPr>
          <w:rtl w:val="true"/>
        </w:rPr>
        <w:t>וההפניות שם</w:t>
      </w:r>
      <w:r>
        <w:rPr>
          <w:rtl w:val="true"/>
        </w:rPr>
        <w:t xml:space="preserve">). </w:t>
      </w:r>
      <w:r>
        <w:rPr>
          <w:rtl w:val="true"/>
        </w:rPr>
        <w:t>המערער אף לא נטל אחריות על מעשיו ולא הביע כל חרטה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מהיבט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קמה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עילה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9882/17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(</w:t>
      </w:r>
      <w:r>
        <w:rPr/>
        <w:t>16.4.2019</w:t>
      </w:r>
      <w:r>
        <w:rPr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שני חלקיו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ברון</w:t>
      </w:r>
      <w:r>
        <w:rPr>
          <w:rFonts w:cs="Miriam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אלרון</w:t>
      </w:r>
      <w:r>
        <w:rPr>
          <w:rFonts w:cs="Miriam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2.1.2022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" w:cs="Arial TUR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בכסלו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2.12.2021</w:t>
      </w:r>
      <w:r>
        <w:rPr>
          <w:rFonts w:cs="Century" w:ascii="Century" w:hAnsi="Century"/>
          <w:rtl w:val="true"/>
        </w:rPr>
        <w:t xml:space="preserve">). </w:t>
      </w:r>
      <w:bookmarkEnd w:id="15"/>
    </w:p>
    <w:p>
      <w:pPr>
        <w:pStyle w:val="Ruller42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19081200</w:t>
      </w:r>
      <w:r>
        <w:rPr>
          <w:sz w:val="16"/>
          <w:rtl w:val="true"/>
        </w:rPr>
        <w:t>_</w:t>
      </w:r>
      <w:r>
        <w:rPr>
          <w:sz w:val="16"/>
        </w:rPr>
        <w:t>Q12.docx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Style w:val="Hyperlink"/>
          <w:rFonts w:ascii="David" w:hAnsi="David" w:cs="David"/>
          <w:color w:val="000000"/>
          <w:szCs w:val="22"/>
          <w:u w:val="none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>
          <w:rStyle w:val="Hyperlink"/>
          <w:rFonts w:ascii="David" w:hAnsi="David" w:cs="David"/>
          <w:sz w:val="16"/>
          <w:szCs w:val="22"/>
        </w:rPr>
      </w:pPr>
      <w:r>
        <w:rPr>
          <w:rtl w:val="true"/>
        </w:rPr>
      </w:r>
    </w:p>
    <w:p>
      <w:pPr>
        <w:pStyle w:val="Ruller381"/>
        <w:ind w:end="0"/>
        <w:jc w:val="center"/>
        <w:rPr>
          <w:rStyle w:val="Hyperlink"/>
          <w:sz w:val="16"/>
          <w:szCs w:val="24"/>
        </w:rPr>
      </w:pPr>
      <w:hyperlink r:id="rId36">
        <w:r>
          <w:rPr>
            <w:rStyle w:val="Hyperlink"/>
            <w:sz w:val="16"/>
            <w:sz w:val="16"/>
            <w:szCs w:val="24"/>
            <w:rtl w:val="true"/>
          </w:rPr>
          <w:t>בעניין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עריכה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ושינויים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במסמכי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פסיקה</w:t>
        </w:r>
        <w:r>
          <w:rPr>
            <w:rStyle w:val="Hyperlink"/>
            <w:sz w:val="16"/>
            <w:szCs w:val="24"/>
            <w:rtl w:val="true"/>
          </w:rPr>
          <w:t xml:space="preserve">, </w:t>
        </w:r>
        <w:r>
          <w:rPr>
            <w:rStyle w:val="Hyperlink"/>
            <w:sz w:val="16"/>
            <w:sz w:val="16"/>
            <w:szCs w:val="24"/>
            <w:rtl w:val="true"/>
          </w:rPr>
          <w:t>חקיקה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ועוד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באתר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נבו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–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הקש</w:t>
        </w:r>
        <w:r>
          <w:rPr>
            <w:rStyle w:val="Hyperlink"/>
            <w:rFonts w:cs="Times New Roman"/>
            <w:sz w:val="16"/>
            <w:sz w:val="16"/>
            <w:szCs w:val="24"/>
            <w:rtl w:val="true"/>
          </w:rPr>
          <w:t xml:space="preserve"> </w:t>
        </w:r>
        <w:r>
          <w:rPr>
            <w:rStyle w:val="Hyperlink"/>
            <w:sz w:val="16"/>
            <w:sz w:val="16"/>
            <w:szCs w:val="24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Style w:val="Hyperlink"/>
          <w:rFonts w:ascii="David" w:hAnsi="David" w:cs="David"/>
          <w:color w:val="000000"/>
          <w:sz w:val="16"/>
          <w:szCs w:val="22"/>
          <w:u w:val="none"/>
        </w:rPr>
      </w:pPr>
      <w:r>
        <w:rPr>
          <w:rtl w:val="true"/>
        </w:rPr>
      </w:r>
    </w:p>
    <w:p>
      <w:pPr>
        <w:pStyle w:val="Ruller381"/>
        <w:keepNext w:val="true"/>
        <w:ind w:end="0"/>
        <w:jc w:val="start"/>
        <w:rPr/>
      </w:pPr>
      <w:r>
        <w:rPr>
          <w:rStyle w:val="Hyperlink"/>
          <w:rFonts w:ascii="David" w:hAnsi="David"/>
          <w:color w:val="000000"/>
          <w:szCs w:val="22"/>
          <w:u w:val="none"/>
          <w:rtl w:val="true"/>
        </w:rPr>
        <w:t>ע</w:t>
      </w:r>
      <w:r>
        <w:rPr>
          <w:rStyle w:val="Hyperlink"/>
          <w:rFonts w:cs="David" w:ascii="David" w:hAnsi="David"/>
          <w:color w:val="000000"/>
          <w:szCs w:val="22"/>
          <w:u w:val="none"/>
          <w:rtl w:val="true"/>
        </w:rPr>
        <w:t xml:space="preserve">' </w:t>
      </w:r>
      <w:r>
        <w:rPr>
          <w:rStyle w:val="Hyperlink"/>
          <w:rFonts w:ascii="David" w:hAnsi="David"/>
          <w:color w:val="000000"/>
          <w:szCs w:val="22"/>
          <w:u w:val="none"/>
          <w:rtl w:val="true"/>
        </w:rPr>
        <w:t xml:space="preserve">ברון </w:t>
      </w:r>
      <w:r>
        <w:rPr>
          <w:rStyle w:val="Hyperlink"/>
          <w:rFonts w:cs="David" w:ascii="David" w:hAnsi="David"/>
          <w:color w:val="000000"/>
          <w:szCs w:val="22"/>
          <w:u w:val="none"/>
        </w:rPr>
        <w:t>54678313-8120/19</w:t>
      </w:r>
    </w:p>
    <w:p>
      <w:pPr>
        <w:pStyle w:val="Ruller381"/>
        <w:ind w:end="0"/>
        <w:jc w:val="start"/>
        <w:rPr/>
      </w:pPr>
      <w:r>
        <w:rPr>
          <w:rStyle w:val="Hyperlink"/>
          <w:color w:val="000000"/>
          <w:sz w:val="16"/>
          <w:sz w:val="16"/>
          <w:szCs w:val="24"/>
          <w:rtl w:val="true"/>
        </w:rPr>
        <w:t>נוסח</w:t>
      </w:r>
      <w:r>
        <w:rPr>
          <w:rStyle w:val="Hyperlink"/>
          <w:rFonts w:cs="Times New Roman"/>
          <w:color w:val="000000"/>
          <w:sz w:val="16"/>
          <w:sz w:val="16"/>
          <w:szCs w:val="24"/>
          <w:rtl w:val="true"/>
        </w:rPr>
        <w:t xml:space="preserve"> </w:t>
      </w:r>
      <w:r>
        <w:rPr>
          <w:rStyle w:val="Hyperlink"/>
          <w:color w:val="000000"/>
          <w:sz w:val="16"/>
          <w:sz w:val="16"/>
          <w:szCs w:val="24"/>
          <w:rtl w:val="true"/>
        </w:rPr>
        <w:t>מסמך</w:t>
      </w:r>
      <w:r>
        <w:rPr>
          <w:rStyle w:val="Hyperlink"/>
          <w:rFonts w:cs="Times New Roman"/>
          <w:color w:val="000000"/>
          <w:sz w:val="16"/>
          <w:sz w:val="16"/>
          <w:szCs w:val="24"/>
          <w:rtl w:val="true"/>
        </w:rPr>
        <w:t xml:space="preserve"> </w:t>
      </w:r>
      <w:r>
        <w:rPr>
          <w:rStyle w:val="Hyperlink"/>
          <w:color w:val="000000"/>
          <w:sz w:val="16"/>
          <w:sz w:val="16"/>
          <w:szCs w:val="24"/>
          <w:rtl w:val="true"/>
        </w:rPr>
        <w:t>זה</w:t>
      </w:r>
      <w:r>
        <w:rPr>
          <w:rStyle w:val="Hyperlink"/>
          <w:rFonts w:cs="Times New Roman"/>
          <w:color w:val="000000"/>
          <w:sz w:val="16"/>
          <w:sz w:val="16"/>
          <w:szCs w:val="24"/>
          <w:rtl w:val="true"/>
        </w:rPr>
        <w:t xml:space="preserve"> </w:t>
      </w:r>
      <w:r>
        <w:rPr>
          <w:rStyle w:val="Hyperlink"/>
          <w:color w:val="000000"/>
          <w:sz w:val="16"/>
          <w:sz w:val="16"/>
          <w:szCs w:val="24"/>
          <w:rtl w:val="true"/>
        </w:rPr>
        <w:t>כפוף</w:t>
      </w:r>
      <w:r>
        <w:rPr>
          <w:rStyle w:val="Hyperlink"/>
          <w:rFonts w:cs="Times New Roman"/>
          <w:color w:val="000000"/>
          <w:sz w:val="16"/>
          <w:sz w:val="16"/>
          <w:szCs w:val="24"/>
          <w:rtl w:val="true"/>
        </w:rPr>
        <w:t xml:space="preserve"> </w:t>
      </w:r>
      <w:r>
        <w:rPr>
          <w:rStyle w:val="Hyperlink"/>
          <w:color w:val="000000"/>
          <w:sz w:val="16"/>
          <w:sz w:val="16"/>
          <w:szCs w:val="24"/>
          <w:rtl w:val="true"/>
        </w:rPr>
        <w:t>לשינויי</w:t>
      </w:r>
      <w:r>
        <w:rPr>
          <w:rStyle w:val="Hyperlink"/>
          <w:rFonts w:cs="Times New Roman"/>
          <w:color w:val="000000"/>
          <w:sz w:val="16"/>
          <w:sz w:val="16"/>
          <w:szCs w:val="24"/>
          <w:rtl w:val="true"/>
        </w:rPr>
        <w:t xml:space="preserve"> </w:t>
      </w:r>
      <w:r>
        <w:rPr>
          <w:rStyle w:val="Hyperlink"/>
          <w:color w:val="000000"/>
          <w:sz w:val="16"/>
          <w:sz w:val="16"/>
          <w:szCs w:val="24"/>
          <w:rtl w:val="true"/>
        </w:rPr>
        <w:t>ניסוח</w:t>
      </w:r>
      <w:r>
        <w:rPr>
          <w:rStyle w:val="Hyperlink"/>
          <w:rFonts w:cs="Times New Roman"/>
          <w:color w:val="000000"/>
          <w:sz w:val="16"/>
          <w:sz w:val="16"/>
          <w:szCs w:val="24"/>
          <w:rtl w:val="true"/>
        </w:rPr>
        <w:t xml:space="preserve"> </w:t>
      </w:r>
      <w:r>
        <w:rPr>
          <w:rStyle w:val="Hyperlink"/>
          <w:color w:val="000000"/>
          <w:sz w:val="16"/>
          <w:sz w:val="16"/>
          <w:szCs w:val="24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8120/19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משה יצחק וייספיש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6"/>
        <w:sz w:val="16"/>
        <w:spacing w:val="10"/>
        <w:i w:val="false"/>
        <w:shadow w:val="false"/>
        <w:u w:val="none"/>
        <w:b w:val="false"/>
        <w:kern w:val="0"/>
        <w:szCs w:val="22"/>
        <w:iCs w:val="false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360" w:before="240" w:after="60"/>
      <w:outlineLvl w:val="4"/>
    </w:pPr>
    <w:rPr>
      <w:rFonts w:ascii="Calibri" w:hAnsi="Calibri" w:cs="Arial"/>
      <w:b/>
      <w:bCs/>
      <w:i/>
      <w:iCs/>
      <w:spacing w:val="10"/>
      <w:sz w:val="26"/>
      <w:szCs w:val="2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b w:val="false"/>
      <w:color w:val="000000"/>
      <w:sz w:val="28"/>
    </w:rPr>
  </w:style>
  <w:style w:type="character" w:styleId="WW8Num12z0">
    <w:name w:val="WW8Num12z0"/>
    <w:qFormat/>
    <w:rPr>
      <w:rFonts w:cs="Times New Roman"/>
      <w:b w:val="false"/>
      <w:bCs w:val="false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ascii="Arial TUR" w:hAnsi="Arial TUR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16"/>
      <w:sz w:val="16"/>
      <w:szCs w:val="22"/>
      <w:u w:val="none"/>
      <w:vertAlign w:val="baseline"/>
      <w:lang w:val="en-US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FrankRuehl" w:hAnsi="FrankRuehl" w:eastAsia="Times New Roman" w:cs="FrankRueh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Century" w:hAnsi="Century" w:cs="Century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4">
    <w:name w:val=" Char Char4"/>
    <w:qFormat/>
    <w:rPr>
      <w:rFonts w:cs="David"/>
    </w:rPr>
  </w:style>
  <w:style w:type="character" w:styleId="CharChar3">
    <w:name w:val=" Char Char3"/>
    <w:qFormat/>
    <w:rPr>
      <w:rFonts w:cs="David"/>
      <w:b/>
      <w:bCs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6">
    <w:name w:val=" Char Char6"/>
    <w:qFormat/>
    <w:rPr>
      <w:rFonts w:ascii="Calibri" w:hAnsi="Calibri" w:cs="Arial"/>
      <w:b/>
      <w:bCs/>
      <w:i/>
      <w:iCs/>
      <w:spacing w:val="10"/>
      <w:sz w:val="26"/>
      <w:szCs w:val="26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1">
    <w:name w:val="חזק1"/>
    <w:qFormat/>
    <w:rPr>
      <w:rFonts w:cs="FrankRuehl"/>
    </w:rPr>
  </w:style>
  <w:style w:type="character" w:styleId="big-number">
    <w:name w:val="big-number"/>
    <w:qFormat/>
    <w:rPr/>
  </w:style>
  <w:style w:type="character" w:styleId="P00">
    <w:name w:val="P00 תו"/>
    <w:qFormat/>
    <w:rPr>
      <w:szCs w:val="26"/>
      <w:lang w:val="en-IL" w:eastAsia="en-IL"/>
    </w:rPr>
  </w:style>
  <w:style w:type="character" w:styleId="CharChar5">
    <w:name w:val=" Char Char5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EndnoteText">
    <w:name w:val="end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FootnoteText">
    <w:name w:val="foot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11">
    <w:name w:val="סגנון1"/>
    <w:basedOn w:val="Normal"/>
    <w:qFormat/>
    <w:pPr>
      <w:spacing w:lineRule="auto" w:line="360"/>
      <w:jc w:val="both"/>
      <w:textAlignment w:val="auto"/>
    </w:pPr>
    <w:rPr>
      <w:rFonts w:ascii="Century" w:hAnsi="Century" w:cs="Times New Roman"/>
      <w:spacing w:val="10"/>
      <w:sz w:val="22"/>
      <w:szCs w:val="22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NormalWeb">
    <w:name w:val="Normal (Web)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001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0011">
    <w:name w:val="P001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221">
    <w:name w:val="P221"/>
    <w:basedOn w:val="P0011"/>
    <w:qFormat/>
    <w:pPr>
      <w:ind w:hanging="0" w:start="2835" w:end="102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9087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51.a" TargetMode="External"/><Relationship Id="rId6" Type="http://schemas.openxmlformats.org/officeDocument/2006/relationships/hyperlink" Target="http://www.nevo.co.il/law/70301/351.c.1" TargetMode="External"/><Relationship Id="rId7" Type="http://schemas.openxmlformats.org/officeDocument/2006/relationships/hyperlink" Target="http://www.nevo.co.il/law/98569" TargetMode="External"/><Relationship Id="rId8" Type="http://schemas.openxmlformats.org/officeDocument/2006/relationships/hyperlink" Target="http://www.nevo.co.il/law/98569/54a" TargetMode="External"/><Relationship Id="rId9" Type="http://schemas.openxmlformats.org/officeDocument/2006/relationships/hyperlink" Target="http://www.nevo.co.il/case/18790873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51.a" TargetMode="External"/><Relationship Id="rId13" Type="http://schemas.openxmlformats.org/officeDocument/2006/relationships/hyperlink" Target="http://www.nevo.co.il/law/70301/351.c.1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case/20559680" TargetMode="External"/><Relationship Id="rId18" Type="http://schemas.openxmlformats.org/officeDocument/2006/relationships/hyperlink" Target="http://www.nevo.co.il/case/24156665" TargetMode="External"/><Relationship Id="rId19" Type="http://schemas.openxmlformats.org/officeDocument/2006/relationships/hyperlink" Target="http://www.nevo.co.il/case/6246452" TargetMode="External"/><Relationship Id="rId20" Type="http://schemas.openxmlformats.org/officeDocument/2006/relationships/hyperlink" Target="http://www.nevo.co.il/case/20687345" TargetMode="External"/><Relationship Id="rId21" Type="http://schemas.openxmlformats.org/officeDocument/2006/relationships/hyperlink" Target="http://www.nevo.co.il/law/98569/54a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case/22302916" TargetMode="External"/><Relationship Id="rId24" Type="http://schemas.openxmlformats.org/officeDocument/2006/relationships/hyperlink" Target="http://www.nevo.co.il/case/6248755" TargetMode="External"/><Relationship Id="rId25" Type="http://schemas.openxmlformats.org/officeDocument/2006/relationships/hyperlink" Target="http://www.nevo.co.il/case/6245326" TargetMode="External"/><Relationship Id="rId26" Type="http://schemas.openxmlformats.org/officeDocument/2006/relationships/hyperlink" Target="http://www.nevo.co.il/case/23354200" TargetMode="External"/><Relationship Id="rId27" Type="http://schemas.openxmlformats.org/officeDocument/2006/relationships/hyperlink" Target="http://www.nevo.co.il/case/6246452" TargetMode="External"/><Relationship Id="rId28" Type="http://schemas.openxmlformats.org/officeDocument/2006/relationships/hyperlink" Target="http://www.nevo.co.il/case/23354200" TargetMode="External"/><Relationship Id="rId29" Type="http://schemas.openxmlformats.org/officeDocument/2006/relationships/hyperlink" Target="http://www.nevo.co.il/case/6246452" TargetMode="External"/><Relationship Id="rId30" Type="http://schemas.openxmlformats.org/officeDocument/2006/relationships/hyperlink" Target="http://www.nevo.co.il/case/6245326" TargetMode="External"/><Relationship Id="rId31" Type="http://schemas.openxmlformats.org/officeDocument/2006/relationships/hyperlink" Target="http://www.nevo.co.il/case/26964729" TargetMode="External"/><Relationship Id="rId32" Type="http://schemas.openxmlformats.org/officeDocument/2006/relationships/hyperlink" Target="http://www.nevo.co.il/case/13055082" TargetMode="External"/><Relationship Id="rId33" Type="http://schemas.openxmlformats.org/officeDocument/2006/relationships/hyperlink" Target="http://www.nevo.co.il/case/20559680" TargetMode="External"/><Relationship Id="rId34" Type="http://schemas.openxmlformats.org/officeDocument/2006/relationships/hyperlink" Target="http://www.nevo.co.il/case/23507393" TargetMode="External"/><Relationship Id="rId35" Type="http://schemas.openxmlformats.org/officeDocument/2006/relationships/hyperlink" Target="https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2022-01-11T09:29:00Z</dcterms:created>
  <dc:creator>h4</dc:creator>
  <dc:description/>
  <cp:keywords/>
  <dc:language>en-IL</dc:language>
  <cp:lastModifiedBy>hofit</cp:lastModifiedBy>
  <cp:lastPrinted>2021-12-02T16:02:00Z</cp:lastPrinted>
  <dcterms:modified xsi:type="dcterms:W3CDTF">2022-01-11T09:29:00Z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יצחק וייספיש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18790873:2;20559680:2;24156665;6246452:3;20687345;22302916;6248755;6245326:2;23354200:2;26964729;13055082;23507393</vt:lpwstr>
  </property>
  <property fmtid="{D5CDD505-2E9C-101B-9397-08002B2CF9AE}" pid="9" name="CITY">
    <vt:lpwstr/>
  </property>
  <property fmtid="{D5CDD505-2E9C-101B-9397-08002B2CF9AE}" pid="10" name="DATE">
    <vt:lpwstr>20211202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ברון;ג' קרא;י' אלרון</vt:lpwstr>
  </property>
  <property fmtid="{D5CDD505-2E9C-101B-9397-08002B2CF9AE}" pid="14" name="LAWLISTTMP1">
    <vt:lpwstr>70301/351.a:3;351.c.1;025</vt:lpwstr>
  </property>
  <property fmtid="{D5CDD505-2E9C-101B-9397-08002B2CF9AE}" pid="15" name="LAWLISTTMP2">
    <vt:lpwstr>98569/054a</vt:lpwstr>
  </property>
  <property fmtid="{D5CDD505-2E9C-101B-9397-08002B2CF9AE}" pid="16" name="LAWYER">
    <vt:lpwstr>ורד חלאוה;יפית וייסבוך;גבריאלה גרפינקל;דקלה טוטיאן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ראיות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18;14;89;89;89;77;77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עדות</vt:lpwstr>
  </property>
  <property fmtid="{D5CDD505-2E9C-101B-9397-08002B2CF9AE}" pid="42" name="NOSE24">
    <vt:lpwstr>עדות</vt:lpwstr>
  </property>
  <property fmtid="{D5CDD505-2E9C-101B-9397-08002B2CF9AE}" pid="43" name="NOSE25">
    <vt:lpwstr>עדות</vt:lpwstr>
  </property>
  <property fmtid="{D5CDD505-2E9C-101B-9397-08002B2CF9AE}" pid="44" name="NOSE26">
    <vt:lpwstr>ענישה</vt:lpwstr>
  </property>
  <property fmtid="{D5CDD505-2E9C-101B-9397-08002B2CF9AE}" pid="45" name="NOSE27">
    <vt:lpwstr>ענישה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504;333;1654;1654;1654;1446;1446</vt:lpwstr>
  </property>
  <property fmtid="{D5CDD505-2E9C-101B-9397-08002B2CF9AE}" pid="49" name="NOSE31">
    <vt:lpwstr>אי-התערבות בממצאים עובדתיים</vt:lpwstr>
  </property>
  <property fmtid="{D5CDD505-2E9C-101B-9397-08002B2CF9AE}" pid="50" name="NOSE310">
    <vt:lpwstr/>
  </property>
  <property fmtid="{D5CDD505-2E9C-101B-9397-08002B2CF9AE}" pid="51" name="NOSE32">
    <vt:lpwstr>התערבות בממצאי מהימנות</vt:lpwstr>
  </property>
  <property fmtid="{D5CDD505-2E9C-101B-9397-08002B2CF9AE}" pid="52" name="NOSE33">
    <vt:lpwstr>סתירות</vt:lpwstr>
  </property>
  <property fmtid="{D5CDD505-2E9C-101B-9397-08002B2CF9AE}" pid="53" name="NOSE34">
    <vt:lpwstr>עדות כבושה</vt:lpwstr>
  </property>
  <property fmtid="{D5CDD505-2E9C-101B-9397-08002B2CF9AE}" pid="54" name="NOSE35">
    <vt:lpwstr>קורבן עבירת מין</vt:lpwstr>
  </property>
  <property fmtid="{D5CDD505-2E9C-101B-9397-08002B2CF9AE}" pid="55" name="NOSE36">
    <vt:lpwstr>מדיניות ענישה: עבירות מין במשפחה</vt:lpwstr>
  </property>
  <property fmtid="{D5CDD505-2E9C-101B-9397-08002B2CF9AE}" pid="56" name="NOSE37">
    <vt:lpwstr>מדיניות ענישה: שיקולים לחומרה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3849;15229;10405;10410;12270;16241;8995</vt:lpwstr>
  </property>
  <property fmtid="{D5CDD505-2E9C-101B-9397-08002B2CF9AE}" pid="60" name="PADIDATE">
    <vt:lpwstr>20211205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8120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410120211202</vt:lpwstr>
  </property>
  <property fmtid="{D5CDD505-2E9C-101B-9397-08002B2CF9AE}" pid="70" name="TYPE_N_DATE">
    <vt:lpwstr>41020211202</vt:lpwstr>
  </property>
  <property fmtid="{D5CDD505-2E9C-101B-9397-08002B2CF9AE}" pid="71" name="VOLUME">
    <vt:lpwstr/>
  </property>
  <property fmtid="{D5CDD505-2E9C-101B-9397-08002B2CF9AE}" pid="72" name="WORDNUMPAGES">
    <vt:lpwstr>20</vt:lpwstr>
  </property>
</Properties>
</file>