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8136/18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זלוצ</w:t>
            </w:r>
            <w:r>
              <w:rPr>
                <w:sz w:val="24"/>
                <w:szCs w:val="24"/>
                <w:rtl w:val="true"/>
              </w:rPr>
              <w:t>'</w:t>
            </w:r>
            <w:r>
              <w:rPr>
                <w:sz w:val="24"/>
                <w:sz w:val="24"/>
                <w:szCs w:val="24"/>
                <w:rtl w:val="true"/>
              </w:rPr>
              <w:t>ובר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פרידלנדר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כהן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14743-09-17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3.5.2018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8.10.2018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20.5.2020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אייזנברג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ציבלין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חלקי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8" w:name="Start_Write"/>
      <w:bookmarkStart w:id="9" w:name="Writer_Name"/>
      <w:bookmarkEnd w:id="8"/>
      <w:bookmarkEnd w:id="9"/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שהסנ</w:t>
      </w:r>
      <w:r>
        <w:rPr>
          <w:rtl w:val="true"/>
        </w:rPr>
        <w:t>י</w:t>
      </w:r>
      <w:r>
        <w:rPr>
          <w:rtl w:val="true"/>
        </w:rPr>
        <w:t>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0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20.5.2020</w:t>
      </w:r>
      <w:r>
        <w:rPr>
          <w:rtl w:val="true"/>
        </w:rPr>
        <w:t xml:space="preserve">). </w:t>
      </w:r>
      <w:bookmarkEnd w:id="10"/>
    </w:p>
    <w:p>
      <w:pPr>
        <w:pStyle w:val="Ruller4"/>
        <w:spacing w:lineRule="auto" w:line="276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18081360</w:t>
      </w:r>
      <w:r>
        <w:rPr>
          <w:sz w:val="16"/>
          <w:rtl w:val="true"/>
        </w:rPr>
        <w:t>_</w:t>
      </w:r>
      <w:r>
        <w:rPr>
          <w:sz w:val="16"/>
        </w:rPr>
        <w:t>M08.docx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נב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54678313-8136/18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8136/18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0">
    <w:name w:val="ruller40"/>
    <w:basedOn w:val="Normal"/>
    <w:qFormat/>
    <w:pPr>
      <w:spacing w:lineRule="auto" w:line="360"/>
      <w:jc w:val="both"/>
      <w:textAlignment w:val="auto"/>
    </w:pPr>
    <w:rPr>
      <w:rFonts w:ascii="Arial TUR" w:hAnsi="Arial TUR" w:cs="Arial TUR"/>
      <w:spacing w:val="10"/>
      <w:sz w:val="22"/>
      <w:szCs w:val="22"/>
      <w:lang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964075" TargetMode="External"/><Relationship Id="rId3" Type="http://schemas.openxmlformats.org/officeDocument/2006/relationships/hyperlink" Target="http://supreme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2020-05-21T07:24:00Z</dcterms:created>
  <dc:creator>h4</dc:creator>
  <dc:description/>
  <cp:keywords/>
  <dc:language>en-IL</dc:language>
  <cp:lastModifiedBy>h10</cp:lastModifiedBy>
  <cp:lastPrinted>2020-05-20T18:05:00Z</cp:lastPrinted>
  <dcterms:modified xsi:type="dcterms:W3CDTF">2020-05-21T07:24:00Z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ישראל;פלונית</vt:lpwstr>
  </property>
  <property fmtid="{D5CDD505-2E9C-101B-9397-08002B2CF9AE}" pid="4" name="CASESLISTTMP1">
    <vt:lpwstr>22964075</vt:lpwstr>
  </property>
  <property fmtid="{D5CDD505-2E9C-101B-9397-08002B2CF9AE}" pid="5" name="DATE">
    <vt:lpwstr>20200520</vt:lpwstr>
  </property>
  <property fmtid="{D5CDD505-2E9C-101B-9397-08002B2CF9AE}" pid="6" name="JUDGE">
    <vt:lpwstr>ע' פוגלמן;ד' מינץ;י' אלרון</vt:lpwstr>
  </property>
  <property fmtid="{D5CDD505-2E9C-101B-9397-08002B2CF9AE}" pid="7" name="LAWYER">
    <vt:lpwstr>מריה ציבלין;אלון אייזנברג</vt:lpwstr>
  </property>
  <property fmtid="{D5CDD505-2E9C-101B-9397-08002B2CF9AE}" pid="8" name="PROCESS">
    <vt:lpwstr>עפ</vt:lpwstr>
  </property>
  <property fmtid="{D5CDD505-2E9C-101B-9397-08002B2CF9AE}" pid="9" name="PROCNUM">
    <vt:lpwstr>8136</vt:lpwstr>
  </property>
  <property fmtid="{D5CDD505-2E9C-101B-9397-08002B2CF9AE}" pid="10" name="PROCYEAR">
    <vt:lpwstr>18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410020200520</vt:lpwstr>
  </property>
  <property fmtid="{D5CDD505-2E9C-101B-9397-08002B2CF9AE}" pid="14" name="TYPE_N_DATE">
    <vt:lpwstr>41020200520</vt:lpwstr>
  </property>
  <property fmtid="{D5CDD505-2E9C-101B-9397-08002B2CF9AE}" pid="15" name="WORDNUMPAGES">
    <vt:lpwstr>2</vt:lpwstr>
  </property>
</Properties>
</file>