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8140/19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8162/19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3" w:name="FirstAppellant"/>
            <w:bookmarkEnd w:id="3"/>
            <w:r>
              <w:rPr>
                <w:rFonts w:ascii="David;Malgun Gothic Semilight" w:hAnsi="David;Malgun Gothic Semilight"/>
                <w:rtl w:val="true"/>
              </w:rPr>
              <w:t>המערער</w:t>
            </w:r>
            <w:r>
              <w:rPr>
                <w:rFonts w:ascii="David;Malgun Gothic Semilight" w:hAnsi="David;Malgun Gothic Semilight"/>
                <w:rtl w:val="true"/>
              </w:rPr>
              <w:t xml:space="preserve"> ב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-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8140/19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rtl w:val="true"/>
              </w:rPr>
              <w:t>והמשיב ב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-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8162/19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אמג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אברין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המשיב</w:t>
            </w:r>
            <w:r>
              <w:rPr>
                <w:rFonts w:ascii="David;Malgun Gothic Semilight" w:hAnsi="David;Malgun Gothic Semilight"/>
                <w:rtl w:val="true"/>
              </w:rPr>
              <w:t>ה ב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-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8140/19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rtl w:val="true"/>
              </w:rPr>
              <w:t>והמערערת ב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-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8162/19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48669-08-17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23.10.2019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נאות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28.01.2021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ascii="David;Malgun Gothic Semilight" w:hAnsi="David;Malgun Gothic Semilight"/>
                <w:rtl w:val="true"/>
              </w:rPr>
              <w:t xml:space="preserve"> ב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-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8140/19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rtl w:val="true"/>
              </w:rPr>
              <w:t>והמשיב ב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-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8162/19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קטילאת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תמייסי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rtl w:val="true"/>
              </w:rPr>
              <w:t>המשיב</w:t>
            </w:r>
            <w:r>
              <w:rPr>
                <w:rFonts w:ascii="David;Malgun Gothic Semilight" w:hAnsi="David;Malgun Gothic Semilight"/>
                <w:rtl w:val="true"/>
              </w:rPr>
              <w:t>ה ב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-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8140/19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rtl w:val="true"/>
              </w:rPr>
              <w:t>והמערערת ב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-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8162/19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ארויה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הערבית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פריאל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31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244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300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2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380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יא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499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2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'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לפרק ו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2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המאבק בטרור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2016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4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חקירת חשודים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2002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  <w:sz w:val="24"/>
        </w:rPr>
        <w:t>2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19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1971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20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11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דחה את ערעור המערער על הכרעת הדין בה הורשע על חלקו בהיערכות לפיגוע טרור רצחני שבוצע במתחם הר הבית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פעולותיו במטרה להסתיר את מעורבותו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בהעדר מקום להתערב בממצאי עובדה ומהימנות שקבע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ופסק כי יש להחמיר בעונש המאסר בפועל שהושת עליו כך שיעמוד על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שנים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חומרת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רגישות מקום הפיגוע והצורך בהרתעה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ביטחון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בממצאים עובדתיים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התערבות במידת העונש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ערעור – 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הודעה – רישומה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שני ערעורים על פסק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בו הורשע המערער על חלקו בהיערכות לפיגוע טרור רצחני שבוצע במתחם הר הבית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פעולותיו במטרה להסתיר את מעורבותו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המערער נגזרו 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עונשים נלווים ותשלום פיצויים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8140/19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מופנה כלפי הכרעת הדין וחומרת העונש שנגזר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8162/19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מופנה כלפי קולת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הנדל וברון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8140/19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8162/19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ציין כי טענות המערער אינן מקימות עילה להתערבות בקביעות עובדתיות ובממצאי מהימנות שקבעה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לעניין תכלית הירי וזיקתו לפיגוע התבססה על מארג ראייתי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שבמרכזו מכלול נסיבות 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החיזוק החיצוני לאמרותיו בראיות שאימתו מגוון פרטים שמסר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מהודעות המערער במשטרה עולה כי לשיטתו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הירי בוצע כחלק מפעילות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רגישה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שההקשר הרחב שלה הוא כוונת המפגעים לבצע פיגוע בירושלים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הבהיר כי הירי התקיים לאחר שכבר שמע על תכניות המפגעים לבצע את הפיגוע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שיש בו כדי לבסס את מודעתו לזיקה שבין הירי בכלי הנשק ששימשו את המפגעים לבין כוונתם לבצע פיגוע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השימוש החוזר באותם כלי נשק המיועדים לביצוע הפיגוע עם המפגעים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באתר מבודד ומרוחק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שאחד המפגעים ביצע ירי כתחביב ליד ביתו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אף בו כדי לבסס זיקה בין הירי לפיגוע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התנהלות המערער לכל אורך התקופה שבמהלכה נפגש עם המפגעים מלמדת על מטרתו לסייע להם בביצוע הפיגוע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היותו במעגל הפנימי של שותפי הסוד לביצוע הפיגוע ולהכנות אליו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להפריד בין חלקי ההתארגנות השונים באופן מלאכותי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טעם להניח כי דווקא אימוני 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שבוצעו לאחר שכבר נודעו למערער כוונות המפגעים לבצע פיגוע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אינם חלק ממאמציו לסייע להם במימוש כוונתם הרצחנית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נמצא כל ממש בניסיון לבודד את אימוני הירי בהרים ממכלול התנהלותו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 המערער כי לא הוכחה מעבר לספק סביר התקיימות היסוד הנפשי הדרוש להרשעתו בעבירות הסיוע בקשר לירי בהרים דינה דחייה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לאימרות המערער בחקירתו ובעדותו קיים חיזוק חיצוני מספק לשם הרשעתו בעבירת הסיוע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ובכללן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ההתאמה בין תרמילי הנשק שנתפסו במקום ביצוע 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אליו הוביל המערער את חוקריו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 אלה שנתפסו בזירת הפיגוע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התומכת במסקנה כי הירי נועד לשמש כאימון לקראת ביצוע הפיגוע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מכלול הראיות אשר שימשו כחיזוק להוכחת קיום היסוד הנפשי של עבירת הסיוע ברצח ביחס לפעולותיו האחרות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בהן אף כדי לשמש כחיזוק לקיום היסוד הנפשי לעבירת הסיוע ביחס לירי בהרים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 המערער שלפיה הירי בוצע למטרות תמימות לא הוכחה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התנהלות המערער מלמדת כי הירי בהרים היווה אימון לקראת הפיגוע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המערער היה מודע לכך והשתתף בירי לשם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ציין כי עדויות חוקרי השב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 ניתנו כמתחייב מהיות החוקרים אנשי מרות שגבו אימרות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חוץ של 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שהוגשו באמצעותם כראיה לחובתו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החוקרים לא העידו על אמיתות תוכנן של האימרות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רק על עצם ונסיבות מסירתן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והדגיש כי תיעוד כתוב של החקירה בשפת הנחקר הנו חובה חוקית מפורשת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על הכרעת הדין נדחה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באשר לגזר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הקל עם המערער באופן המחייב התערבות לחומרה והשתת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אכן עולה על אלה שהוטלו בעבר על מסייעים מסוגו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נובע בראש וראשונה ממידת האשם הגבוהה במיוחד שלו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כמי שסייע למפגעים באופן מתמשך ומשמעותי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במישור האופרטיבי והרוחני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מתוך מודעות מלאה לכוונתם ותוכניתם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ובמטרה ברורה לסייע בידם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נתפס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בעיני עצמו כמו גם בעיני המפגעים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כחבר הרביעי בחוליית הטרור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נטל חלק פעיל בהיערכות לפיגוע וסייע למפגעים בכל מאודו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וההבדל היחיד בינו למפגעים נעוץ בכך שלא השתתף בפועל בפיגוע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ליתן משקל רב לבחירה במתחם הר הבית כיעד לפיגוע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נסיבה שהייתה ידועה למערער בעת שסייע למפגעים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רגישות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היתר של המקום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הפיגוע לו סייע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שימש לעידוד והסתה למעשים דומים ומחובת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לשגר מסר הרתעתי לכל המפגעים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מבצעים ומסייעים כאחד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Start_Write"/>
      <w:bookmarkStart w:id="15" w:name="Writer_Name"/>
      <w:bookmarkEnd w:id="14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 שני ערעורים על פסק</w:t>
      </w:r>
      <w:r>
        <w:rPr>
          <w:rtl w:val="true"/>
        </w:rPr>
        <w:t>-</w:t>
      </w:r>
      <w:r>
        <w:rPr>
          <w:rtl w:val="true"/>
        </w:rPr>
        <w:t xml:space="preserve">דינו של בית המשפט המחוזי בחיפה </w:t>
      </w:r>
      <w:r>
        <w:rPr>
          <w:rtl w:val="true"/>
        </w:rPr>
        <w:t>(</w:t>
      </w:r>
      <w:r>
        <w:rPr>
          <w:rFonts w:ascii="Century" w:hAnsi="Century" w:cs="Century"/>
          <w:rtl w:val="true"/>
        </w:rPr>
        <w:t>סגן הנשיא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והשופטות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48669-08-17</w:t>
        </w:r>
      </w:hyperlink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בו הורשע המערער על חלקו בהיערכות ל</w:t>
      </w:r>
      <w:r>
        <w:rPr>
          <w:rtl w:val="true"/>
        </w:rPr>
        <w:t>פיגוע</w:t>
      </w:r>
      <w:r>
        <w:rPr>
          <w:rtl w:val="true"/>
        </w:rPr>
        <w:t xml:space="preserve"> טרור רצחני שבוצע במתחם הר הבית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הפיגוע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ועל </w:t>
      </w:r>
      <w:r>
        <w:rPr>
          <w:rtl w:val="true"/>
        </w:rPr>
        <w:t>פעולותיו העוקבות במטרה</w:t>
      </w:r>
      <w:r>
        <w:rPr>
          <w:rtl w:val="true"/>
        </w:rPr>
        <w:t xml:space="preserve"> להסתיר את מעורבותו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, </w:t>
      </w:r>
      <w:r>
        <w:rPr>
          <w:rtl w:val="true"/>
        </w:rPr>
        <w:t>תושבי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פחם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המפגעים</w:t>
      </w:r>
      <w:r>
        <w:rPr>
          <w:rtl w:val="true"/>
        </w:rPr>
        <w:t xml:space="preserve">)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14.7.2017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תתי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נרצחו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כמיל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סתאווי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חרדה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החודשיים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לפיגוע</w:t>
      </w:r>
      <w:r>
        <w:rPr>
          <w:rtl w:val="true"/>
        </w:rPr>
        <w:t xml:space="preserve">, </w:t>
      </w:r>
      <w:r>
        <w:rPr>
          <w:rtl w:val="true"/>
        </w:rPr>
        <w:t>ומשנודע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וקשירת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וסעיפים</w:t>
      </w:r>
      <w:r>
        <w:rPr>
          <w:rtl w:val="true"/>
        </w:rPr>
        <w:t xml:space="preserve">, </w:t>
      </w:r>
      <w:hyperlink r:id="rId26">
        <w:r>
          <w:rPr>
            <w:rStyle w:val="Hyperlink"/>
          </w:rPr>
          <w:t>244</w:t>
        </w:r>
      </w:hyperlink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hyperlink r:id="rId27"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בטרור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ו–</w:t>
        </w:r>
        <w:r>
          <w:rPr>
            <w:rStyle w:val="Hyperlink"/>
            <w:color w:val="0000FF"/>
            <w:u w:val="single"/>
          </w:rPr>
          <w:t>2016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בטרור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עיזבונות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שנרצחו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בפיגוע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8140/19</w:t>
      </w:r>
      <w:r>
        <w:rPr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8162/19</w:t>
      </w:r>
      <w:r>
        <w:rPr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spacing w:before="0" w:after="42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הצריכות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המתואר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במהלך חודש הרמדאן </w:t>
      </w:r>
      <w:r>
        <w:rPr>
          <w:rtl w:val="true"/>
        </w:rPr>
        <w:t>(</w:t>
      </w:r>
      <w:r>
        <w:rPr/>
        <w:t>24.6.2017-26.5.2017</w:t>
      </w:r>
      <w:r>
        <w:rPr>
          <w:rtl w:val="true"/>
        </w:rPr>
        <w:t xml:space="preserve">) </w:t>
      </w:r>
      <w:r>
        <w:rPr>
          <w:rtl w:val="true"/>
        </w:rPr>
        <w:t>ושלושת השבועות שלאחריו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נהג להגיע לעיתים קרובות למסגד </w:t>
      </w:r>
      <w:r>
        <w:rPr>
          <w:rtl w:val="true"/>
        </w:rPr>
        <w:t>"</w:t>
      </w:r>
      <w:r>
        <w:rPr>
          <w:rtl w:val="true"/>
        </w:rPr>
        <w:t>אלמסלה</w:t>
      </w:r>
      <w:r>
        <w:rPr>
          <w:rtl w:val="true"/>
        </w:rPr>
        <w:t xml:space="preserve">" </w:t>
      </w:r>
      <w:r>
        <w:rPr>
          <w:rtl w:val="true"/>
        </w:rPr>
        <w:t>באום אל</w:t>
      </w:r>
      <w:r>
        <w:rPr>
          <w:rtl w:val="true"/>
        </w:rPr>
        <w:t>-</w:t>
      </w:r>
      <w:r>
        <w:rPr>
          <w:rtl w:val="true"/>
        </w:rPr>
        <w:t xml:space="preserve">פחם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המסגד</w:t>
      </w:r>
      <w:r>
        <w:rPr>
          <w:rtl w:val="true"/>
        </w:rPr>
        <w:t xml:space="preserve">), </w:t>
      </w:r>
      <w:r>
        <w:rPr>
          <w:rtl w:val="true"/>
        </w:rPr>
        <w:t>להיפגש שם עם המפגעים</w:t>
      </w:r>
      <w:r>
        <w:rPr>
          <w:rtl w:val="true"/>
        </w:rPr>
        <w:t xml:space="preserve">, </w:t>
      </w:r>
      <w:r>
        <w:rPr>
          <w:rtl w:val="true"/>
        </w:rPr>
        <w:t>ולשוחח עמם ביחידות לאחר תפילת הערב</w:t>
      </w:r>
      <w:r>
        <w:rPr>
          <w:rtl w:val="true"/>
        </w:rPr>
        <w:t xml:space="preserve">. </w:t>
      </w:r>
      <w:r>
        <w:rPr>
          <w:rtl w:val="true"/>
        </w:rPr>
        <w:t>במהלך פגישות אלה</w:t>
      </w:r>
      <w:r>
        <w:rPr>
          <w:rtl w:val="true"/>
        </w:rPr>
        <w:t xml:space="preserve">, </w:t>
      </w:r>
      <w:r>
        <w:rPr>
          <w:rtl w:val="true"/>
        </w:rPr>
        <w:t>המערער והמפגעים הרחיקו את הטלפונים הניידים שלהם</w:t>
      </w:r>
      <w:r>
        <w:rPr>
          <w:rtl w:val="true"/>
        </w:rPr>
        <w:t xml:space="preserve">, </w:t>
      </w:r>
      <w:r>
        <w:rPr>
          <w:rtl w:val="true"/>
        </w:rPr>
        <w:t>מחשש להאזנות של גורמי הביטחון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 אותם מפגשים</w:t>
      </w:r>
      <w:r>
        <w:rPr>
          <w:rtl w:val="true"/>
        </w:rPr>
        <w:t xml:space="preserve">, </w:t>
      </w:r>
      <w:r>
        <w:rPr>
          <w:rtl w:val="true"/>
        </w:rPr>
        <w:t>שוחחו המפגעים בנוכחות המערער על כוונתם לבצע פיגוע ירי בו יירצחו בני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תחילה התווכחו המפגעים לגבי יעד הפיגוע ומתווה ביצועו</w:t>
      </w:r>
      <w:r>
        <w:rPr>
          <w:rtl w:val="true"/>
        </w:rPr>
        <w:t xml:space="preserve">: </w:t>
      </w:r>
      <w:r>
        <w:rPr>
          <w:rtl w:val="true"/>
        </w:rPr>
        <w:t>בכלל זה הוצע על</w:t>
      </w:r>
      <w:r>
        <w:rPr>
          <w:rtl w:val="true"/>
        </w:rPr>
        <w:t>-</w:t>
      </w:r>
      <w:r>
        <w:rPr>
          <w:rtl w:val="true"/>
        </w:rPr>
        <w:t>ידי אחד מהם לבצע פיגוע ירי לעבר מתנחל יהודי</w:t>
      </w:r>
      <w:r>
        <w:rPr>
          <w:rtl w:val="true"/>
        </w:rPr>
        <w:t xml:space="preserve">, </w:t>
      </w:r>
      <w:r>
        <w:rPr>
          <w:rtl w:val="true"/>
        </w:rPr>
        <w:t xml:space="preserve">אולם לבסוף החליטו לבצעו במתחם הר הבית </w:t>
      </w:r>
      <w:r>
        <w:rPr>
          <w:rtl w:val="true"/>
        </w:rPr>
        <w:t>("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אקצא</w:t>
      </w:r>
      <w:r>
        <w:rPr>
          <w:rtl w:val="true"/>
        </w:rPr>
        <w:t xml:space="preserve">"), </w:t>
      </w:r>
      <w:r>
        <w:rPr>
          <w:rtl w:val="true"/>
        </w:rPr>
        <w:t>כאשר המערער מודע לכך שמדובר בתכנון לבצע מעשה טרור מתוך מניע דתי</w:t>
      </w:r>
      <w:r>
        <w:rPr>
          <w:rtl w:val="true"/>
        </w:rPr>
        <w:t xml:space="preserve">,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או אידיאולוגי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בפגישות אלה גם סיפרו המפגעים למערער שברשותם שני תתי</w:t>
      </w:r>
      <w:r>
        <w:rPr>
          <w:rtl w:val="true"/>
        </w:rPr>
        <w:t>-</w:t>
      </w:r>
      <w:r>
        <w:rPr>
          <w:rtl w:val="true"/>
        </w:rPr>
        <w:t xml:space="preserve">מקלע מאולתרים מסוג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הנשק</w:t>
      </w:r>
      <w:r>
        <w:rPr>
          <w:rtl w:val="true"/>
        </w:rPr>
        <w:t xml:space="preserve">), </w:t>
      </w:r>
      <w:r>
        <w:rPr>
          <w:rtl w:val="true"/>
        </w:rPr>
        <w:t xml:space="preserve">מחסניות וכדורים </w:t>
      </w:r>
      <w:r>
        <w:rPr>
          <w:rtl w:val="true"/>
        </w:rPr>
        <w:t>–</w:t>
      </w:r>
      <w:r>
        <w:rPr>
          <w:rtl w:val="true"/>
        </w:rPr>
        <w:t xml:space="preserve"> וכן על אימוני ירי שביצעו בכלי הנשק בהרים שליד אום אל</w:t>
      </w:r>
      <w:r>
        <w:rPr>
          <w:rtl w:val="true"/>
        </w:rPr>
        <w:t>-</w:t>
      </w:r>
      <w:r>
        <w:rPr>
          <w:rtl w:val="true"/>
        </w:rPr>
        <w:t>פחם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בעודם לבד במסגד</w:t>
      </w:r>
      <w:r>
        <w:rPr>
          <w:rtl w:val="true"/>
        </w:rPr>
        <w:t xml:space="preserve">, </w:t>
      </w:r>
      <w:r>
        <w:rPr>
          <w:rtl w:val="true"/>
        </w:rPr>
        <w:t>הראו המפגעים למערער את כלי הנשק</w:t>
      </w:r>
      <w:r>
        <w:rPr>
          <w:rtl w:val="true"/>
        </w:rPr>
        <w:t xml:space="preserve">, </w:t>
      </w:r>
      <w:r>
        <w:rPr>
          <w:rtl w:val="true"/>
        </w:rPr>
        <w:t xml:space="preserve">שהוחבאו בארון שבמסגד </w:t>
      </w:r>
      <w:r>
        <w:rPr>
          <w:rtl w:val="true"/>
        </w:rPr>
        <w:t>–</w:t>
      </w:r>
      <w:r>
        <w:rPr>
          <w:rtl w:val="true"/>
        </w:rPr>
        <w:t xml:space="preserve"> והמערער אף אחז באחד מהם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 xml:space="preserve">עוד תוארו בכתב האישום שתי הזדמנויות בהן המערער הסיע את המפגעים לאימוני ירי </w:t>
      </w:r>
      <w:r>
        <w:rPr>
          <w:rtl w:val="true"/>
        </w:rPr>
        <w:t>–</w:t>
      </w:r>
      <w:r>
        <w:rPr>
          <w:rtl w:val="true"/>
        </w:rPr>
        <w:t xml:space="preserve"> האחת בסוף חודש יוני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 xml:space="preserve">והאחרת כעבור שבוע </w:t>
      </w:r>
      <w:r>
        <w:rPr>
          <w:rtl w:val="true"/>
        </w:rPr>
        <w:t>–</w:t>
      </w:r>
      <w:r>
        <w:rPr>
          <w:rtl w:val="true"/>
        </w:rPr>
        <w:t xml:space="preserve"> תוך שהגיע למסגד ברכבו בשעות הלילה</w:t>
      </w:r>
      <w:r>
        <w:rPr>
          <w:rtl w:val="true"/>
        </w:rPr>
        <w:t xml:space="preserve">, </w:t>
      </w:r>
      <w:r>
        <w:rPr>
          <w:rtl w:val="true"/>
        </w:rPr>
        <w:t>אז הוצאו כלי הנשק ממקום מחבואם</w:t>
      </w:r>
      <w:r>
        <w:rPr>
          <w:rtl w:val="true"/>
        </w:rPr>
        <w:t xml:space="preserve">, </w:t>
      </w:r>
      <w:r>
        <w:rPr>
          <w:rtl w:val="true"/>
        </w:rPr>
        <w:t>הוסתרו בתיק</w:t>
      </w:r>
      <w:r>
        <w:rPr>
          <w:rtl w:val="true"/>
        </w:rPr>
        <w:t>-</w:t>
      </w:r>
      <w:r>
        <w:rPr>
          <w:rtl w:val="true"/>
        </w:rPr>
        <w:t>גב</w:t>
      </w:r>
      <w:r>
        <w:rPr>
          <w:rtl w:val="true"/>
        </w:rPr>
        <w:t xml:space="preserve">, </w:t>
      </w:r>
      <w:r>
        <w:rPr>
          <w:rtl w:val="true"/>
        </w:rPr>
        <w:t>והובלו ברכבו של המערער להרים שליד אום אל</w:t>
      </w:r>
      <w:r>
        <w:rPr>
          <w:rtl w:val="true"/>
        </w:rPr>
        <w:t>-</w:t>
      </w:r>
      <w:r>
        <w:rPr>
          <w:rtl w:val="true"/>
        </w:rPr>
        <w:t>פחם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באימון הראשון</w:t>
      </w:r>
      <w:r>
        <w:rPr>
          <w:rtl w:val="true"/>
        </w:rPr>
        <w:t xml:space="preserve">, </w:t>
      </w:r>
      <w:r>
        <w:rPr>
          <w:rtl w:val="true"/>
        </w:rPr>
        <w:t>המערער ואחד המפגעים ירו כל אחד בתורו מספר כדורים באוויר באחד מכלי הנשק</w:t>
      </w:r>
      <w:r>
        <w:rPr>
          <w:rtl w:val="true"/>
        </w:rPr>
        <w:t xml:space="preserve">; </w:t>
      </w:r>
      <w:r>
        <w:rPr>
          <w:rtl w:val="true"/>
        </w:rPr>
        <w:t>באימון השני ירו שניים מהמפגעים באוויר</w:t>
      </w:r>
      <w:r>
        <w:rPr>
          <w:rtl w:val="true"/>
        </w:rPr>
        <w:t xml:space="preserve">, </w:t>
      </w:r>
      <w:r>
        <w:rPr>
          <w:rtl w:val="true"/>
        </w:rPr>
        <w:t>בשני כלי הנשק</w:t>
      </w:r>
      <w:r>
        <w:rPr>
          <w:rtl w:val="true"/>
        </w:rPr>
        <w:t xml:space="preserve">. </w:t>
      </w:r>
      <w:r>
        <w:rPr>
          <w:rtl w:val="true"/>
        </w:rPr>
        <w:t>לאחר כל אימון שבו המערער והמפגעים למסגד</w:t>
      </w:r>
      <w:r>
        <w:rPr>
          <w:rtl w:val="true"/>
        </w:rPr>
        <w:t xml:space="preserve">, </w:t>
      </w:r>
      <w:r>
        <w:rPr>
          <w:rtl w:val="true"/>
        </w:rPr>
        <w:t>החזירו את כלי הנשק למחבואם</w:t>
      </w:r>
      <w:r>
        <w:rPr>
          <w:rtl w:val="true"/>
        </w:rPr>
        <w:t xml:space="preserve">, </w:t>
      </w:r>
      <w:r>
        <w:rPr>
          <w:rtl w:val="true"/>
        </w:rPr>
        <w:t>ושוחחו אודות טיב הירי שביצעו ומצב כלי הנשק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הנטען</w:t>
      </w:r>
      <w:r>
        <w:rPr>
          <w:rtl w:val="true"/>
        </w:rPr>
        <w:t xml:space="preserve">, </w:t>
      </w:r>
      <w:r>
        <w:rPr>
          <w:rtl w:val="true"/>
        </w:rPr>
        <w:t>עשה המערער כדי לסייע למפגעים בביצוע הפיגוע ובמטרה לקדם או לסייע בביצועו של מעשה טרור</w:t>
      </w:r>
      <w:r>
        <w:rPr>
          <w:rtl w:val="true"/>
        </w:rPr>
        <w:t xml:space="preserve">, </w:t>
      </w:r>
      <w:r>
        <w:rPr>
          <w:rtl w:val="true"/>
        </w:rPr>
        <w:t>ביודעו כי המפגעים מתכוונים לבצע פיגוע במתחם הר הבית</w:t>
      </w:r>
      <w:r>
        <w:rPr>
          <w:rtl w:val="true"/>
        </w:rPr>
        <w:t xml:space="preserve">, </w:t>
      </w:r>
      <w:r>
        <w:rPr>
          <w:rtl w:val="true"/>
        </w:rPr>
        <w:t>ממניע דתי</w:t>
      </w:r>
      <w:r>
        <w:rPr>
          <w:rtl w:val="true"/>
        </w:rPr>
        <w:t xml:space="preserve">,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או אידאולוגי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בתחילת חודש יולי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שמע המערער את אחד המפגעים משוחח בטלפון עם אחר שאמור היה לתקן אחת מהמחסניות לכלי הנשק</w:t>
      </w:r>
      <w:r>
        <w:rPr>
          <w:rtl w:val="true"/>
        </w:rPr>
        <w:t xml:space="preserve">; </w:t>
      </w:r>
      <w:r>
        <w:rPr>
          <w:rtl w:val="true"/>
        </w:rPr>
        <w:t>כן שמע המערער שניים מהמפגעים משוחחים ביניהם על הימצאות מצלמות אבטחה בשער הכניסה למתחם הר הבית</w:t>
      </w:r>
      <w:r>
        <w:rPr>
          <w:rtl w:val="true"/>
        </w:rPr>
        <w:t xml:space="preserve">, </w:t>
      </w:r>
      <w:r>
        <w:rPr>
          <w:rtl w:val="true"/>
        </w:rPr>
        <w:t>בעת שביקרו במקום</w:t>
      </w:r>
      <w:r>
        <w:rPr>
          <w:rtl w:val="true"/>
        </w:rPr>
        <w:t xml:space="preserve">; </w:t>
      </w:r>
      <w:r>
        <w:rPr>
          <w:rtl w:val="true"/>
        </w:rPr>
        <w:t xml:space="preserve">ולבסוף סיפר אחד המפגעים למערער כי </w:t>
      </w:r>
      <w:r>
        <w:rPr>
          <w:rtl w:val="true"/>
        </w:rPr>
        <w:t>"</w:t>
      </w:r>
      <w:r>
        <w:rPr>
          <w:rtl w:val="true"/>
        </w:rPr>
        <w:t>כמעט</w:t>
      </w:r>
      <w:r>
        <w:rPr>
          <w:rtl w:val="true"/>
        </w:rPr>
        <w:t xml:space="preserve">" </w:t>
      </w:r>
      <w:r>
        <w:rPr>
          <w:rtl w:val="true"/>
        </w:rPr>
        <w:t>הוציאו לפועל את הפיגוע מספר ימים קודם לכן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בליל הפיגוע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13.7.2017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21:30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 הסיע שניים מהמפגעים</w:t>
      </w:r>
      <w:r>
        <w:rPr>
          <w:rtl w:val="true"/>
        </w:rPr>
        <w:t xml:space="preserve"> </w:t>
      </w:r>
      <w:r>
        <w:rPr>
          <w:rtl w:val="true"/>
        </w:rPr>
        <w:t xml:space="preserve">מהמסגד </w:t>
      </w:r>
      <w:r>
        <w:rPr>
          <w:rtl w:val="true"/>
        </w:rPr>
        <w:t>לביתו של אחד מהם</w:t>
      </w:r>
      <w:r>
        <w:rPr>
          <w:rtl w:val="true"/>
        </w:rPr>
        <w:t xml:space="preserve"> כדי להתקלח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לאחר מכן החזירם למסגד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00:30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tl w:val="true"/>
        </w:rPr>
        <w:t xml:space="preserve"> המערער למסגד ברכבו לבקשת אחד ה</w:t>
      </w:r>
      <w:r>
        <w:rPr>
          <w:rtl w:val="true"/>
        </w:rPr>
        <w:t>מפגעים</w:t>
      </w:r>
      <w:r>
        <w:rPr>
          <w:rtl w:val="true"/>
        </w:rPr>
        <w:t xml:space="preserve">, </w:t>
      </w:r>
      <w:r>
        <w:rPr>
          <w:rtl w:val="true"/>
        </w:rPr>
        <w:t>ושם מצא אותם</w:t>
      </w:r>
      <w:r>
        <w:rPr>
          <w:rtl w:val="true"/>
        </w:rPr>
        <w:t xml:space="preserve"> מתפללים</w:t>
      </w:r>
      <w:r>
        <w:rPr>
          <w:rtl w:val="true"/>
        </w:rPr>
        <w:t xml:space="preserve">, </w:t>
      </w:r>
      <w:r>
        <w:rPr>
          <w:rtl w:val="true"/>
        </w:rPr>
        <w:t>כש</w:t>
      </w:r>
      <w:r>
        <w:rPr>
          <w:rtl w:val="true"/>
        </w:rPr>
        <w:t>על הרצפה לידם מונחים כלי הנשק</w:t>
      </w:r>
      <w:r>
        <w:rPr>
          <w:rtl w:val="true"/>
        </w:rPr>
        <w:t xml:space="preserve">, </w:t>
      </w:r>
      <w:r>
        <w:rPr>
          <w:rtl w:val="true"/>
        </w:rPr>
        <w:t>שלוש מחסניות</w:t>
      </w:r>
      <w:r>
        <w:rPr>
          <w:rtl w:val="true"/>
        </w:rPr>
        <w:t xml:space="preserve">,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וסכין מתקפלת</w:t>
      </w:r>
      <w:r>
        <w:rPr>
          <w:rtl w:val="true"/>
        </w:rPr>
        <w:t xml:space="preserve">. </w:t>
      </w:r>
      <w:r>
        <w:rPr>
          <w:rtl w:val="true"/>
        </w:rPr>
        <w:t>לאחר שסיימו להתפלל</w:t>
      </w:r>
      <w:r>
        <w:rPr>
          <w:rtl w:val="true"/>
        </w:rPr>
        <w:t xml:space="preserve">, </w:t>
      </w:r>
      <w:r>
        <w:rPr>
          <w:rtl w:val="true"/>
        </w:rPr>
        <w:t>אמרו ה</w:t>
      </w:r>
      <w:r>
        <w:rPr>
          <w:rtl w:val="true"/>
        </w:rPr>
        <w:t>מפגעים</w:t>
      </w:r>
      <w:r>
        <w:rPr>
          <w:rtl w:val="true"/>
        </w:rPr>
        <w:t xml:space="preserve"> למערער כי </w:t>
      </w:r>
      <w:r>
        <w:rPr>
          <w:rtl w:val="true"/>
        </w:rPr>
        <w:t xml:space="preserve">בכוונתם </w:t>
      </w:r>
      <w:r>
        <w:rPr>
          <w:rtl w:val="true"/>
        </w:rPr>
        <w:t>ל</w:t>
      </w:r>
      <w:r>
        <w:rPr>
          <w:rtl w:val="true"/>
        </w:rPr>
        <w:t>בצע</w:t>
      </w:r>
      <w:r>
        <w:rPr>
          <w:rtl w:val="true"/>
        </w:rPr>
        <w:t xml:space="preserve"> את הפיגוע בבוקר</w:t>
      </w:r>
      <w:r>
        <w:rPr>
          <w:rtl w:val="true"/>
        </w:rPr>
        <w:t xml:space="preserve">, </w:t>
      </w:r>
      <w:r>
        <w:rPr>
          <w:rtl w:val="true"/>
        </w:rPr>
        <w:t>ואף הציעו לו להצטרף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אולם הוא סירב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בעודם במסגד</w:t>
      </w:r>
      <w:r>
        <w:rPr>
          <w:rtl w:val="true"/>
        </w:rPr>
        <w:t xml:space="preserve">, </w:t>
      </w:r>
      <w:r>
        <w:rPr>
          <w:rtl w:val="true"/>
        </w:rPr>
        <w:t>מסרו המפגעים למערער את חפציהם אישיים</w:t>
      </w:r>
      <w:r>
        <w:rPr>
          <w:rtl w:val="true"/>
        </w:rPr>
        <w:t xml:space="preserve">, </w:t>
      </w:r>
      <w:r>
        <w:rPr>
          <w:rtl w:val="true"/>
        </w:rPr>
        <w:t>וביקשו כי יעבירם למשפחותיהם</w:t>
      </w:r>
      <w:r>
        <w:rPr>
          <w:rtl w:val="true"/>
        </w:rPr>
        <w:t xml:space="preserve">. </w:t>
      </w:r>
      <w:r>
        <w:rPr>
          <w:rtl w:val="true"/>
        </w:rPr>
        <w:t xml:space="preserve">אחד מהם אף מסר למערער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שהיו ברשותו</w:t>
      </w:r>
      <w:r>
        <w:rPr>
          <w:rtl w:val="true"/>
        </w:rPr>
        <w:t xml:space="preserve">, </w:t>
      </w:r>
      <w:r>
        <w:rPr>
          <w:rtl w:val="true"/>
        </w:rPr>
        <w:t>באומרו כי לא יזדקק להם עוד</w:t>
      </w:r>
      <w:r>
        <w:rPr>
          <w:rtl w:val="true"/>
        </w:rPr>
        <w:t xml:space="preserve">, </w:t>
      </w:r>
      <w:r>
        <w:rPr>
          <w:rtl w:val="true"/>
        </w:rPr>
        <w:t>וביקש מהמערער למסור דרישת שלום לבני משפחתו</w:t>
      </w:r>
      <w:r>
        <w:rPr>
          <w:rtl w:val="true"/>
        </w:rPr>
        <w:t xml:space="preserve">. </w:t>
      </w:r>
      <w:r>
        <w:rPr>
          <w:rtl w:val="true"/>
        </w:rPr>
        <w:t>לאחר זאת הסתירו המפגעים את כלי הנשק</w:t>
      </w:r>
      <w:r>
        <w:rPr>
          <w:rtl w:val="true"/>
        </w:rPr>
        <w:t xml:space="preserve">, </w:t>
      </w:r>
      <w:r>
        <w:rPr>
          <w:rtl w:val="true"/>
        </w:rPr>
        <w:t>המחסניות</w:t>
      </w:r>
      <w:r>
        <w:rPr>
          <w:rtl w:val="true"/>
        </w:rPr>
        <w:t xml:space="preserve">, </w:t>
      </w:r>
      <w:r>
        <w:rPr>
          <w:rtl w:val="true"/>
        </w:rPr>
        <w:t>הכדורים</w:t>
      </w:r>
      <w:r>
        <w:rPr>
          <w:rtl w:val="true"/>
        </w:rPr>
        <w:t xml:space="preserve">, </w:t>
      </w:r>
      <w:r>
        <w:rPr>
          <w:rtl w:val="true"/>
        </w:rPr>
        <w:t xml:space="preserve">והסכין על גופם </w:t>
      </w:r>
      <w:r>
        <w:rPr>
          <w:rtl w:val="true"/>
        </w:rPr>
        <w:t>–</w:t>
      </w:r>
      <w:r>
        <w:rPr>
          <w:rtl w:val="true"/>
        </w:rPr>
        <w:t xml:space="preserve"> הכל בנוכחות המערער</w:t>
      </w:r>
      <w:r>
        <w:rPr>
          <w:rtl w:val="true"/>
        </w:rPr>
        <w:t xml:space="preserve">, </w:t>
      </w:r>
      <w:r>
        <w:rPr>
          <w:rtl w:val="true"/>
        </w:rPr>
        <w:t>שאז הסיע את המפגעים</w:t>
      </w:r>
      <w:r>
        <w:rPr>
          <w:rtl w:val="true"/>
        </w:rPr>
        <w:t xml:space="preserve">, </w:t>
      </w:r>
      <w:r>
        <w:rPr>
          <w:rtl w:val="true"/>
        </w:rPr>
        <w:t>לבקשתם</w:t>
      </w:r>
      <w:r>
        <w:rPr>
          <w:rtl w:val="true"/>
        </w:rPr>
        <w:t xml:space="preserve">, </w:t>
      </w:r>
      <w:r>
        <w:rPr>
          <w:rtl w:val="true"/>
        </w:rPr>
        <w:t>למקום ממנו יוצאת הסעה מאורגנת למתחם הר הבית</w:t>
      </w:r>
      <w:r>
        <w:rPr>
          <w:rtl w:val="true"/>
        </w:rPr>
        <w:t xml:space="preserve">, </w:t>
      </w:r>
      <w:r>
        <w:rPr>
          <w:rtl w:val="true"/>
        </w:rPr>
        <w:t>ביודעו כי הם מתכוונים לבצע את הפיגוע בבוקר אותו יום</w:t>
      </w:r>
      <w:r>
        <w:rPr>
          <w:rtl w:val="true"/>
        </w:rPr>
        <w:t xml:space="preserve">, </w:t>
      </w:r>
      <w:r>
        <w:rPr>
          <w:rtl w:val="true"/>
        </w:rPr>
        <w:t>במהלכו יירצחו בני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וכי אין בכוונתם לשוב משם בחיים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לאחר מכן המערער שב לביתו</w:t>
      </w:r>
      <w:r>
        <w:rPr>
          <w:rtl w:val="true"/>
        </w:rPr>
        <w:t xml:space="preserve">, </w:t>
      </w:r>
      <w:r>
        <w:rPr>
          <w:rtl w:val="true"/>
        </w:rPr>
        <w:t>תוך שהוא מסתיר את החפצים שקיבל מהמפגעים במקום סמוך</w:t>
      </w:r>
      <w:r>
        <w:rPr>
          <w:rtl w:val="true"/>
        </w:rPr>
        <w:t xml:space="preserve">. </w:t>
      </w:r>
      <w:r>
        <w:rPr>
          <w:rtl w:val="true"/>
        </w:rPr>
        <w:t>בשעות הבוקר</w:t>
      </w:r>
      <w:r>
        <w:rPr>
          <w:rtl w:val="true"/>
        </w:rPr>
        <w:t xml:space="preserve">, </w:t>
      </w:r>
      <w:r>
        <w:rPr>
          <w:rtl w:val="true"/>
        </w:rPr>
        <w:t>לאחר שנודע לו כי המפגעים ביצעו את הפיגוע ונהרגו במהלכו</w:t>
      </w:r>
      <w:r>
        <w:rPr>
          <w:rtl w:val="true"/>
        </w:rPr>
        <w:t xml:space="preserve">, </w:t>
      </w:r>
      <w:r>
        <w:rPr>
          <w:rtl w:val="true"/>
        </w:rPr>
        <w:t xml:space="preserve">העביר את החפצים שנמסרו לו למקום מסתור מרוחק יותר </w:t>
      </w:r>
      <w:r>
        <w:rPr>
          <w:rtl w:val="true"/>
        </w:rPr>
        <w:t>–</w:t>
      </w:r>
      <w:r>
        <w:rPr>
          <w:rtl w:val="true"/>
        </w:rPr>
        <w:t xml:space="preserve"> ובהמשך מחק מהטלפון הנייד שלו את מספרי הטלפון של שלושת המפגעים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כעבור מספר ימים</w:t>
      </w:r>
      <w:r>
        <w:rPr>
          <w:rtl w:val="true"/>
        </w:rPr>
        <w:t xml:space="preserve">, </w:t>
      </w:r>
      <w:r>
        <w:rPr>
          <w:rtl w:val="true"/>
        </w:rPr>
        <w:t>אף קשר המערער יחד עם אחר</w:t>
      </w:r>
      <w:r>
        <w:rPr>
          <w:rtl w:val="true"/>
        </w:rPr>
        <w:t xml:space="preserve">, </w:t>
      </w:r>
      <w:r>
        <w:rPr>
          <w:rtl w:val="true"/>
        </w:rPr>
        <w:t>חברו של אחד המפגעים</w:t>
      </w:r>
      <w:r>
        <w:rPr>
          <w:rtl w:val="true"/>
        </w:rPr>
        <w:t xml:space="preserve">, </w:t>
      </w:r>
      <w:r>
        <w:rPr>
          <w:rtl w:val="true"/>
        </w:rPr>
        <w:t>להעלים את מכשיר ה</w:t>
      </w:r>
      <w:r>
        <w:rPr>
          <w:rtl w:val="true"/>
        </w:rPr>
        <w:t>-</w:t>
      </w:r>
      <w:r>
        <w:rPr>
          <w:rFonts w:cs="Arial TUR;Arial"/>
          <w:szCs w:val="24"/>
        </w:rPr>
        <w:t>DVR</w:t>
      </w:r>
      <w:r>
        <w:rPr>
          <w:sz w:val="32"/>
          <w:szCs w:val="36"/>
          <w:rtl w:val="true"/>
        </w:rPr>
        <w:t xml:space="preserve"> </w:t>
      </w:r>
      <w:r>
        <w:rPr>
          <w:rtl w:val="true"/>
        </w:rPr>
        <w:t xml:space="preserve">של מצלמות האבטחה במסגד לשם העלמת ראיות </w:t>
      </w:r>
      <w:r>
        <w:rPr>
          <w:rtl w:val="true"/>
        </w:rPr>
        <w:t>–</w:t>
      </w:r>
      <w:r>
        <w:rPr>
          <w:rtl w:val="true"/>
        </w:rPr>
        <w:t xml:space="preserve"> אך המכשיר נתפס על</w:t>
      </w:r>
      <w:r>
        <w:rPr>
          <w:rtl w:val="true"/>
        </w:rPr>
        <w:t>-</w:t>
      </w:r>
      <w:r>
        <w:rPr>
          <w:rtl w:val="true"/>
        </w:rPr>
        <w:t>ידי המשטרה בטרם הספיקו לעשות כן</w:t>
      </w:r>
      <w:r>
        <w:rPr>
          <w:rtl w:val="true"/>
        </w:rPr>
        <w:t xml:space="preserve">. </w:t>
      </w:r>
      <w:r>
        <w:rPr>
          <w:rtl w:val="true"/>
        </w:rPr>
        <w:t>כל זאת עשה המערער בכוונה למנוע או להכשיל הליך שיפוטי</w:t>
      </w:r>
      <w:r>
        <w:rPr>
          <w:rtl w:val="true"/>
        </w:rPr>
        <w:t>.</w:t>
      </w:r>
    </w:p>
    <w:p>
      <w:pPr>
        <w:pStyle w:val="Ruller4"/>
        <w:spacing w:before="0" w:after="42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כעולה מהכרעת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המערער הודה במרבית עובדות כתב האישום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אמנם נכח במפגשים במסגד</w:t>
      </w:r>
      <w:r>
        <w:rPr>
          <w:rtl w:val="true"/>
        </w:rPr>
        <w:t xml:space="preserve">, </w:t>
      </w:r>
      <w:r>
        <w:rPr>
          <w:rtl w:val="true"/>
        </w:rPr>
        <w:t>במהלכם שוחחו המפגעים בנוכחותו על כוונתם לבצע פיגוע</w:t>
      </w:r>
      <w:r>
        <w:rPr>
          <w:rtl w:val="true"/>
        </w:rPr>
        <w:t xml:space="preserve">, </w:t>
      </w:r>
      <w:r>
        <w:rPr>
          <w:rtl w:val="true"/>
        </w:rPr>
        <w:t>והיה מודע כי מדובר בתכנון להוציא לפועל מעשה טרור ממניע דתי</w:t>
      </w:r>
      <w:r>
        <w:rPr>
          <w:rtl w:val="true"/>
        </w:rPr>
        <w:t xml:space="preserve">,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 xml:space="preserve">או אידאולוגי </w:t>
      </w:r>
      <w:r>
        <w:rPr>
          <w:rtl w:val="true"/>
        </w:rPr>
        <w:t>–</w:t>
      </w:r>
      <w:r>
        <w:rPr>
          <w:rtl w:val="true"/>
        </w:rPr>
        <w:t xml:space="preserve"> אך לא רצה בהתרחשות הפיגוע וניסה להניא את המפגעים מכך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בעדותו בבית המשפט אף הוסיף המערער כי נוצל על</w:t>
      </w:r>
      <w:r>
        <w:rPr>
          <w:rtl w:val="true"/>
        </w:rPr>
        <w:t>-</w:t>
      </w:r>
      <w:r>
        <w:rPr>
          <w:rtl w:val="true"/>
        </w:rPr>
        <w:t>ידי המפגעים</w:t>
      </w:r>
      <w:r>
        <w:rPr>
          <w:rtl w:val="true"/>
        </w:rPr>
        <w:t xml:space="preserve">, </w:t>
      </w:r>
      <w:r>
        <w:rPr>
          <w:rtl w:val="true"/>
        </w:rPr>
        <w:t>בין השאר במטרה לסבכו</w:t>
      </w:r>
      <w:r>
        <w:rPr>
          <w:rtl w:val="true"/>
        </w:rPr>
        <w:t xml:space="preserve">; </w:t>
      </w:r>
      <w:r>
        <w:rPr>
          <w:rtl w:val="true"/>
        </w:rPr>
        <w:t>וכי אף לא האמין ברצינות כוונותיהם לבצע את הפיגוע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גם ציין שקיבל מאמו </w:t>
      </w:r>
      <w:r>
        <w:rPr>
          <w:rtl w:val="true"/>
        </w:rPr>
        <w:t>"</w:t>
      </w:r>
      <w:r>
        <w:rPr>
          <w:rtl w:val="true"/>
        </w:rPr>
        <w:t>בתדהמה</w:t>
      </w:r>
      <w:r>
        <w:rPr>
          <w:rtl w:val="true"/>
        </w:rPr>
        <w:t xml:space="preserve">" </w:t>
      </w:r>
      <w:r>
        <w:rPr>
          <w:rtl w:val="true"/>
        </w:rPr>
        <w:t>את ההודעה על ביצוע הפיגוע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לירי בהרים ליד אום אל</w:t>
      </w:r>
      <w:r>
        <w:rPr>
          <w:rtl w:val="true"/>
        </w:rPr>
        <w:t>-</w:t>
      </w:r>
      <w:r>
        <w:rPr>
          <w:rtl w:val="true"/>
        </w:rPr>
        <w:t xml:space="preserve">פחם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בהרים</w:t>
      </w:r>
      <w:r>
        <w:rPr>
          <w:rtl w:val="true"/>
        </w:rPr>
        <w:t xml:space="preserve">), </w:t>
      </w:r>
      <w:r>
        <w:rPr>
          <w:rtl w:val="true"/>
        </w:rPr>
        <w:t>המערער הכחיש שהיו אלה אימוני ירי</w:t>
      </w:r>
      <w:r>
        <w:rPr>
          <w:rtl w:val="true"/>
        </w:rPr>
        <w:t xml:space="preserve">, </w:t>
      </w:r>
      <w:r>
        <w:rPr>
          <w:rtl w:val="true"/>
        </w:rPr>
        <w:t>וכן כל קשר בין הירי לפיגוע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היה זה ירי </w:t>
      </w:r>
      <w:r>
        <w:rPr>
          <w:rtl w:val="true"/>
        </w:rPr>
        <w:t>"</w:t>
      </w:r>
      <w:r>
        <w:rPr>
          <w:rtl w:val="true"/>
        </w:rPr>
        <w:t>שגרתי</w:t>
      </w:r>
      <w:r>
        <w:rPr>
          <w:rtl w:val="true"/>
        </w:rPr>
        <w:t xml:space="preserve">" </w:t>
      </w:r>
      <w:r>
        <w:rPr>
          <w:rtl w:val="true"/>
        </w:rPr>
        <w:t>אותו נהגו המפגעים לבצע אף בלעדיו</w:t>
      </w:r>
      <w:r>
        <w:rPr>
          <w:rtl w:val="true"/>
        </w:rPr>
        <w:t xml:space="preserve">. </w:t>
      </w:r>
      <w:r>
        <w:rPr>
          <w:rtl w:val="true"/>
        </w:rPr>
        <w:t>עוד הכחיש כי המפגעים תיארו את מעשיהם כ</w:t>
      </w:r>
      <w:r>
        <w:rPr>
          <w:rtl w:val="true"/>
        </w:rPr>
        <w:t>-"</w:t>
      </w:r>
      <w:r>
        <w:rPr>
          <w:rtl w:val="true"/>
        </w:rPr>
        <w:t>אימוני ירי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ובהקשר זה גם טען ששניים מהם היו חובבי ירי</w:t>
      </w:r>
      <w:r>
        <w:rPr>
          <w:rtl w:val="true"/>
        </w:rPr>
        <w:t xml:space="preserve">, </w:t>
      </w:r>
      <w:r>
        <w:rPr>
          <w:rtl w:val="true"/>
        </w:rPr>
        <w:t>וכי מדובר בתחביב נפוץ בעירם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יוצא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 המערער מכחיש כי הירי עובר לפיגוע היה בגדר אימון</w:t>
      </w:r>
      <w:r>
        <w:rPr>
          <w:rtl w:val="true"/>
        </w:rPr>
        <w:t xml:space="preserve">, </w:t>
      </w:r>
      <w:r>
        <w:rPr>
          <w:rtl w:val="true"/>
        </w:rPr>
        <w:t>לו סייע לצורך הפיגוע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נוכח תשובת המערער לכתב האישום</w:t>
      </w:r>
      <w:r>
        <w:rPr>
          <w:rtl w:val="true"/>
        </w:rPr>
        <w:t xml:space="preserve">, </w:t>
      </w:r>
      <w:r>
        <w:rPr>
          <w:rtl w:val="true"/>
        </w:rPr>
        <w:t>יריעת המחלוקת במשפטו הצטמצמה לשתי שאלות עיקריות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תכלית הירי בהרים וזיקתו לפיגוע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קיומו של היסוד הנפשי הדרוש להרשעת המערער בעבירות הסיוע שיוחסו לו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השאלה הראשונה הוכרעה לחובת המערער על</w:t>
      </w:r>
      <w:r>
        <w:rPr>
          <w:rtl w:val="true"/>
        </w:rPr>
        <w:t>-</w:t>
      </w:r>
      <w:r>
        <w:rPr>
          <w:rtl w:val="true"/>
        </w:rPr>
        <w:t>סמך אימרותיו בחקירות השב</w:t>
      </w:r>
      <w:r>
        <w:rPr>
          <w:rtl w:val="true"/>
        </w:rPr>
        <w:t>"</w:t>
      </w:r>
      <w:r>
        <w:rPr>
          <w:rtl w:val="true"/>
        </w:rPr>
        <w:t>כ והמשטרה</w:t>
      </w:r>
      <w:r>
        <w:rPr>
          <w:rtl w:val="true"/>
        </w:rPr>
        <w:t xml:space="preserve">. </w:t>
      </w:r>
      <w:r>
        <w:rPr>
          <w:rtl w:val="true"/>
        </w:rPr>
        <w:t xml:space="preserve">בחקירותיו אלה סיפר כי שוחח עם המפגעים על </w:t>
      </w:r>
      <w:r>
        <w:rPr>
          <w:rtl w:val="true"/>
        </w:rPr>
        <w:t>"</w:t>
      </w:r>
      <w:r>
        <w:rPr>
          <w:rtl w:val="true"/>
        </w:rPr>
        <w:t>ענייני 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", </w:t>
      </w:r>
      <w:r>
        <w:rPr>
          <w:rtl w:val="true"/>
        </w:rPr>
        <w:t xml:space="preserve">שיחות שבמסגרתן אמרו לו שבכוונתם לבצע ירי </w:t>
      </w:r>
      <w:r>
        <w:rPr>
          <w:rtl w:val="true"/>
        </w:rPr>
        <w:t>"</w:t>
      </w:r>
      <w:r>
        <w:rPr>
          <w:rtl w:val="true"/>
        </w:rPr>
        <w:t>לטובת אימון</w:t>
      </w:r>
      <w:r>
        <w:rPr>
          <w:rtl w:val="true"/>
        </w:rPr>
        <w:t xml:space="preserve">" </w:t>
      </w:r>
      <w:r>
        <w:rPr>
          <w:rtl w:val="true"/>
        </w:rPr>
        <w:t>ושכבר ביצעו ירי בהרים שליד אום אל</w:t>
      </w:r>
      <w:r>
        <w:rPr>
          <w:rtl w:val="true"/>
        </w:rPr>
        <w:t>-</w:t>
      </w:r>
      <w:r>
        <w:rPr>
          <w:rtl w:val="true"/>
        </w:rPr>
        <w:t>פחם פעמים רבות במהלך חודש הרמדאן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כששוחחו על </w:t>
      </w:r>
      <w:r>
        <w:rPr>
          <w:rtl w:val="true"/>
        </w:rPr>
        <w:t>"</w:t>
      </w:r>
      <w:r>
        <w:rPr>
          <w:rtl w:val="true"/>
        </w:rPr>
        <w:t>נושאים רגישים</w:t>
      </w:r>
      <w:r>
        <w:rPr>
          <w:rtl w:val="true"/>
        </w:rPr>
        <w:t xml:space="preserve">"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סיפר המערער</w:t>
      </w:r>
      <w:r>
        <w:rPr>
          <w:rtl w:val="true"/>
        </w:rPr>
        <w:t xml:space="preserve">, </w:t>
      </w:r>
      <w:r>
        <w:rPr>
          <w:rtl w:val="true"/>
        </w:rPr>
        <w:t>כי הוא והמפגעים הרחיקו את הטלפונים הניידים מחשש להאזנות גורמי הביטחון</w:t>
      </w:r>
      <w:r>
        <w:rPr>
          <w:rtl w:val="true"/>
        </w:rPr>
        <w:t xml:space="preserve">. </w:t>
      </w:r>
      <w:r>
        <w:rPr>
          <w:rtl w:val="true"/>
        </w:rPr>
        <w:t>עוד סיפר המערער לעניין כלי הנשק שהוחבאו במסגד ועל כך שהבחין בהם</w:t>
      </w:r>
      <w:r>
        <w:rPr>
          <w:rtl w:val="true"/>
        </w:rPr>
        <w:t xml:space="preserve">, </w:t>
      </w:r>
      <w:r>
        <w:rPr>
          <w:rtl w:val="true"/>
        </w:rPr>
        <w:t xml:space="preserve">וכן על הסעותיו את המפגעים לביצוע הירי בהרים </w:t>
      </w:r>
      <w:r>
        <w:rPr>
          <w:rtl w:val="true"/>
        </w:rPr>
        <w:t>–</w:t>
      </w:r>
      <w:r>
        <w:rPr>
          <w:rtl w:val="true"/>
        </w:rPr>
        <w:t xml:space="preserve"> וציין שהיה זה לאחר שידע על כוונתם לבצע פיגוע במתחם הר הבית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 xml:space="preserve">החקירות תועדו בשפה העברית בלבד </w:t>
      </w:r>
      <w:r>
        <w:rPr>
          <w:rtl w:val="true"/>
        </w:rPr>
        <w:t>–</w:t>
      </w:r>
      <w:r>
        <w:rPr>
          <w:rtl w:val="true"/>
        </w:rPr>
        <w:t xml:space="preserve"> הן בדוחות זיכרון</w:t>
      </w:r>
      <w:r>
        <w:rPr>
          <w:rtl w:val="true"/>
        </w:rPr>
        <w:t>-</w:t>
      </w:r>
      <w:r>
        <w:rPr>
          <w:rtl w:val="true"/>
        </w:rPr>
        <w:t xml:space="preserve">דברים </w:t>
      </w:r>
      <w:r>
        <w:rPr>
          <w:rtl w:val="true"/>
        </w:rPr>
        <w:t>(</w:t>
      </w:r>
      <w:r>
        <w:rPr>
          <w:rtl w:val="true"/>
        </w:rPr>
        <w:t>זכ</w:t>
      </w:r>
      <w:r>
        <w:rPr>
          <w:rtl w:val="true"/>
        </w:rPr>
        <w:t>"</w:t>
      </w:r>
      <w:r>
        <w:rPr>
          <w:rtl w:val="true"/>
        </w:rPr>
        <w:t>דים</w:t>
      </w:r>
      <w:r>
        <w:rPr>
          <w:rtl w:val="true"/>
        </w:rPr>
        <w:t xml:space="preserve">) </w:t>
      </w:r>
      <w:r>
        <w:rPr>
          <w:rtl w:val="true"/>
        </w:rPr>
        <w:t>של חוקרי שב</w:t>
      </w:r>
      <w:r>
        <w:rPr>
          <w:rtl w:val="true"/>
        </w:rPr>
        <w:t>"</w:t>
      </w:r>
      <w:r>
        <w:rPr>
          <w:rtl w:val="true"/>
        </w:rPr>
        <w:t xml:space="preserve">כ והן באימרותיו של המערער במשטרה </w:t>
      </w:r>
      <w:r>
        <w:rPr>
          <w:rtl w:val="true"/>
        </w:rPr>
        <w:t>–</w:t>
      </w:r>
      <w:r>
        <w:rPr>
          <w:rtl w:val="true"/>
        </w:rPr>
        <w:t xml:space="preserve"> אף שכולן נערכו בשפה הערבית</w:t>
      </w:r>
      <w:r>
        <w:rPr>
          <w:rtl w:val="true"/>
        </w:rPr>
        <w:t xml:space="preserve">. </w:t>
      </w:r>
      <w:r>
        <w:rPr>
          <w:rtl w:val="true"/>
        </w:rPr>
        <w:t xml:space="preserve">בתיעוד האמור מצוין מפי המערער שימוש לסירוגין במונחים </w:t>
      </w:r>
      <w:r>
        <w:rPr>
          <w:rtl w:val="true"/>
        </w:rPr>
        <w:t>"</w:t>
      </w:r>
      <w:r>
        <w:rPr>
          <w:rtl w:val="true"/>
        </w:rPr>
        <w:t>אימוני ירי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ירי</w:t>
      </w:r>
      <w:r>
        <w:rPr>
          <w:rtl w:val="true"/>
        </w:rPr>
        <w:t xml:space="preserve">" </w:t>
      </w:r>
      <w:r>
        <w:rPr>
          <w:rtl w:val="true"/>
        </w:rPr>
        <w:t>בהתייחס לירי בהרים</w:t>
      </w:r>
      <w:r>
        <w:rPr>
          <w:rtl w:val="true"/>
        </w:rPr>
        <w:t xml:space="preserve">, </w:t>
      </w:r>
      <w:r>
        <w:rPr>
          <w:rtl w:val="true"/>
        </w:rPr>
        <w:t xml:space="preserve">אף שלטענתו כלל לא השתמש במונח </w:t>
      </w:r>
      <w:r>
        <w:rPr>
          <w:rtl w:val="true"/>
        </w:rPr>
        <w:t>"</w:t>
      </w:r>
      <w:r>
        <w:rPr>
          <w:rtl w:val="true"/>
        </w:rPr>
        <w:t>אימוני ירי</w:t>
      </w:r>
      <w:r>
        <w:rPr>
          <w:rtl w:val="true"/>
        </w:rPr>
        <w:t xml:space="preserve">", </w:t>
      </w:r>
      <w:r>
        <w:rPr>
          <w:rtl w:val="true"/>
        </w:rPr>
        <w:t xml:space="preserve">אשר </w:t>
      </w:r>
      <w:r>
        <w:rPr>
          <w:rtl w:val="true"/>
        </w:rPr>
        <w:t>"</w:t>
      </w:r>
      <w:r>
        <w:rPr>
          <w:rtl w:val="true"/>
        </w:rPr>
        <w:t>הוטבע על</w:t>
      </w:r>
      <w:r>
        <w:rPr>
          <w:rtl w:val="true"/>
        </w:rPr>
        <w:t>-</w:t>
      </w:r>
      <w:r>
        <w:rPr>
          <w:rtl w:val="true"/>
        </w:rPr>
        <w:t>ידי חוקריו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חוקרי השב</w:t>
      </w:r>
      <w:r>
        <w:rPr>
          <w:rtl w:val="true"/>
        </w:rPr>
        <w:t>"</w:t>
      </w:r>
      <w:r>
        <w:rPr>
          <w:rtl w:val="true"/>
        </w:rPr>
        <w:t>כ והחוקר המשטרתי נשאלו בעדויותיהם על הבדלי המינוח בתיעוד</w:t>
      </w:r>
      <w:r>
        <w:rPr>
          <w:rtl w:val="true"/>
        </w:rPr>
        <w:t xml:space="preserve">, </w:t>
      </w:r>
      <w:r>
        <w:rPr>
          <w:rtl w:val="true"/>
        </w:rPr>
        <w:t xml:space="preserve">ואלה השיבו כי אינם זוכרים אם המערער השתמש במילה הערבית </w:t>
      </w:r>
      <w:r>
        <w:rPr>
          <w:rtl w:val="true"/>
        </w:rPr>
        <w:t>"</w:t>
      </w:r>
      <w:r>
        <w:rPr>
          <w:rtl w:val="true"/>
        </w:rPr>
        <w:t>תדריב</w:t>
      </w:r>
      <w:r>
        <w:rPr>
          <w:rtl w:val="true"/>
        </w:rPr>
        <w:t xml:space="preserve">", </w:t>
      </w:r>
      <w:r>
        <w:rPr>
          <w:rtl w:val="true"/>
        </w:rPr>
        <w:t xml:space="preserve">שפירושה </w:t>
      </w:r>
      <w:r>
        <w:rPr>
          <w:rtl w:val="true"/>
        </w:rPr>
        <w:t>"</w:t>
      </w:r>
      <w:r>
        <w:rPr>
          <w:rtl w:val="true"/>
        </w:rPr>
        <w:t>אימון</w:t>
      </w:r>
      <w:r>
        <w:rPr>
          <w:rtl w:val="true"/>
        </w:rPr>
        <w:t xml:space="preserve">".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החוקרים עמדו על כך שאכן מדובר היה באימון </w:t>
      </w:r>
      <w:r>
        <w:rPr>
          <w:rtl w:val="true"/>
        </w:rPr>
        <w:t>–</w:t>
      </w:r>
      <w:r>
        <w:rPr>
          <w:rtl w:val="true"/>
        </w:rPr>
        <w:t xml:space="preserve"> וזאת נוכח מכלול נסיבות הירי בהרים</w:t>
      </w:r>
      <w:r>
        <w:rPr>
          <w:rtl w:val="true"/>
        </w:rPr>
        <w:t xml:space="preserve">, </w:t>
      </w:r>
      <w:r>
        <w:rPr>
          <w:rtl w:val="true"/>
        </w:rPr>
        <w:t>כפי שתוארו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 xml:space="preserve">ניסה המערער לתאר את הירי בהרים ככזה שנועד למטרת </w:t>
      </w:r>
      <w:r>
        <w:rPr>
          <w:rtl w:val="true"/>
        </w:rPr>
        <w:t>"</w:t>
      </w:r>
      <w:r>
        <w:rPr>
          <w:rtl w:val="true"/>
        </w:rPr>
        <w:t>שעשוע כתחביב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וזאת כחלק מגרסתו הכללית לפיה לא ידע</w:t>
      </w:r>
      <w:r>
        <w:rPr>
          <w:rtl w:val="true"/>
        </w:rPr>
        <w:t xml:space="preserve">, </w:t>
      </w:r>
      <w:r>
        <w:rPr>
          <w:rtl w:val="true"/>
        </w:rPr>
        <w:t>התכוון</w:t>
      </w:r>
      <w:r>
        <w:rPr>
          <w:rtl w:val="true"/>
        </w:rPr>
        <w:t xml:space="preserve">, </w:t>
      </w:r>
      <w:r>
        <w:rPr>
          <w:rtl w:val="true"/>
        </w:rPr>
        <w:t>או רצה לסייע למפגעים</w:t>
      </w:r>
      <w:r>
        <w:rPr>
          <w:rtl w:val="true"/>
        </w:rPr>
        <w:t xml:space="preserve">. </w:t>
      </w:r>
      <w:r>
        <w:rPr>
          <w:rtl w:val="true"/>
        </w:rPr>
        <w:t>גרסה זו נדחתה בהכרעת הדין כבלתי</w:t>
      </w:r>
      <w:r>
        <w:rPr>
          <w:rtl w:val="true"/>
        </w:rPr>
        <w:t>-</w:t>
      </w:r>
      <w:r>
        <w:rPr>
          <w:rtl w:val="true"/>
        </w:rPr>
        <w:t>אמינה ובלתי</w:t>
      </w:r>
      <w:r>
        <w:rPr>
          <w:rtl w:val="true"/>
        </w:rPr>
        <w:t>-</w:t>
      </w:r>
      <w:r>
        <w:rPr>
          <w:rtl w:val="true"/>
        </w:rPr>
        <w:t>משכנעת</w:t>
      </w:r>
      <w:r>
        <w:rPr>
          <w:rtl w:val="true"/>
        </w:rPr>
        <w:t xml:space="preserve">, </w:t>
      </w:r>
      <w:r>
        <w:rPr>
          <w:rtl w:val="true"/>
        </w:rPr>
        <w:t>נוכח הסתירות הפנימיות שנמצאו בה</w:t>
      </w:r>
      <w:r>
        <w:rPr>
          <w:rtl w:val="true"/>
        </w:rPr>
        <w:t xml:space="preserve">, </w:t>
      </w:r>
      <w:r>
        <w:rPr>
          <w:rtl w:val="true"/>
        </w:rPr>
        <w:t>כישלונה להסביר באופן מתקבל על הדעת עובדות שונות שלא הוכחשו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, </w:t>
      </w:r>
      <w:r>
        <w:rPr>
          <w:rtl w:val="true"/>
        </w:rPr>
        <w:t>וכן העדר אחיזה בחומר הראיות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נקבע שמדובר בהיתממות דחוקה ומגמתית מצד המערער</w:t>
      </w:r>
      <w:r>
        <w:rPr>
          <w:rtl w:val="true"/>
        </w:rPr>
        <w:t xml:space="preserve">, </w:t>
      </w:r>
      <w:r>
        <w:rPr>
          <w:rtl w:val="true"/>
        </w:rPr>
        <w:t>שנועדה למזער את חלקו בהיערכות לפיגוע</w:t>
      </w:r>
      <w:r>
        <w:rPr>
          <w:rtl w:val="true"/>
        </w:rPr>
        <w:t xml:space="preserve">, </w:t>
      </w:r>
      <w:r>
        <w:rPr>
          <w:rtl w:val="true"/>
        </w:rPr>
        <w:t xml:space="preserve">בעוד שבפועל סייע למפגעים </w:t>
      </w:r>
      <w:r>
        <w:rPr>
          <w:rtl w:val="true"/>
        </w:rPr>
        <w:t>"</w:t>
      </w:r>
      <w:r>
        <w:rPr>
          <w:rtl w:val="true"/>
        </w:rPr>
        <w:t>בכל מאודו</w:t>
      </w:r>
      <w:r>
        <w:rPr>
          <w:rtl w:val="true"/>
        </w:rPr>
        <w:t xml:space="preserve">" </w:t>
      </w:r>
      <w:r>
        <w:rPr>
          <w:rtl w:val="true"/>
        </w:rPr>
        <w:t xml:space="preserve">וראה את עצמו כאחד מהם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החבר הרביעי</w:t>
      </w:r>
      <w:r>
        <w:rPr>
          <w:rtl w:val="true"/>
        </w:rPr>
        <w:t xml:space="preserve">"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 xml:space="preserve">כלשונו </w:t>
      </w:r>
      <w:r>
        <w:rPr>
          <w:rtl w:val="true"/>
        </w:rPr>
        <w:t>–</w:t>
      </w:r>
      <w:r>
        <w:rPr>
          <w:rtl w:val="true"/>
        </w:rPr>
        <w:t xml:space="preserve"> כפי שאף הם ראו אותו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בדומה לגרסתו הכללית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גם טענתו האמורה לגבי תכלית הירי בהרים באה לעולם כדי לנתק את הקשר בין הירי לפיגוע </w:t>
      </w:r>
      <w:r>
        <w:rPr>
          <w:rtl w:val="true"/>
        </w:rPr>
        <w:t>–</w:t>
      </w:r>
      <w:r>
        <w:rPr>
          <w:rtl w:val="true"/>
        </w:rPr>
        <w:t xml:space="preserve"> וזאת</w:t>
      </w:r>
      <w:r>
        <w:rPr>
          <w:rtl w:val="true"/>
        </w:rPr>
        <w:t xml:space="preserve">, </w:t>
      </w:r>
      <w:r>
        <w:rPr>
          <w:rtl w:val="true"/>
        </w:rPr>
        <w:t xml:space="preserve">בעוד שמכלול הראיות מלמד בבירור על כך שהירי לא נשא </w:t>
      </w:r>
      <w:r>
        <w:rPr>
          <w:rtl w:val="true"/>
        </w:rPr>
        <w:t>"</w:t>
      </w:r>
      <w:r>
        <w:rPr>
          <w:rtl w:val="true"/>
        </w:rPr>
        <w:t>אך גוון פלילי</w:t>
      </w:r>
      <w:r>
        <w:rPr>
          <w:rtl w:val="true"/>
        </w:rPr>
        <w:t xml:space="preserve">", </w:t>
      </w:r>
      <w:r>
        <w:rPr>
          <w:rtl w:val="true"/>
        </w:rPr>
        <w:t>כי אם נועד למטרת טרור ולצורך ביצוע הפיגוע המתוכנן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בכך הוכרעה לחובת המערער גם השאלה השנייה שבמחלוקת</w:t>
      </w:r>
      <w:r>
        <w:rPr>
          <w:rtl w:val="true"/>
        </w:rPr>
        <w:t xml:space="preserve">, </w:t>
      </w:r>
      <w:r>
        <w:rPr>
          <w:rtl w:val="true"/>
        </w:rPr>
        <w:t>ונקבע כי היה מודע היטב לטיב התנהגותו המסייעת ולכך שהמפגעים עומדים לבצע את הפיגוע</w:t>
      </w:r>
      <w:r>
        <w:rPr>
          <w:rtl w:val="true"/>
        </w:rPr>
        <w:t xml:space="preserve">, </w:t>
      </w:r>
      <w:r>
        <w:rPr>
          <w:rtl w:val="true"/>
        </w:rPr>
        <w:t>וזאת מתחילת מעורבותו בהיערכות לפיגוע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 xml:space="preserve">כי אף אם בשלבים המוקדמים לא הייתה למערער </w:t>
      </w:r>
      <w:r>
        <w:rPr>
          <w:rtl w:val="true"/>
        </w:rPr>
        <w:t>"</w:t>
      </w:r>
      <w:r>
        <w:rPr>
          <w:rtl w:val="true"/>
        </w:rPr>
        <w:t>מודעות של ממש</w:t>
      </w:r>
      <w:r>
        <w:rPr>
          <w:rtl w:val="true"/>
        </w:rPr>
        <w:t xml:space="preserve">" </w:t>
      </w:r>
      <w:r>
        <w:rPr>
          <w:rtl w:val="true"/>
        </w:rPr>
        <w:t>לכך שהפיגוע יבוצע</w:t>
      </w:r>
      <w:r>
        <w:rPr>
          <w:rtl w:val="true"/>
        </w:rPr>
        <w:t xml:space="preserve">, </w:t>
      </w:r>
      <w:r>
        <w:rPr>
          <w:rtl w:val="true"/>
        </w:rPr>
        <w:t xml:space="preserve">הוא לכל הפחות היה אז במצב של </w:t>
      </w:r>
      <w:r>
        <w:rPr>
          <w:rtl w:val="true"/>
        </w:rPr>
        <w:t>"</w:t>
      </w:r>
      <w:r>
        <w:rPr>
          <w:rtl w:val="true"/>
        </w:rPr>
        <w:t>עצימת עיניים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וכי בכל מקרה</w:t>
      </w:r>
      <w:r>
        <w:rPr>
          <w:rtl w:val="true"/>
        </w:rPr>
        <w:t xml:space="preserve">, </w:t>
      </w:r>
      <w:r>
        <w:rPr>
          <w:rtl w:val="true"/>
        </w:rPr>
        <w:t xml:space="preserve">בליל הפיגוע כבר היה לו </w:t>
      </w:r>
      <w:r>
        <w:rPr>
          <w:rtl w:val="true"/>
        </w:rPr>
        <w:t>"</w:t>
      </w:r>
      <w:r>
        <w:rPr>
          <w:rtl w:val="true"/>
        </w:rPr>
        <w:t>ברור כשמש</w:t>
      </w:r>
      <w:r>
        <w:rPr>
          <w:rtl w:val="true"/>
        </w:rPr>
        <w:t xml:space="preserve">" </w:t>
      </w:r>
      <w:r>
        <w:rPr>
          <w:rtl w:val="true"/>
        </w:rPr>
        <w:t>שיבוצע בקרוב מאוד</w:t>
      </w:r>
      <w:r>
        <w:rPr>
          <w:rtl w:val="true"/>
        </w:rPr>
        <w:t xml:space="preserve">. </w:t>
      </w:r>
      <w:r>
        <w:rPr>
          <w:rtl w:val="true"/>
        </w:rPr>
        <w:t xml:space="preserve">מכיוון שבעת הזו מודעות המערער לטיב מעשיו ולמה שעתיד להתרחש הייתה בדרגת </w:t>
      </w:r>
      <w:r>
        <w:rPr>
          <w:rtl w:val="true"/>
        </w:rPr>
        <w:t>"</w:t>
      </w:r>
      <w:r>
        <w:rPr>
          <w:rtl w:val="true"/>
        </w:rPr>
        <w:t>ודאות קרובה</w:t>
      </w:r>
      <w:r>
        <w:rPr>
          <w:rtl w:val="true"/>
        </w:rPr>
        <w:t xml:space="preserve">", </w:t>
      </w:r>
      <w:r>
        <w:rPr>
          <w:rtl w:val="true"/>
        </w:rPr>
        <w:t xml:space="preserve">נקבע גם שניתן להחיל בעניינו את </w:t>
      </w:r>
      <w:r>
        <w:rPr>
          <w:rtl w:val="true"/>
        </w:rPr>
        <w:t>"</w:t>
      </w:r>
      <w:r>
        <w:rPr>
          <w:rtl w:val="true"/>
        </w:rPr>
        <w:t>הלכת הצפיות</w:t>
      </w:r>
      <w:r>
        <w:rPr>
          <w:rtl w:val="true"/>
        </w:rPr>
        <w:t xml:space="preserve">" </w:t>
      </w:r>
      <w:r>
        <w:rPr>
          <w:rtl w:val="true"/>
        </w:rPr>
        <w:t xml:space="preserve">כדי לקבוע שעמדה לנגד עיניו מטרה ברורה לסייע למפגעים </w:t>
      </w:r>
      <w:r>
        <w:rPr>
          <w:rtl w:val="true"/>
        </w:rPr>
        <w:t>–</w:t>
      </w:r>
      <w:r>
        <w:rPr>
          <w:rtl w:val="true"/>
        </w:rPr>
        <w:t xml:space="preserve"> אף שאין בכך צורך</w:t>
      </w:r>
      <w:r>
        <w:rPr>
          <w:rtl w:val="true"/>
        </w:rPr>
        <w:t xml:space="preserve">, </w:t>
      </w:r>
      <w:r>
        <w:rPr>
          <w:rtl w:val="true"/>
        </w:rPr>
        <w:t>שכן התנהלותו</w:t>
      </w:r>
      <w:r>
        <w:rPr>
          <w:rtl w:val="true"/>
        </w:rPr>
        <w:t xml:space="preserve">, </w:t>
      </w:r>
      <w:r>
        <w:rPr>
          <w:rtl w:val="true"/>
        </w:rPr>
        <w:t>המדברת בעד עצמה</w:t>
      </w:r>
      <w:r>
        <w:rPr>
          <w:rtl w:val="true"/>
        </w:rPr>
        <w:t xml:space="preserve">, </w:t>
      </w:r>
      <w:r>
        <w:rPr>
          <w:rtl w:val="true"/>
        </w:rPr>
        <w:t>מלמדת על קיומה של מטרה כאמור כבר בשלבים המוקדמים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 xml:space="preserve">סמך </w:t>
      </w:r>
      <w:r>
        <w:rPr>
          <w:rtl w:val="true"/>
        </w:rPr>
        <w:t>"</w:t>
      </w:r>
      <w:r>
        <w:rPr>
          <w:rtl w:val="true"/>
        </w:rPr>
        <w:t>חיזוק חיצוני למכביר</w:t>
      </w:r>
      <w:r>
        <w:rPr>
          <w:rtl w:val="true"/>
        </w:rPr>
        <w:t xml:space="preserve">" </w:t>
      </w:r>
      <w:r>
        <w:rPr>
          <w:rtl w:val="true"/>
        </w:rPr>
        <w:t>שנמצא למגוון פרטים שהמערער מסר בחקירותיו</w:t>
      </w:r>
      <w:r>
        <w:rPr>
          <w:rtl w:val="true"/>
        </w:rPr>
        <w:t xml:space="preserve">, </w:t>
      </w:r>
      <w:r>
        <w:rPr>
          <w:rtl w:val="true"/>
        </w:rPr>
        <w:t>הרשיע אותו בית המשפט המחוזי בכל העבירות שיוחסו לו בכתב האישום</w:t>
      </w:r>
      <w:r>
        <w:rPr>
          <w:rtl w:val="true"/>
        </w:rPr>
        <w:t xml:space="preserve">, </w:t>
      </w:r>
      <w:r>
        <w:rPr>
          <w:rtl w:val="true"/>
        </w:rPr>
        <w:t>ובעיקרן עבירות הסיוע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שמצא</w:t>
      </w:r>
      <w:r>
        <w:rPr>
          <w:rtl w:val="true"/>
        </w:rPr>
        <w:t xml:space="preserve">, </w:t>
      </w:r>
      <w:r>
        <w:rPr>
          <w:rtl w:val="true"/>
        </w:rPr>
        <w:t>פלט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ממכשירי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המפגעים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, </w:t>
      </w:r>
      <w:r>
        <w:rPr>
          <w:rtl w:val="true"/>
        </w:rPr>
        <w:t>המאמתים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116</w:t>
      </w:r>
      <w:r>
        <w:rPr>
          <w:rtl w:val="true"/>
        </w:rPr>
        <w:t>;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117</w:t>
      </w:r>
      <w:r>
        <w:rPr>
          <w:rtl w:val="true"/>
        </w:rPr>
        <w:t xml:space="preserve">); </w:t>
      </w:r>
      <w:r>
        <w:rPr>
          <w:rtl w:val="true"/>
        </w:rPr>
        <w:t>מציאת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המפגעים</w:t>
      </w:r>
      <w:r>
        <w:rPr>
          <w:rtl w:val="true"/>
        </w:rPr>
        <w:t xml:space="preserve">, </w:t>
      </w:r>
      <w:r>
        <w:rPr>
          <w:rtl w:val="true"/>
        </w:rPr>
        <w:t>המראה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125</w:t>
      </w:r>
      <w:r>
        <w:rPr>
          <w:rtl w:val="true"/>
        </w:rPr>
        <w:t xml:space="preserve">, </w:t>
      </w:r>
      <w:r>
        <w:rPr>
          <w:rtl w:val="true"/>
        </w:rPr>
        <w:t>סרטון</w:t>
      </w:r>
      <w:r>
        <w:rPr>
          <w:rFonts w:eastAsia="Arial TUR;Arial" w:cs="Arial TUR;Arial"/>
          <w:rtl w:val="true"/>
        </w:rPr>
        <w:t xml:space="preserve"> </w:t>
      </w:r>
      <w:r>
        <w:rPr/>
        <w:t>260</w:t>
      </w:r>
      <w:r>
        <w:rPr>
          <w:rtl w:val="true"/>
        </w:rPr>
        <w:t xml:space="preserve">); </w:t>
      </w:r>
      <w:r>
        <w:rPr>
          <w:rtl w:val="true"/>
        </w:rPr>
        <w:t>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תרמילי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; </w:t>
      </w:r>
      <w:r>
        <w:rPr>
          <w:rtl w:val="true"/>
        </w:rPr>
        <w:t>הימצאות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 נקבע כי המערער נטל חלק פעיל בהיערכות לפיגוע</w:t>
      </w:r>
      <w:r>
        <w:rPr>
          <w:rtl w:val="true"/>
        </w:rPr>
        <w:t xml:space="preserve">, </w:t>
      </w:r>
      <w:r>
        <w:rPr>
          <w:rtl w:val="true"/>
        </w:rPr>
        <w:t>סייע בהתארגנות לקראתו במשך תקופה משמעותית</w:t>
      </w:r>
      <w:r>
        <w:rPr>
          <w:rtl w:val="true"/>
        </w:rPr>
        <w:t xml:space="preserve">, </w:t>
      </w:r>
      <w:r>
        <w:rPr>
          <w:rtl w:val="true"/>
        </w:rPr>
        <w:t>ותרם באופן ממשי ליצירת התנאים לביצועו</w:t>
      </w:r>
      <w:r>
        <w:rPr>
          <w:rtl w:val="true"/>
        </w:rPr>
        <w:t xml:space="preserve">, </w:t>
      </w:r>
      <w:r>
        <w:rPr>
          <w:rtl w:val="true"/>
        </w:rPr>
        <w:t>בהיבט הפיזי</w:t>
      </w:r>
      <w:r>
        <w:rPr>
          <w:rtl w:val="true"/>
        </w:rPr>
        <w:t xml:space="preserve">; </w:t>
      </w:r>
      <w:r>
        <w:rPr>
          <w:rtl w:val="true"/>
        </w:rPr>
        <w:t>וכי כחלק מכך</w:t>
      </w:r>
      <w:r>
        <w:rPr>
          <w:rtl w:val="true"/>
        </w:rPr>
        <w:t xml:space="preserve">, </w:t>
      </w:r>
      <w:r>
        <w:rPr>
          <w:rtl w:val="true"/>
        </w:rPr>
        <w:t>רקם עם המפגעים את תכנית הפיגוע</w:t>
      </w:r>
      <w:r>
        <w:rPr>
          <w:rtl w:val="true"/>
        </w:rPr>
        <w:t xml:space="preserve">, </w:t>
      </w:r>
      <w:r>
        <w:rPr>
          <w:rtl w:val="true"/>
        </w:rPr>
        <w:t xml:space="preserve">חיזק את ידיהם וגיבה אותם </w:t>
      </w:r>
      <w:r>
        <w:rPr>
          <w:rtl w:val="true"/>
        </w:rPr>
        <w:t>–</w:t>
      </w:r>
      <w:r>
        <w:rPr>
          <w:rtl w:val="true"/>
        </w:rPr>
        <w:t xml:space="preserve"> ובכך היה לחלק בלתי</w:t>
      </w:r>
      <w:r>
        <w:rPr>
          <w:rtl w:val="true"/>
        </w:rPr>
        <w:t>-</w:t>
      </w:r>
      <w:r>
        <w:rPr>
          <w:rtl w:val="true"/>
        </w:rPr>
        <w:t>נפרד מהמפגעים</w:t>
      </w:r>
      <w:r>
        <w:rPr>
          <w:rtl w:val="true"/>
        </w:rPr>
        <w:t xml:space="preserve">, </w:t>
      </w:r>
      <w:r>
        <w:rPr>
          <w:rtl w:val="true"/>
        </w:rPr>
        <w:t>הנבדלים ממנו רק בהוצאת הפיגוע לפועל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כי</w:t>
      </w:r>
      <w:r>
        <w:rPr>
          <w:rtl w:val="true"/>
        </w:rPr>
        <w:t xml:space="preserve"> מעשי המערער חמורים ביותר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tl w:val="true"/>
        </w:rPr>
        <w:t xml:space="preserve"> שלל הערכים החברתיים שכל פיגוע טרור רצחני רומס ברגל גסה – קדושת החיים</w:t>
      </w:r>
      <w:r>
        <w:rPr>
          <w:rtl w:val="true"/>
        </w:rPr>
        <w:t xml:space="preserve">, </w:t>
      </w:r>
      <w:r>
        <w:rPr>
          <w:rtl w:val="true"/>
        </w:rPr>
        <w:t>ביטחון המדינה וריבונותה</w:t>
      </w:r>
      <w:r>
        <w:rPr>
          <w:rtl w:val="true"/>
        </w:rPr>
        <w:t xml:space="preserve">, </w:t>
      </w:r>
      <w:r>
        <w:rPr>
          <w:rtl w:val="true"/>
        </w:rPr>
        <w:t xml:space="preserve">ושלום הציבור – ובפרט </w:t>
      </w:r>
      <w:r>
        <w:rPr>
          <w:rtl w:val="true"/>
        </w:rPr>
        <w:t>כזה ש</w:t>
      </w:r>
      <w:r>
        <w:rPr>
          <w:rtl w:val="true"/>
        </w:rPr>
        <w:t>כוון נגד כוחות הביטחון</w:t>
      </w:r>
      <w:r>
        <w:rPr>
          <w:rtl w:val="true"/>
        </w:rPr>
        <w:t xml:space="preserve">, </w:t>
      </w:r>
      <w:r>
        <w:rPr>
          <w:rtl w:val="true"/>
        </w:rPr>
        <w:t xml:space="preserve">ולווה בפגיעה בשלטון החוק </w:t>
      </w:r>
      <w:r>
        <w:rPr>
          <w:rtl w:val="true"/>
        </w:rPr>
        <w:t>(</w:t>
      </w:r>
      <w:r>
        <w:rPr>
          <w:rtl w:val="true"/>
        </w:rPr>
        <w:t xml:space="preserve">בשל </w:t>
      </w:r>
      <w:r>
        <w:rPr>
          <w:rtl w:val="true"/>
        </w:rPr>
        <w:t>העבירות הנוספות שביצע המערער לאחר שנודע לו על הפיגוע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</w:t>
      </w:r>
      <w:r>
        <w:rPr>
          <w:rtl w:val="true"/>
        </w:rPr>
        <w:t>מצא</w:t>
      </w:r>
      <w:r>
        <w:rPr>
          <w:rtl w:val="true"/>
        </w:rPr>
        <w:t xml:space="preserve"> כי ערכים חברתיים אלה נפגעו במידה רבה</w:t>
      </w:r>
      <w:r>
        <w:rPr>
          <w:rtl w:val="true"/>
        </w:rPr>
        <w:t xml:space="preserve">, </w:t>
      </w:r>
      <w:r>
        <w:rPr>
          <w:rtl w:val="true"/>
        </w:rPr>
        <w:t>לאור תוצאותיו הקשות של הפיגוע</w:t>
      </w:r>
      <w:r>
        <w:rPr>
          <w:rtl w:val="true"/>
        </w:rPr>
        <w:t xml:space="preserve">; </w:t>
      </w:r>
      <w:r>
        <w:rPr>
          <w:rtl w:val="true"/>
        </w:rPr>
        <w:t>תוצאותיו הפוטנציאליות</w:t>
      </w:r>
      <w:r>
        <w:rPr>
          <w:rtl w:val="true"/>
        </w:rPr>
        <w:t xml:space="preserve">, </w:t>
      </w:r>
      <w:r>
        <w:rPr>
          <w:rtl w:val="true"/>
        </w:rPr>
        <w:t>בהתחשב בכמות התחמושת שנשאו המ</w:t>
      </w:r>
      <w:r>
        <w:rPr>
          <w:rtl w:val="true"/>
        </w:rPr>
        <w:t>פגעי</w:t>
      </w:r>
      <w:r>
        <w:rPr>
          <w:rtl w:val="true"/>
        </w:rPr>
        <w:t>ם והמיקום הרגיש שבחרו כיעד – שני היבטים שהיו בידיעתו המלאה של המערער</w:t>
      </w:r>
      <w:r>
        <w:rPr>
          <w:rtl w:val="true"/>
        </w:rPr>
        <w:t xml:space="preserve">; </w:t>
      </w:r>
      <w:r>
        <w:rPr>
          <w:rtl w:val="true"/>
        </w:rPr>
        <w:t>והפרת חובת האמונים של המערער כאזרח המדינה</w:t>
      </w:r>
      <w:r>
        <w:rPr>
          <w:rtl w:val="true"/>
        </w:rPr>
        <w:t xml:space="preserve">, </w:t>
      </w:r>
      <w:r>
        <w:rPr>
          <w:rtl w:val="true"/>
        </w:rPr>
        <w:t>בחבירתו לגרועים שבאויביה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 נמצא</w:t>
      </w:r>
      <w:r>
        <w:rPr>
          <w:rtl w:val="true"/>
        </w:rPr>
        <w:t xml:space="preserve"> גם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tl w:val="true"/>
        </w:rPr>
        <w:t xml:space="preserve">מידת </w:t>
      </w:r>
      <w:r>
        <w:rPr>
          <w:rtl w:val="true"/>
        </w:rPr>
        <w:t>ה</w:t>
      </w:r>
      <w:r>
        <w:rPr>
          <w:rtl w:val="true"/>
        </w:rPr>
        <w:t>אש</w:t>
      </w:r>
      <w:r>
        <w:rPr>
          <w:rtl w:val="true"/>
        </w:rPr>
        <w:t>ם</w:t>
      </w:r>
      <w:r>
        <w:rPr>
          <w:rtl w:val="true"/>
        </w:rPr>
        <w:t xml:space="preserve"> של המערער גבוהה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מאחר ש</w:t>
      </w:r>
      <w:r>
        <w:rPr>
          <w:rtl w:val="true"/>
        </w:rPr>
        <w:t>מעשיו מצויים במדרג גבוה של סיוע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>כפסע בינו לבין מבצע בצוותא</w:t>
      </w:r>
      <w:r>
        <w:rPr>
          <w:rtl w:val="true"/>
        </w:rPr>
        <w:t xml:space="preserve">, </w:t>
      </w:r>
      <w:r>
        <w:rPr>
          <w:rtl w:val="true"/>
        </w:rPr>
        <w:t>מבחינה עובדתית ונפשית כאחד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בקבעו מתחם עונש הולם של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דחה בית המשפט המחוזי את טענת המערער כי בשונה מאחרים שהורשעו בסיוע לביצוע פיגועי טרור</w:t>
      </w:r>
      <w:r>
        <w:rPr>
          <w:rtl w:val="true"/>
        </w:rPr>
        <w:t xml:space="preserve">, </w:t>
      </w:r>
      <w:r>
        <w:rPr>
          <w:rtl w:val="true"/>
        </w:rPr>
        <w:t>תרומתו לא הייתה הכרחית לביצוע הפיגוע</w:t>
      </w:r>
      <w:r>
        <w:rPr>
          <w:rtl w:val="true"/>
        </w:rPr>
        <w:t xml:space="preserve">, </w:t>
      </w:r>
      <w:r>
        <w:rPr>
          <w:rtl w:val="true"/>
        </w:rPr>
        <w:t>מעשיו לא היו קשורים ישירות לפיגוע</w:t>
      </w:r>
      <w:r>
        <w:rPr>
          <w:rtl w:val="true"/>
        </w:rPr>
        <w:t xml:space="preserve">, </w:t>
      </w:r>
      <w:r>
        <w:rPr>
          <w:rtl w:val="true"/>
        </w:rPr>
        <w:t xml:space="preserve">לא היוו </w:t>
      </w:r>
      <w:r>
        <w:rPr>
          <w:rtl w:val="true"/>
        </w:rPr>
        <w:t>"</w:t>
      </w:r>
      <w:r>
        <w:rPr>
          <w:rtl w:val="true"/>
        </w:rPr>
        <w:t>חוליה אחרונה בשרשרת</w:t>
      </w:r>
      <w:r>
        <w:rPr>
          <w:rtl w:val="true"/>
        </w:rPr>
        <w:t xml:space="preserve">", </w:t>
      </w:r>
      <w:r>
        <w:rPr>
          <w:rtl w:val="true"/>
        </w:rPr>
        <w:t>ולא כללו ניסיון לעזור למפגעים לברוח</w:t>
      </w:r>
      <w:r>
        <w:rPr>
          <w:rtl w:val="true"/>
        </w:rPr>
        <w:t xml:space="preserve">. </w:t>
      </w:r>
      <w:r>
        <w:rPr>
          <w:rtl w:val="true"/>
        </w:rPr>
        <w:t xml:space="preserve">כן נדחו טענות המערער כי היה רק </w:t>
      </w:r>
      <w:r>
        <w:rPr>
          <w:rtl w:val="true"/>
        </w:rPr>
        <w:t>"</w:t>
      </w:r>
      <w:r>
        <w:rPr>
          <w:rtl w:val="true"/>
        </w:rPr>
        <w:t>ספיח</w:t>
      </w:r>
      <w:r>
        <w:rPr>
          <w:rtl w:val="true"/>
        </w:rPr>
        <w:t xml:space="preserve">" </w:t>
      </w:r>
      <w:r>
        <w:rPr>
          <w:rtl w:val="true"/>
        </w:rPr>
        <w:t>שעשה כדברי המפגעים</w:t>
      </w:r>
      <w:r>
        <w:rPr>
          <w:rtl w:val="true"/>
        </w:rPr>
        <w:t xml:space="preserve">, </w:t>
      </w:r>
      <w:r>
        <w:rPr>
          <w:rtl w:val="true"/>
        </w:rPr>
        <w:t>כי מעורבותו נבעה מקשרי החברות והמשפחה עם שניים מהם</w:t>
      </w:r>
      <w:r>
        <w:rPr>
          <w:rtl w:val="true"/>
        </w:rPr>
        <w:t xml:space="preserve">, </w:t>
      </w:r>
      <w:r>
        <w:rPr>
          <w:rtl w:val="true"/>
        </w:rPr>
        <w:t>וכי דחה את הצעותיהם החוזרות להצטרף לפיגוע משום שמעולם לא רצה בהתרחשותו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בהציבו את העונש מתחת לרף האמצע של המתחם שנקבע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–</w:t>
      </w:r>
      <w:r>
        <w:rPr>
          <w:rtl w:val="true"/>
        </w:rPr>
        <w:t xml:space="preserve"> קיבל בית המשפט המחוזי חלק מטענות המערער לעניין נסיבות שאינן קשורות בביצוע העבירה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tl w:val="true"/>
        </w:rPr>
        <w:t xml:space="preserve"> 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ביחס לשיתוף הפעולה מצדו עם גורמי הביטחון והאכיפה בשלב החקירה</w:t>
      </w:r>
      <w:r>
        <w:rPr>
          <w:rtl w:val="true"/>
        </w:rPr>
        <w:t xml:space="preserve">; </w:t>
      </w:r>
      <w:r>
        <w:rPr>
          <w:rtl w:val="true"/>
        </w:rPr>
        <w:t>החיסכון בזמן שיפוטי בצמצום יריעת המחלוקת</w:t>
      </w:r>
      <w:r>
        <w:rPr>
          <w:rtl w:val="true"/>
        </w:rPr>
        <w:t xml:space="preserve">, </w:t>
      </w:r>
      <w:r>
        <w:rPr>
          <w:rtl w:val="true"/>
        </w:rPr>
        <w:t>הן מבחינת העבירות והן מבחינת יסודות עבירת הסיוע</w:t>
      </w:r>
      <w:r>
        <w:rPr>
          <w:rtl w:val="true"/>
        </w:rPr>
        <w:t xml:space="preserve">; </w:t>
      </w:r>
      <w:r>
        <w:rPr>
          <w:rtl w:val="true"/>
        </w:rPr>
        <w:t>העדר עבר פלילי</w:t>
      </w:r>
      <w:r>
        <w:rPr>
          <w:rtl w:val="true"/>
        </w:rPr>
        <w:t xml:space="preserve">; </w:t>
      </w:r>
      <w:r>
        <w:rPr>
          <w:rtl w:val="true"/>
        </w:rPr>
        <w:t>ונסיבותיו האישיות כאב טרי לילדה</w:t>
      </w:r>
      <w:r>
        <w:rPr>
          <w:rtl w:val="true"/>
        </w:rPr>
        <w:t xml:space="preserve">. </w:t>
      </w: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 xml:space="preserve">הודגש הצורך </w:t>
      </w:r>
      <w:r>
        <w:rPr>
          <w:rtl w:val="true"/>
        </w:rPr>
        <w:t>"</w:t>
      </w:r>
      <w:r>
        <w:rPr>
          <w:rtl w:val="true"/>
        </w:rPr>
        <w:t>הרב בהרתעתם של מפגעים אחרים בכוח</w:t>
      </w:r>
      <w:r>
        <w:rPr>
          <w:rtl w:val="true"/>
        </w:rPr>
        <w:t xml:space="preserve">, </w:t>
      </w:r>
      <w:r>
        <w:rPr>
          <w:rtl w:val="true"/>
        </w:rPr>
        <w:t>המחייב הטלת ענישה משמעותית</w:t>
      </w:r>
      <w:r>
        <w:rPr>
          <w:rtl w:val="true"/>
        </w:rPr>
        <w:t xml:space="preserve">" </w:t>
      </w:r>
      <w:r>
        <w:rPr>
          <w:rtl w:val="true"/>
        </w:rPr>
        <w:t>על 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בסופו של דיון</w:t>
      </w:r>
      <w:r>
        <w:rPr>
          <w:rtl w:val="true"/>
        </w:rPr>
        <w:t xml:space="preserve">, </w:t>
      </w:r>
      <w:r>
        <w:rPr>
          <w:rtl w:val="true"/>
        </w:rPr>
        <w:t xml:space="preserve">נגזרו כאמור על המערער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וכן פיצויים לטובת עיזבונות שני השוטרים שנרצחו בפיגוע</w:t>
      </w:r>
      <w:r>
        <w:rPr>
          <w:rtl w:val="true"/>
        </w:rPr>
        <w:t xml:space="preserve">, </w:t>
      </w:r>
      <w:r>
        <w:rPr>
          <w:rtl w:val="true"/>
        </w:rPr>
        <w:t xml:space="preserve">בסכום המרבי המותר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ובנוסף פיצויים לטובת שוטר נוסף שנפגע וסבל מחרדה</w:t>
      </w:r>
      <w:r>
        <w:rPr>
          <w:rtl w:val="true"/>
        </w:rPr>
        <w:t xml:space="preserve">, </w:t>
      </w:r>
      <w:r>
        <w:rPr>
          <w:rtl w:val="true"/>
        </w:rPr>
        <w:t>תוך דחיית טענות המערער ביחס לנסיבותיו הכלכליות</w:t>
      </w:r>
      <w:r>
        <w:rPr>
          <w:rtl w:val="true"/>
        </w:rPr>
        <w:t>.</w:t>
      </w:r>
    </w:p>
    <w:p>
      <w:pPr>
        <w:pStyle w:val="Ruller4"/>
        <w:spacing w:before="0" w:after="42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וחומרת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המערער משיג על הרשעתו בעבירות הסיוע</w:t>
      </w:r>
      <w:r>
        <w:rPr>
          <w:rtl w:val="true"/>
        </w:rPr>
        <w:t xml:space="preserve">, </w:t>
      </w:r>
      <w:r>
        <w:rPr>
          <w:rtl w:val="true"/>
        </w:rPr>
        <w:t>ובליבת ערעורו מציב את השאלה</w:t>
      </w:r>
      <w:r>
        <w:rPr>
          <w:rtl w:val="true"/>
        </w:rPr>
        <w:t xml:space="preserve">: </w:t>
      </w:r>
      <w:r>
        <w:rPr>
          <w:rtl w:val="true"/>
        </w:rPr>
        <w:t xml:space="preserve">האם בצאתו לביצוע הירי בהרים יש משום </w:t>
      </w:r>
      <w:r>
        <w:rPr>
          <w:rtl w:val="true"/>
        </w:rPr>
        <w:t>"</w:t>
      </w:r>
      <w:r>
        <w:rPr>
          <w:rtl w:val="true"/>
        </w:rPr>
        <w:t>אימון ירי</w:t>
      </w:r>
      <w:r>
        <w:rPr>
          <w:rtl w:val="true"/>
        </w:rPr>
        <w:t xml:space="preserve">" </w:t>
      </w:r>
      <w:r>
        <w:rPr>
          <w:rtl w:val="true"/>
        </w:rPr>
        <w:t>שמטרתו לסייע למפגעים לבצע את הפיגוע</w:t>
      </w:r>
      <w:r>
        <w:rPr>
          <w:rtl w:val="true"/>
        </w:rPr>
        <w:t>?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הוא לא שם לו למטרה לסייע למפגעים</w:t>
      </w:r>
      <w:r>
        <w:rPr>
          <w:rtl w:val="true"/>
        </w:rPr>
        <w:t xml:space="preserve">, </w:t>
      </w:r>
      <w:r>
        <w:rPr>
          <w:rtl w:val="true"/>
        </w:rPr>
        <w:t xml:space="preserve">ואף לא יכול היה לצפות כי הירי מהווה </w:t>
      </w:r>
      <w:r>
        <w:rPr>
          <w:rtl w:val="true"/>
        </w:rPr>
        <w:t>"</w:t>
      </w:r>
      <w:r>
        <w:rPr>
          <w:rtl w:val="true"/>
        </w:rPr>
        <w:t>משום אימון</w:t>
      </w:r>
      <w:r>
        <w:rPr>
          <w:rtl w:val="true"/>
        </w:rPr>
        <w:t xml:space="preserve">" </w:t>
      </w:r>
      <w:r>
        <w:rPr>
          <w:rtl w:val="true"/>
        </w:rPr>
        <w:t xml:space="preserve">לקראת ביצוע הפיגוע </w:t>
      </w:r>
      <w:r>
        <w:rPr>
          <w:rtl w:val="true"/>
        </w:rPr>
        <w:softHyphen/>
        <w:t>–</w:t>
      </w:r>
      <w:r>
        <w:rPr>
          <w:rtl w:val="true"/>
        </w:rPr>
        <w:t xml:space="preserve"> </w:t>
      </w:r>
      <w:r>
        <w:rPr>
          <w:rtl w:val="true"/>
        </w:rPr>
        <w:t>ומשכך הכרעת הדין מטילה עליו אחריות גדולה יותר מזו שהיא מנת חלקו בפועל</w:t>
      </w:r>
      <w:r>
        <w:rPr>
          <w:rtl w:val="true"/>
        </w:rPr>
        <w:t xml:space="preserve">, </w:t>
      </w:r>
      <w:r>
        <w:rPr>
          <w:rtl w:val="true"/>
        </w:rPr>
        <w:t xml:space="preserve">ולכך </w:t>
      </w:r>
      <w:r>
        <w:rPr>
          <w:rtl w:val="true"/>
        </w:rPr>
        <w:t>"</w:t>
      </w:r>
      <w:r>
        <w:rPr>
          <w:rtl w:val="true"/>
        </w:rPr>
        <w:t>השלכה מוחשית</w:t>
      </w:r>
      <w:r>
        <w:rPr>
          <w:rtl w:val="true"/>
        </w:rPr>
        <w:t xml:space="preserve">" </w:t>
      </w:r>
      <w:r>
        <w:rPr>
          <w:rtl w:val="true"/>
        </w:rPr>
        <w:t>על העונש שהוטל עליו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עניינה של המחלוקת בשאלת התקיימות היסוד הנפשי של עבירת הסיוע בעת מעשיו אלה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המשיבה לא הרימה את הנטל להוכיח מעבר לספק סביר את הנטען ביחס למטרת הירי בהרים</w:t>
      </w:r>
      <w:r>
        <w:rPr>
          <w:rtl w:val="true"/>
        </w:rPr>
        <w:t xml:space="preserve">, </w:t>
      </w:r>
      <w:r>
        <w:rPr>
          <w:rtl w:val="true"/>
        </w:rPr>
        <w:t xml:space="preserve">והיותו בעל </w:t>
      </w:r>
      <w:r>
        <w:rPr>
          <w:rtl w:val="true"/>
        </w:rPr>
        <w:t>"</w:t>
      </w:r>
      <w:r>
        <w:rPr>
          <w:rtl w:val="true"/>
        </w:rPr>
        <w:t>זיקה כלשהי</w:t>
      </w:r>
      <w:r>
        <w:rPr>
          <w:rtl w:val="true"/>
        </w:rPr>
        <w:t xml:space="preserve">" </w:t>
      </w:r>
      <w:r>
        <w:rPr>
          <w:rtl w:val="true"/>
        </w:rPr>
        <w:t>לפיגוע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המערער מעלה שלוש השגות פרטניות על הכרעת הדין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נטען שהמונח </w:t>
      </w:r>
      <w:r>
        <w:rPr>
          <w:rtl w:val="true"/>
        </w:rPr>
        <w:t>"</w:t>
      </w:r>
      <w:r>
        <w:rPr>
          <w:rtl w:val="true"/>
        </w:rPr>
        <w:t>אימוני ירי</w:t>
      </w:r>
      <w:r>
        <w:rPr>
          <w:rtl w:val="true"/>
        </w:rPr>
        <w:t xml:space="preserve">" </w:t>
      </w:r>
      <w:r>
        <w:rPr>
          <w:rtl w:val="true"/>
        </w:rPr>
        <w:t xml:space="preserve">לא נולד </w:t>
      </w:r>
      <w:r>
        <w:rPr>
          <w:rtl w:val="true"/>
        </w:rPr>
        <w:t>"</w:t>
      </w:r>
      <w:r>
        <w:rPr>
          <w:rtl w:val="true"/>
        </w:rPr>
        <w:t>מרחם האמת העובדתית</w:t>
      </w:r>
      <w:r>
        <w:rPr>
          <w:rtl w:val="true"/>
        </w:rPr>
        <w:t xml:space="preserve">", </w:t>
      </w:r>
      <w:r>
        <w:rPr>
          <w:rtl w:val="true"/>
        </w:rPr>
        <w:t xml:space="preserve">אלא נוצר </w:t>
      </w:r>
      <w:r>
        <w:rPr>
          <w:rtl w:val="true"/>
        </w:rPr>
        <w:t>"</w:t>
      </w:r>
      <w:r>
        <w:rPr>
          <w:rtl w:val="true"/>
        </w:rPr>
        <w:t>בכור ההיתוך החשדני של עולם התוכן ואוצר המילים</w:t>
      </w:r>
      <w:r>
        <w:rPr>
          <w:rtl w:val="true"/>
        </w:rPr>
        <w:t xml:space="preserve">" </w:t>
      </w:r>
      <w:r>
        <w:rPr>
          <w:rtl w:val="true"/>
        </w:rPr>
        <w:t>הביטחוני של חוקרי 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ובהשפעת תוצאותיו הנוראיות של הפיגוע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טוען המערער</w:t>
      </w:r>
      <w:r>
        <w:rPr>
          <w:rtl w:val="true"/>
        </w:rPr>
        <w:t xml:space="preserve">, </w:t>
      </w:r>
      <w:r>
        <w:rPr>
          <w:rtl w:val="true"/>
        </w:rPr>
        <w:t>שגה בית המשפט המחוזי בכך שהתבסס על סברות</w:t>
      </w:r>
      <w:r>
        <w:rPr>
          <w:rtl w:val="true"/>
        </w:rPr>
        <w:t xml:space="preserve">, </w:t>
      </w:r>
      <w:r>
        <w:rPr>
          <w:rtl w:val="true"/>
        </w:rPr>
        <w:t>פרשנויות</w:t>
      </w:r>
      <w:r>
        <w:rPr>
          <w:rtl w:val="true"/>
        </w:rPr>
        <w:t xml:space="preserve">, </w:t>
      </w:r>
      <w:r>
        <w:rPr>
          <w:rtl w:val="true"/>
        </w:rPr>
        <w:t>ניתוחים</w:t>
      </w:r>
      <w:r>
        <w:rPr>
          <w:rtl w:val="true"/>
        </w:rPr>
        <w:t xml:space="preserve">, </w:t>
      </w:r>
      <w:r>
        <w:rPr>
          <w:rtl w:val="true"/>
        </w:rPr>
        <w:t>ותובנות של חוקריו</w:t>
      </w:r>
      <w:r>
        <w:rPr>
          <w:rtl w:val="true"/>
        </w:rPr>
        <w:t xml:space="preserve">; </w:t>
      </w:r>
      <w:r>
        <w:rPr>
          <w:rtl w:val="true"/>
        </w:rPr>
        <w:t>במקום זאת</w:t>
      </w:r>
      <w:r>
        <w:rPr>
          <w:rtl w:val="true"/>
        </w:rPr>
        <w:t xml:space="preserve">, </w:t>
      </w:r>
      <w:r>
        <w:rPr>
          <w:rtl w:val="true"/>
        </w:rPr>
        <w:t>ולכל הפחות</w:t>
      </w:r>
      <w:r>
        <w:rPr>
          <w:rtl w:val="true"/>
        </w:rPr>
        <w:t xml:space="preserve">, </w:t>
      </w:r>
      <w:r>
        <w:rPr>
          <w:rtl w:val="true"/>
        </w:rPr>
        <w:t>היה על בית המשפט לקבוע כי הראיות אינן מספיקות כדי להכריע לחובת המערער במחלוקת לעניין תכלית הירי וזיקתו לפיגוע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נטען כי יש להפחית ממשקל הודעות המערער במשטרה</w:t>
      </w:r>
      <w:r>
        <w:rPr>
          <w:rtl w:val="true"/>
        </w:rPr>
        <w:t xml:space="preserve">, </w:t>
      </w:r>
      <w:r>
        <w:rPr>
          <w:rtl w:val="true"/>
        </w:rPr>
        <w:t>בהעדר תיעוד כתוב לחקירותיו אלה בשפתו</w:t>
      </w:r>
      <w:r>
        <w:rPr>
          <w:rtl w:val="true"/>
        </w:rPr>
        <w:t xml:space="preserve">, </w:t>
      </w:r>
      <w:r>
        <w:rPr>
          <w:rtl w:val="true"/>
        </w:rPr>
        <w:t xml:space="preserve">והעדר תיעוד חזותי או קולי חלף זאת </w:t>
      </w:r>
      <w:r>
        <w:rPr>
          <w:rtl w:val="true"/>
        </w:rPr>
        <w:t>–</w:t>
      </w:r>
      <w:r>
        <w:rPr>
          <w:rtl w:val="true"/>
        </w:rPr>
        <w:t xml:space="preserve"> הכל בניגוד לאמור </w:t>
      </w:r>
      <w:hyperlink r:id="rId3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חקירת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חשודים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התיעוד</w:t>
      </w:r>
      <w:r>
        <w:rPr>
          <w:rtl w:val="true"/>
        </w:rPr>
        <w:t xml:space="preserve">).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בית המשפט המחוזי לא נתן משקל הולם למחדל חקירתי זה</w:t>
      </w:r>
      <w:r>
        <w:rPr>
          <w:rtl w:val="true"/>
        </w:rPr>
        <w:t xml:space="preserve">, </w:t>
      </w:r>
      <w:r>
        <w:rPr>
          <w:rtl w:val="true"/>
        </w:rPr>
        <w:t>שכן העדר תיעוד כתוב בשפה בה נחקר פוגם במהימנות התרגום הסימולטני של דבריו בסוגיה שבמחלוקת</w:t>
      </w:r>
      <w:r>
        <w:rPr>
          <w:rtl w:val="true"/>
        </w:rPr>
        <w:t xml:space="preserve">, </w:t>
      </w:r>
      <w:r>
        <w:rPr>
          <w:rtl w:val="true"/>
        </w:rPr>
        <w:t>ובכך מקים ספק הפועל לזכותו במנותק משאלת קבילותן של אימרותיו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נטען שבדחיית גרסת המערער כי הירי בהרים נועד למטרת שעשוע</w:t>
      </w:r>
      <w:r>
        <w:rPr>
          <w:rtl w:val="true"/>
        </w:rPr>
        <w:t xml:space="preserve">, </w:t>
      </w:r>
      <w:r>
        <w:rPr>
          <w:rtl w:val="true"/>
        </w:rPr>
        <w:t>התעלם בית המשפט המחוזי מ</w:t>
      </w:r>
      <w:r>
        <w:rPr>
          <w:rtl w:val="true"/>
        </w:rPr>
        <w:t>-"</w:t>
      </w:r>
      <w:r>
        <w:rPr>
          <w:rtl w:val="true"/>
        </w:rPr>
        <w:t>צבר נסיבות קשיחות</w:t>
      </w:r>
      <w:r>
        <w:rPr>
          <w:rtl w:val="true"/>
        </w:rPr>
        <w:t xml:space="preserve">" </w:t>
      </w:r>
      <w:r>
        <w:rPr>
          <w:rtl w:val="true"/>
        </w:rPr>
        <w:t xml:space="preserve">שלאורן </w:t>
      </w:r>
      <w:r>
        <w:rPr>
          <w:rtl w:val="true"/>
        </w:rPr>
        <w:t>"</w:t>
      </w:r>
      <w:r>
        <w:rPr>
          <w:rtl w:val="true"/>
        </w:rPr>
        <w:t>ניתן בהחלט</w:t>
      </w:r>
      <w:r>
        <w:rPr>
          <w:rtl w:val="true"/>
        </w:rPr>
        <w:t xml:space="preserve">" </w:t>
      </w:r>
      <w:r>
        <w:rPr>
          <w:rtl w:val="true"/>
        </w:rPr>
        <w:t xml:space="preserve">להגיע למסקנה כי היה זה ירי </w:t>
      </w:r>
      <w:r>
        <w:rPr>
          <w:rtl w:val="true"/>
        </w:rPr>
        <w:t>"</w:t>
      </w:r>
      <w:r>
        <w:rPr>
          <w:rtl w:val="true"/>
        </w:rPr>
        <w:t>חסר</w:t>
      </w:r>
      <w:r>
        <w:rPr>
          <w:rtl w:val="true"/>
        </w:rPr>
        <w:t>-</w:t>
      </w:r>
      <w:r>
        <w:rPr>
          <w:rtl w:val="true"/>
        </w:rPr>
        <w:t>תכלית</w:t>
      </w:r>
      <w:r>
        <w:rPr>
          <w:rtl w:val="true"/>
        </w:rPr>
        <w:t xml:space="preserve">". </w:t>
      </w:r>
      <w:r>
        <w:rPr>
          <w:rtl w:val="true"/>
        </w:rPr>
        <w:t xml:space="preserve">בכלל זאת מציין המערער את היות המפגעים </w:t>
      </w:r>
      <w:r>
        <w:rPr>
          <w:rtl w:val="true"/>
        </w:rPr>
        <w:t>"</w:t>
      </w:r>
      <w:r>
        <w:rPr>
          <w:rtl w:val="true"/>
        </w:rPr>
        <w:t>חובבי ירי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עיסוק </w:t>
      </w:r>
      <w:r>
        <w:rPr>
          <w:rtl w:val="true"/>
        </w:rPr>
        <w:t>"</w:t>
      </w:r>
      <w:r>
        <w:rPr>
          <w:rtl w:val="true"/>
        </w:rPr>
        <w:t>שגרתי</w:t>
      </w:r>
      <w:r>
        <w:rPr>
          <w:rtl w:val="true"/>
        </w:rPr>
        <w:t xml:space="preserve">" </w:t>
      </w:r>
      <w:r>
        <w:rPr>
          <w:rtl w:val="true"/>
        </w:rPr>
        <w:t>בעבורם</w:t>
      </w:r>
      <w:r>
        <w:rPr>
          <w:rtl w:val="true"/>
        </w:rPr>
        <w:t xml:space="preserve">, </w:t>
      </w:r>
      <w:r>
        <w:rPr>
          <w:rtl w:val="true"/>
        </w:rPr>
        <w:t xml:space="preserve">שלדבריו קדם להיכרותם ולתכנון הפיגוע </w:t>
      </w:r>
      <w:r>
        <w:rPr>
          <w:rtl w:val="true"/>
        </w:rPr>
        <w:t>–</w:t>
      </w:r>
      <w:r>
        <w:rPr>
          <w:rtl w:val="true"/>
        </w:rPr>
        <w:t xml:space="preserve"> אשר לכן לא התייחסו לירי בהרים כאימון</w:t>
      </w:r>
      <w:r>
        <w:rPr>
          <w:rtl w:val="true"/>
        </w:rPr>
        <w:t xml:space="preserve">; </w:t>
      </w:r>
      <w:r>
        <w:rPr>
          <w:rtl w:val="true"/>
        </w:rPr>
        <w:t xml:space="preserve">את </w:t>
      </w:r>
      <w:r>
        <w:rPr>
          <w:rtl w:val="true"/>
        </w:rPr>
        <w:t>"</w:t>
      </w:r>
      <w:r>
        <w:rPr>
          <w:rtl w:val="true"/>
        </w:rPr>
        <w:t>תופעת הירי</w:t>
      </w:r>
      <w:r>
        <w:rPr>
          <w:rtl w:val="true"/>
        </w:rPr>
        <w:t xml:space="preserve">" </w:t>
      </w:r>
      <w:r>
        <w:rPr>
          <w:rtl w:val="true"/>
        </w:rPr>
        <w:t>שקיימת בעירו ומוכרת לגורמי האכיפה והביטחון</w:t>
      </w:r>
      <w:r>
        <w:rPr>
          <w:rtl w:val="true"/>
        </w:rPr>
        <w:t xml:space="preserve">; </w:t>
      </w:r>
      <w:r>
        <w:rPr>
          <w:rtl w:val="true"/>
        </w:rPr>
        <w:t>וכן את אופיו הסתמי והבלתי</w:t>
      </w:r>
      <w:r>
        <w:rPr>
          <w:rtl w:val="true"/>
        </w:rPr>
        <w:t>-</w:t>
      </w:r>
      <w:r>
        <w:rPr>
          <w:rtl w:val="true"/>
        </w:rPr>
        <w:t>מתוכנן של הירי</w:t>
      </w:r>
      <w:r>
        <w:rPr>
          <w:rtl w:val="true"/>
        </w:rPr>
        <w:t xml:space="preserve">, </w:t>
      </w:r>
      <w:r>
        <w:rPr>
          <w:rtl w:val="true"/>
        </w:rPr>
        <w:t>שלא תאם את מתווה הפיגוע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טוען המערער</w:t>
      </w:r>
      <w:r>
        <w:rPr>
          <w:rtl w:val="true"/>
        </w:rPr>
        <w:t xml:space="preserve">, </w:t>
      </w:r>
      <w:r>
        <w:rPr>
          <w:rtl w:val="true"/>
        </w:rPr>
        <w:t>מכלול נסיבות הירי אינו מעלה חשד סביר שמדובר היה באימונים</w:t>
      </w:r>
      <w:r>
        <w:rPr>
          <w:rtl w:val="true"/>
        </w:rPr>
        <w:t xml:space="preserve">, </w:t>
      </w:r>
      <w:r>
        <w:rPr>
          <w:rtl w:val="true"/>
        </w:rPr>
        <w:t>ומכאן שגם לא הייתה לו מטרה לסייע במעשיו אלה לפיגוע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באשר לחומרת העונש שנגזר עליו</w:t>
      </w:r>
      <w:r>
        <w:rPr>
          <w:rtl w:val="true"/>
        </w:rPr>
        <w:t xml:space="preserve">, </w:t>
      </w:r>
      <w:r>
        <w:rPr>
          <w:rtl w:val="true"/>
        </w:rPr>
        <w:t>המערער טוען כי לנוכח חלקו המצומצם ביחס לזה שנקבע בפסק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כמתואר בנימוקי ערעורו</w:t>
      </w:r>
      <w:r>
        <w:rPr>
          <w:rtl w:val="true"/>
        </w:rPr>
        <w:t xml:space="preserve">, </w:t>
      </w:r>
      <w:r>
        <w:rPr>
          <w:rtl w:val="true"/>
        </w:rPr>
        <w:t>יש אף להקל בעונשו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 xml:space="preserve">נטען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tl w:val="true"/>
        </w:rPr>
        <w:t xml:space="preserve">",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בעיתוי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tl w:val="true"/>
        </w:rPr>
        <w:t>-</w:t>
      </w:r>
      <w:r>
        <w:rPr>
          <w:rtl w:val="true"/>
        </w:rPr>
        <w:t>תקדים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לפיגועי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</w:t>
      </w:r>
      <w:r>
        <w:rPr>
          <w:rtl w:val="true"/>
        </w:rPr>
        <w:t>-</w:t>
      </w:r>
      <w:r>
        <w:rPr>
          <w:rtl w:val="true"/>
        </w:rPr>
        <w:t>נפגעים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הפלסטיני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טוען המערער כי בהצבת העונש בתוך המתחם ניתן משקל</w:t>
      </w:r>
      <w:r>
        <w:rPr>
          <w:rtl w:val="true"/>
        </w:rPr>
        <w:t>-</w:t>
      </w:r>
      <w:r>
        <w:rPr>
          <w:rtl w:val="true"/>
        </w:rPr>
        <w:t>יתר להרתעת הרבים</w:t>
      </w:r>
      <w:r>
        <w:rPr>
          <w:rtl w:val="true"/>
        </w:rPr>
        <w:t xml:space="preserve">, </w:t>
      </w:r>
      <w:r>
        <w:rPr>
          <w:rtl w:val="true"/>
        </w:rPr>
        <w:t xml:space="preserve">שכן מעורבות אזרחים ישראלים בפיגועי טרור היא עדיין בגדר חריג </w:t>
      </w:r>
      <w:r>
        <w:rPr>
          <w:rtl w:val="true"/>
        </w:rPr>
        <w:t>–</w:t>
      </w:r>
      <w:r>
        <w:rPr>
          <w:rtl w:val="true"/>
        </w:rPr>
        <w:t xml:space="preserve"> וכי סכום הפיצויים גבוה יותר אף מזה שנקבע למבצעים עיקריים של פיגועי טרור </w:t>
      </w:r>
      <w:r>
        <w:rPr>
          <w:rtl w:val="true"/>
        </w:rPr>
        <w:t>–</w:t>
      </w:r>
      <w:r>
        <w:rPr>
          <w:rtl w:val="true"/>
        </w:rPr>
        <w:t xml:space="preserve"> וזאת רק משום שהמפגעים אינם בין החיים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וערעורה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שכנגד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המשיבה סומכת את ידיה על הכרעת הדין המפורטת והמנומקת</w:t>
      </w:r>
      <w:r>
        <w:rPr>
          <w:rtl w:val="true"/>
        </w:rPr>
        <w:t xml:space="preserve">, </w:t>
      </w:r>
      <w:r>
        <w:rPr>
          <w:rtl w:val="true"/>
        </w:rPr>
        <w:t>וסבורה כי טענות המערער אינן מצביעות על טעות כלשהי שנפלה בה</w:t>
      </w:r>
      <w:r>
        <w:rPr>
          <w:rtl w:val="true"/>
        </w:rPr>
        <w:t xml:space="preserve">, </w:t>
      </w:r>
      <w:r>
        <w:rPr>
          <w:rtl w:val="true"/>
        </w:rPr>
        <w:t>כל שכן טעות המצדיקה התערבות ערכאת ערעור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 המשיבה</w:t>
      </w:r>
      <w:r>
        <w:rPr>
          <w:rtl w:val="true"/>
        </w:rPr>
        <w:t xml:space="preserve">, </w:t>
      </w:r>
      <w:r>
        <w:rPr>
          <w:rtl w:val="true"/>
        </w:rPr>
        <w:t xml:space="preserve">צדק בית המשפט המחוזי בקבעו כי לשאלת המינוח המדויק בו השתמש המערער בחקירותיו לתיאור הירי בהרים </w:t>
      </w:r>
      <w:r>
        <w:rPr>
          <w:rtl w:val="true"/>
        </w:rPr>
        <w:t>"</w:t>
      </w:r>
      <w:r>
        <w:rPr>
          <w:rtl w:val="true"/>
        </w:rPr>
        <w:t>אין כל משמעות</w:t>
      </w:r>
      <w:r>
        <w:rPr>
          <w:rtl w:val="true"/>
        </w:rPr>
        <w:t xml:space="preserve">", </w:t>
      </w:r>
      <w:r>
        <w:rPr>
          <w:rtl w:val="true"/>
        </w:rPr>
        <w:t>ואין בה כדי לשנות את התמונה הראייתית הכוללת</w:t>
      </w:r>
      <w:r>
        <w:rPr>
          <w:rtl w:val="true"/>
        </w:rPr>
        <w:t xml:space="preserve">, </w:t>
      </w:r>
      <w:r>
        <w:rPr>
          <w:rtl w:val="true"/>
        </w:rPr>
        <w:t>לפיה קיים קשר הדוק בין הירי לפיגוע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המשיבה מציינת כי בית המשפט שב והדגיש שהכרעתו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tl w:val="true"/>
        </w:rPr>
        <w:t xml:space="preserve"> מבוססת על ההנחה לפיה המערער השתמש במונח </w:t>
      </w:r>
      <w:r>
        <w:rPr>
          <w:rtl w:val="true"/>
        </w:rPr>
        <w:t>"</w:t>
      </w:r>
      <w:r>
        <w:rPr>
          <w:rtl w:val="true"/>
        </w:rPr>
        <w:t>אימוני ירי</w:t>
      </w:r>
      <w:r>
        <w:rPr>
          <w:rtl w:val="true"/>
        </w:rPr>
        <w:t xml:space="preserve">" </w:t>
      </w:r>
      <w:r>
        <w:rPr>
          <w:rtl w:val="true"/>
        </w:rPr>
        <w:t>בחקירותיו</w:t>
      </w:r>
      <w:r>
        <w:rPr>
          <w:rtl w:val="true"/>
        </w:rPr>
        <w:t xml:space="preserve">, </w:t>
      </w:r>
      <w:r>
        <w:rPr>
          <w:rtl w:val="true"/>
        </w:rPr>
        <w:t xml:space="preserve">וטוענת כי אף אם נניח </w:t>
      </w:r>
      <w:r>
        <w:rPr>
          <w:rFonts w:ascii="Century" w:hAnsi="Century" w:cs="Century"/>
          <w:sz w:val="22"/>
          <w:sz w:val="22"/>
          <w:rtl w:val="true"/>
        </w:rPr>
        <w:t>שהמערער לא נקט</w:t>
      </w:r>
      <w:r>
        <w:rPr>
          <w:rtl w:val="true"/>
        </w:rPr>
        <w:t xml:space="preserve"> בלשון </w:t>
      </w:r>
      <w:r>
        <w:rPr>
          <w:rtl w:val="true"/>
        </w:rPr>
        <w:t>"</w:t>
      </w:r>
      <w:r>
        <w:rPr>
          <w:rtl w:val="true"/>
        </w:rPr>
        <w:t>אימון</w:t>
      </w:r>
      <w:r>
        <w:rPr>
          <w:rtl w:val="true"/>
        </w:rPr>
        <w:t xml:space="preserve">", </w:t>
      </w:r>
      <w:r>
        <w:rPr>
          <w:rtl w:val="true"/>
        </w:rPr>
        <w:t>הרי שעדויות החוקרים ומכלול נסיבות הירי בהרים מצביעים על כך שהיווה אימון לקראת הפיגוע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טוענת המשיבה כי אין לנתק את הירי בהרים מהתמונה הכוללת</w:t>
      </w:r>
      <w:r>
        <w:rPr>
          <w:rtl w:val="true"/>
        </w:rPr>
        <w:t xml:space="preserve">, </w:t>
      </w:r>
      <w:r>
        <w:rPr>
          <w:rtl w:val="true"/>
        </w:rPr>
        <w:t xml:space="preserve">המהווה </w:t>
      </w:r>
      <w:r>
        <w:rPr>
          <w:rtl w:val="true"/>
        </w:rPr>
        <w:t>"</w:t>
      </w:r>
      <w:r>
        <w:rPr>
          <w:rtl w:val="true"/>
        </w:rPr>
        <w:t>פאזל ראייתי שלם</w:t>
      </w:r>
      <w:r>
        <w:rPr>
          <w:rtl w:val="true"/>
        </w:rPr>
        <w:t xml:space="preserve">", </w:t>
      </w:r>
      <w:r>
        <w:rPr>
          <w:rtl w:val="true"/>
        </w:rPr>
        <w:t>וממנה עולה שלמערער הייתה מטרה ברורה לסייע למפגעים</w:t>
      </w:r>
      <w:r>
        <w:rPr>
          <w:rtl w:val="true"/>
        </w:rPr>
        <w:t xml:space="preserve">, </w:t>
      </w:r>
      <w:r>
        <w:rPr>
          <w:rtl w:val="true"/>
        </w:rPr>
        <w:t xml:space="preserve">וכי היה מודע לכך שמעשיו תורמים לביצוע הפיגוע </w:t>
      </w:r>
      <w:r>
        <w:rPr>
          <w:rtl w:val="true"/>
        </w:rPr>
        <w:t>–</w:t>
      </w:r>
      <w:r>
        <w:rPr>
          <w:rtl w:val="true"/>
        </w:rPr>
        <w:t xml:space="preserve"> וזאת כבר בשלבים המוקדמים של תכנון הפיגוע</w:t>
      </w:r>
      <w:r>
        <w:rPr>
          <w:rtl w:val="true"/>
        </w:rPr>
        <w:t xml:space="preserve">, </w:t>
      </w:r>
      <w:r>
        <w:rPr>
          <w:rtl w:val="true"/>
        </w:rPr>
        <w:t>כמו גם לאחר שבוצע</w:t>
      </w:r>
      <w:r>
        <w:rPr>
          <w:rtl w:val="true"/>
        </w:rPr>
        <w:t xml:space="preserve">; </w:t>
      </w:r>
      <w:r>
        <w:rPr>
          <w:rtl w:val="true"/>
        </w:rPr>
        <w:t>בהקשר זה מפנה המשיבה לפרטים שונים שמסר המערער בחקירותיו ולראיות שאימתו מגוון פרטים נוספים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נטען כי המפגעים ביקשו מהמערער שיסיעם לירי בהרים מאחר שראו בו שותף מלא לתכניותיהם</w:t>
      </w:r>
      <w:r>
        <w:rPr>
          <w:rtl w:val="true"/>
        </w:rPr>
        <w:t xml:space="preserve">, </w:t>
      </w:r>
      <w:r>
        <w:rPr>
          <w:rtl w:val="true"/>
        </w:rPr>
        <w:t>וכי בהיענותו לבקשתם הבין המערער שיש קשר הדוק בין הירי בהרים לפיגוע המתוכנן</w:t>
      </w:r>
      <w:r>
        <w:rPr>
          <w:rtl w:val="true"/>
        </w:rPr>
        <w:t xml:space="preserve">, </w:t>
      </w:r>
      <w:r>
        <w:rPr>
          <w:rtl w:val="true"/>
        </w:rPr>
        <w:t>וכי מטרת הירי היא אימון לקראת הפיגוע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המשיבה סומכת את ידיה על קביעת בית המשפט המחוזי כי הוכח רכיב המטרה של היסוד הנפשי הדרוש להרשעת המערער בעבירות הסיוע</w:t>
      </w:r>
      <w:r>
        <w:rPr>
          <w:rtl w:val="true"/>
        </w:rPr>
        <w:t xml:space="preserve">, </w:t>
      </w:r>
      <w:r>
        <w:rPr>
          <w:rtl w:val="true"/>
        </w:rPr>
        <w:t xml:space="preserve">וזאת אף ללא החלת </w:t>
      </w:r>
      <w:r>
        <w:rPr>
          <w:rtl w:val="true"/>
        </w:rPr>
        <w:t>"</w:t>
      </w:r>
      <w:r>
        <w:rPr>
          <w:rtl w:val="true"/>
        </w:rPr>
        <w:t>הלכת הצפיות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וכן על קביעתו באשר למחדל החקירתי הנטען</w:t>
      </w:r>
      <w:r>
        <w:rPr>
          <w:rtl w:val="true"/>
        </w:rPr>
        <w:t xml:space="preserve">: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 xml:space="preserve">אין במחדל </w:t>
      </w:r>
      <w:r>
        <w:rPr>
          <w:rtl w:val="true"/>
        </w:rPr>
        <w:t>"</w:t>
      </w:r>
      <w:r>
        <w:rPr>
          <w:rtl w:val="true"/>
        </w:rPr>
        <w:t>כדי להעלות או להוריד</w:t>
      </w:r>
      <w:r>
        <w:rPr>
          <w:rtl w:val="true"/>
        </w:rPr>
        <w:t xml:space="preserve">" </w:t>
      </w:r>
      <w:r>
        <w:rPr>
          <w:rtl w:val="true"/>
        </w:rPr>
        <w:t>ביחס להגנת המערער</w:t>
      </w:r>
      <w:r>
        <w:rPr>
          <w:rtl w:val="true"/>
        </w:rPr>
        <w:t xml:space="preserve">, </w:t>
      </w:r>
      <w:r>
        <w:rPr>
          <w:rtl w:val="true"/>
        </w:rPr>
        <w:t>שאינו טוען לאי</w:t>
      </w:r>
      <w:r>
        <w:rPr>
          <w:rtl w:val="true"/>
        </w:rPr>
        <w:t>-</w:t>
      </w:r>
      <w:r>
        <w:rPr>
          <w:rtl w:val="true"/>
        </w:rPr>
        <w:t>קבילותן של אימרותיו במשטרה אלא מלין על רישום לא מדויק של דבריו ביחס לירי בהרים בלבד</w:t>
      </w:r>
      <w:r>
        <w:rPr>
          <w:rtl w:val="true"/>
        </w:rPr>
        <w:t xml:space="preserve">, </w:t>
      </w:r>
      <w:r>
        <w:rPr>
          <w:rtl w:val="true"/>
        </w:rPr>
        <w:t>אשר מכלול הראיות מלמד בבירור כי נועד למטרות טרור ולצורך הפיגוע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בערעורה שכנגד על קולת העונש</w:t>
      </w:r>
      <w:r>
        <w:rPr>
          <w:rtl w:val="true"/>
        </w:rPr>
        <w:t xml:space="preserve">, </w:t>
      </w:r>
      <w:r>
        <w:rPr>
          <w:rtl w:val="true"/>
        </w:rPr>
        <w:t>המשיבה טוענת כי למרות הרטוריקה הנוקבת שבגזר הדין</w:t>
      </w:r>
      <w:r>
        <w:rPr>
          <w:rtl w:val="true"/>
        </w:rPr>
        <w:t xml:space="preserve">, </w:t>
      </w:r>
      <w:r>
        <w:rPr>
          <w:rtl w:val="true"/>
        </w:rPr>
        <w:t>נעדרת ממנו המסקנה העונשית המתחייבת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נטען כי בעונש המאסר ה</w:t>
      </w:r>
      <w:r>
        <w:rPr>
          <w:rtl w:val="true"/>
        </w:rPr>
        <w:t>-"</w:t>
      </w:r>
      <w:r>
        <w:rPr>
          <w:rtl w:val="true"/>
        </w:rPr>
        <w:t>קל יחסית</w:t>
      </w:r>
      <w:r>
        <w:rPr>
          <w:rtl w:val="true"/>
        </w:rPr>
        <w:t xml:space="preserve">" </w:t>
      </w:r>
      <w:r>
        <w:rPr>
          <w:rtl w:val="true"/>
        </w:rPr>
        <w:t xml:space="preserve">לא ניתן ביטוי הולם לבחירה במתחם הר הבית כיעד לפיגוע </w:t>
      </w:r>
      <w:r>
        <w:rPr>
          <w:rtl w:val="true"/>
        </w:rPr>
        <w:t>–</w:t>
      </w:r>
      <w:r>
        <w:rPr>
          <w:rtl w:val="true"/>
        </w:rPr>
        <w:t xml:space="preserve"> היינו</w:t>
      </w:r>
      <w:r>
        <w:rPr>
          <w:rtl w:val="true"/>
        </w:rPr>
        <w:t xml:space="preserve">, </w:t>
      </w:r>
      <w:r>
        <w:rPr>
          <w:rtl w:val="true"/>
        </w:rPr>
        <w:t>לקדושתו הרבה של המקום</w:t>
      </w:r>
      <w:r>
        <w:rPr>
          <w:rtl w:val="true"/>
        </w:rPr>
        <w:t xml:space="preserve">, </w:t>
      </w:r>
      <w:r>
        <w:rPr>
          <w:rtl w:val="true"/>
        </w:rPr>
        <w:t>ולהשלכות החמורות שהיו לביצוע הפיגוע על אינטרסים חיוניים</w:t>
      </w:r>
      <w:r>
        <w:rPr>
          <w:rtl w:val="true"/>
        </w:rPr>
        <w:t xml:space="preserve">, </w:t>
      </w:r>
      <w:r>
        <w:rPr>
          <w:rtl w:val="true"/>
        </w:rPr>
        <w:t>ביטחוניים ומדיניים כאחד</w:t>
      </w:r>
      <w:r>
        <w:rPr>
          <w:rtl w:val="true"/>
        </w:rPr>
        <w:t xml:space="preserve">. </w:t>
      </w:r>
      <w:r>
        <w:rPr>
          <w:rtl w:val="true"/>
        </w:rPr>
        <w:t>בהקשר זה מציינת המשיבה כי בעקבות הפיגוע</w:t>
      </w:r>
      <w:r>
        <w:rPr>
          <w:rtl w:val="true"/>
        </w:rPr>
        <w:t xml:space="preserve">, </w:t>
      </w:r>
      <w:r>
        <w:rPr>
          <w:rtl w:val="true"/>
        </w:rPr>
        <w:t>מתחם הר הבית נסגר ליומיים</w:t>
      </w:r>
      <w:r>
        <w:rPr>
          <w:rtl w:val="true"/>
        </w:rPr>
        <w:t xml:space="preserve">; </w:t>
      </w:r>
      <w:r>
        <w:rPr>
          <w:rtl w:val="true"/>
        </w:rPr>
        <w:t>כי לכשנפתח</w:t>
      </w:r>
      <w:r>
        <w:rPr>
          <w:rtl w:val="true"/>
        </w:rPr>
        <w:t xml:space="preserve">, </w:t>
      </w:r>
      <w:r>
        <w:rPr>
          <w:rtl w:val="true"/>
        </w:rPr>
        <w:t xml:space="preserve">הוצבו גלאי מתכות </w:t>
      </w:r>
      <w:r>
        <w:rPr>
          <w:rtl w:val="true"/>
        </w:rPr>
        <w:t>(</w:t>
      </w:r>
      <w:r>
        <w:rPr>
          <w:rtl w:val="true"/>
        </w:rPr>
        <w:t>מגנומטרים</w:t>
      </w:r>
      <w:r>
        <w:rPr>
          <w:rtl w:val="true"/>
        </w:rPr>
        <w:t xml:space="preserve">) </w:t>
      </w:r>
      <w:r>
        <w:rPr>
          <w:rtl w:val="true"/>
        </w:rPr>
        <w:t>בכניסות אליו</w:t>
      </w:r>
      <w:r>
        <w:rPr>
          <w:rtl w:val="true"/>
        </w:rPr>
        <w:t xml:space="preserve">, </w:t>
      </w:r>
      <w:r>
        <w:rPr>
          <w:rtl w:val="true"/>
        </w:rPr>
        <w:t>דבר שהוביל לעימותים אלימים עם המתפללים</w:t>
      </w:r>
      <w:r>
        <w:rPr>
          <w:rtl w:val="true"/>
        </w:rPr>
        <w:t xml:space="preserve">; </w:t>
      </w:r>
      <w:r>
        <w:rPr>
          <w:rtl w:val="true"/>
        </w:rPr>
        <w:t>וכי כעבור זמן קצר</w:t>
      </w:r>
      <w:r>
        <w:rPr>
          <w:rtl w:val="true"/>
        </w:rPr>
        <w:t xml:space="preserve">, </w:t>
      </w:r>
      <w:r>
        <w:rPr>
          <w:rtl w:val="true"/>
        </w:rPr>
        <w:t>משהוסרו הגלאים</w:t>
      </w:r>
      <w:r>
        <w:rPr>
          <w:rtl w:val="true"/>
        </w:rPr>
        <w:t xml:space="preserve">, </w:t>
      </w:r>
      <w:r>
        <w:rPr>
          <w:rtl w:val="true"/>
        </w:rPr>
        <w:t xml:space="preserve">בוצע במקום פיגוע ירי נוסף </w:t>
      </w:r>
      <w:r>
        <w:rPr>
          <w:rtl w:val="true"/>
        </w:rPr>
        <w:t>–</w:t>
      </w:r>
      <w:r>
        <w:rPr>
          <w:rtl w:val="true"/>
        </w:rPr>
        <w:t xml:space="preserve"> שקדמו לו דברי הסתה ועידוד בהשראת הפיגוע לו סייע 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עוד טוענת המשיבה כי למערער הייתה מחשבה פלילית זהה לזו של מבצע עיקרי </w:t>
      </w:r>
      <w:r>
        <w:rPr>
          <w:rtl w:val="true"/>
        </w:rPr>
        <w:t>–</w:t>
      </w:r>
      <w:r>
        <w:rPr>
          <w:rtl w:val="true"/>
        </w:rPr>
        <w:t xml:space="preserve"> היינו</w:t>
      </w:r>
      <w:r>
        <w:rPr>
          <w:rtl w:val="true"/>
        </w:rPr>
        <w:t xml:space="preserve">, </w:t>
      </w:r>
      <w:r>
        <w:rPr>
          <w:rtl w:val="true"/>
        </w:rPr>
        <w:t>כי סייע למחבלים מתוך כוונה שיצליחו בביצוע הפיגוע</w:t>
      </w:r>
      <w:r>
        <w:rPr>
          <w:rtl w:val="true"/>
        </w:rPr>
        <w:t xml:space="preserve">, </w:t>
      </w:r>
      <w:r>
        <w:rPr>
          <w:rtl w:val="true"/>
        </w:rPr>
        <w:t xml:space="preserve">ומאחר שהיה שותף למניעיהם ולמטרתם </w:t>
      </w:r>
      <w:r>
        <w:rPr>
          <w:rtl w:val="true"/>
        </w:rPr>
        <w:t>–</w:t>
      </w:r>
      <w:r>
        <w:rPr>
          <w:rtl w:val="true"/>
        </w:rPr>
        <w:t xml:space="preserve"> כפי שמלמדת גם הרשעתו כמבצע עיקרי בעבירת הנשק לפי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המאבק בטרור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נטען כי יש להבחין בין המערער לבין אחרים שסייעו לעבירות ביטחון בכלל ומעשי טרור בפרט</w:t>
      </w:r>
      <w:r>
        <w:rPr>
          <w:rtl w:val="true"/>
        </w:rPr>
        <w:t xml:space="preserve">, </w:t>
      </w:r>
      <w:r>
        <w:rPr>
          <w:rtl w:val="true"/>
        </w:rPr>
        <w:t>ושהוטלו עליהם עונשים מתונים משמעותית מזה שהמשיבה עתרה לו בבית המשפט המחוזי לאור הנסיבות המיוחדות שהתקיימו באותם מקרים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המשיבה אף טוענת כי בקביעת מדיניות הענישה הנוהגת יש לתת </w:t>
      </w:r>
      <w:r>
        <w:rPr>
          <w:rtl w:val="true"/>
        </w:rPr>
        <w:t>"</w:t>
      </w:r>
      <w:r>
        <w:rPr>
          <w:rtl w:val="true"/>
        </w:rPr>
        <w:t>משקל נמוך מאוד</w:t>
      </w:r>
      <w:r>
        <w:rPr>
          <w:rtl w:val="true"/>
        </w:rPr>
        <w:t xml:space="preserve">" </w:t>
      </w:r>
      <w:r>
        <w:rPr>
          <w:rtl w:val="true"/>
        </w:rPr>
        <w:t>לפסיקה הקיימת</w:t>
      </w:r>
      <w:r>
        <w:rPr>
          <w:rtl w:val="true"/>
        </w:rPr>
        <w:t xml:space="preserve">, </w:t>
      </w:r>
      <w:r>
        <w:rPr>
          <w:rtl w:val="true"/>
        </w:rPr>
        <w:t xml:space="preserve">מאחר שקדמה לתיקון בעניין הבניית שיקול הדעת השיפוטי בענישה </w:t>
      </w:r>
      <w:r>
        <w:rPr>
          <w:rtl w:val="true"/>
        </w:rPr>
        <w:t>(</w:t>
      </w:r>
      <w:r>
        <w:rPr>
          <w:rtl w:val="true"/>
        </w:rPr>
        <w:t xml:space="preserve">הוראות </w:t>
      </w:r>
      <w:hyperlink r:id="rId37">
        <w:r>
          <w:rPr>
            <w:rStyle w:val="Hyperlink"/>
            <w:rtl w:val="true"/>
          </w:rPr>
          <w:t>סימן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לפרק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</w:hyperlink>
      <w:r>
        <w:rPr>
          <w:rtl w:val="true"/>
        </w:rPr>
        <w:t xml:space="preserve">'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ולחוק המאבק בטרור</w:t>
      </w:r>
      <w:r>
        <w:rPr>
          <w:rtl w:val="true"/>
        </w:rPr>
        <w:t xml:space="preserve">. </w:t>
      </w:r>
      <w:r>
        <w:rPr>
          <w:rtl w:val="true"/>
        </w:rPr>
        <w:t>לשיטת המשיבה</w:t>
      </w:r>
      <w:r>
        <w:rPr>
          <w:rtl w:val="true"/>
        </w:rPr>
        <w:t xml:space="preserve">, </w:t>
      </w:r>
      <w:r>
        <w:rPr>
          <w:rtl w:val="true"/>
        </w:rPr>
        <w:t>בשל התיקון האמור</w:t>
      </w:r>
      <w:r>
        <w:rPr>
          <w:rtl w:val="true"/>
        </w:rPr>
        <w:t xml:space="preserve">, </w:t>
      </w:r>
      <w:r>
        <w:rPr>
          <w:rtl w:val="true"/>
        </w:rPr>
        <w:t>נסיבותיו האישיות של נאשם רלוונטיות רק לקביעת עונשו בתוך המתחם</w:t>
      </w:r>
      <w:r>
        <w:rPr>
          <w:rtl w:val="true"/>
        </w:rPr>
        <w:t xml:space="preserve">, </w:t>
      </w:r>
      <w:r>
        <w:rPr>
          <w:rtl w:val="true"/>
        </w:rPr>
        <w:t xml:space="preserve">וככלל מתגמדות לאור שיקולי הגמול וההרתעה </w:t>
      </w:r>
      <w:r>
        <w:rPr>
          <w:rtl w:val="true"/>
        </w:rPr>
        <w:t>–</w:t>
      </w:r>
      <w:r>
        <w:rPr>
          <w:rtl w:val="true"/>
        </w:rPr>
        <w:t xml:space="preserve"> ואילו בחוק המאבק בטרור גלומה החמרה שיש להביאה לידי ביטוי בענישה</w:t>
      </w:r>
      <w:r>
        <w:rPr>
          <w:rtl w:val="true"/>
        </w:rPr>
        <w:t xml:space="preserve">, </w:t>
      </w:r>
      <w:r>
        <w:rPr>
          <w:rtl w:val="true"/>
        </w:rPr>
        <w:t>כעניין נורמטיבי</w:t>
      </w:r>
      <w:r>
        <w:rPr>
          <w:rtl w:val="true"/>
        </w:rPr>
        <w:t>.</w:t>
      </w:r>
    </w:p>
    <w:p>
      <w:pPr>
        <w:pStyle w:val="Ruller4"/>
        <w:spacing w:before="0" w:after="42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 xml:space="preserve">כלל טענות </w:t>
      </w:r>
      <w:r>
        <w:rPr>
          <w:rtl w:val="true"/>
        </w:rPr>
        <w:t>ה</w:t>
      </w:r>
      <w:r>
        <w:rPr>
          <w:rtl w:val="true"/>
        </w:rPr>
        <w:t>ערעור על הכרעת הדין</w:t>
      </w:r>
      <w:r>
        <w:rPr>
          <w:rtl w:val="true"/>
        </w:rPr>
        <w:t xml:space="preserve"> </w:t>
      </w:r>
      <w:r>
        <w:rPr>
          <w:rtl w:val="true"/>
        </w:rPr>
        <w:t>עוסק</w:t>
      </w:r>
      <w:r>
        <w:rPr>
          <w:rtl w:val="true"/>
        </w:rPr>
        <w:t>ות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קביעות</w:t>
      </w:r>
      <w:r>
        <w:rPr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תיות ובממצאי </w:t>
      </w:r>
      <w:r>
        <w:rPr>
          <w:rtl w:val="true"/>
        </w:rPr>
        <w:t>מהימנות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ודיות הראיות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אותן קבעה</w:t>
      </w:r>
      <w:r>
        <w:rPr>
          <w:rtl w:val="true"/>
        </w:rPr>
        <w:t xml:space="preserve"> </w:t>
      </w:r>
      <w:r>
        <w:rPr>
          <w:rtl w:val="true"/>
        </w:rPr>
        <w:t>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אשר אין זה מדרכה של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 xml:space="preserve">להתערב בהן אלא במקרים חריגים בלבד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9284/17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5.3.2020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>
          <w:rtl w:val="true"/>
        </w:rPr>
        <w:t>אינן</w:t>
      </w:r>
      <w:r>
        <w:rPr>
          <w:rtl w:val="true"/>
        </w:rPr>
        <w:t xml:space="preserve"> </w:t>
      </w:r>
      <w:r>
        <w:rPr>
          <w:rtl w:val="true"/>
        </w:rPr>
        <w:t>מקימות</w:t>
      </w:r>
      <w:r>
        <w:rPr>
          <w:rtl w:val="true"/>
        </w:rPr>
        <w:t xml:space="preserve"> </w:t>
      </w:r>
      <w:r>
        <w:rPr>
          <w:rtl w:val="true"/>
        </w:rPr>
        <w:t>עילה</w:t>
      </w:r>
      <w:r>
        <w:rPr>
          <w:rtl w:val="true"/>
        </w:rPr>
        <w:t xml:space="preserve"> </w:t>
      </w:r>
      <w:r>
        <w:rPr>
          <w:rtl w:val="true"/>
        </w:rPr>
        <w:t>לחרוג</w:t>
      </w:r>
      <w:r>
        <w:rPr>
          <w:rtl w:val="true"/>
        </w:rPr>
        <w:t xml:space="preserve"> </w:t>
      </w:r>
      <w:r>
        <w:rPr>
          <w:rtl w:val="true"/>
        </w:rPr>
        <w:t>מכלל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בפרט בהיותן </w:t>
      </w:r>
      <w:r>
        <w:rPr>
          <w:rtl w:val="true"/>
        </w:rPr>
        <w:t>"</w:t>
      </w:r>
      <w:r>
        <w:rPr>
          <w:rtl w:val="true"/>
        </w:rPr>
        <w:t>מחזור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כלשון המשיבה </w:t>
      </w:r>
      <w:r>
        <w:rPr>
          <w:rtl w:val="true"/>
        </w:rPr>
        <w:t>–</w:t>
      </w:r>
      <w:r>
        <w:rPr>
          <w:rtl w:val="true"/>
        </w:rPr>
        <w:t xml:space="preserve"> של טענות שנותחו בדקדוק בהכרעת הדין</w:t>
      </w:r>
      <w:r>
        <w:rPr>
          <w:rtl w:val="true"/>
        </w:rPr>
        <w:t xml:space="preserve">, </w:t>
      </w:r>
      <w:r>
        <w:rPr>
          <w:rtl w:val="true"/>
        </w:rPr>
        <w:t>ובשים לב לכך שאף לשיטת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קבלת טענותיו </w:t>
      </w:r>
      <w:r>
        <w:rPr>
          <w:rtl w:val="true"/>
        </w:rPr>
        <w:t>"</w:t>
      </w:r>
      <w:r>
        <w:rPr>
          <w:rtl w:val="true"/>
        </w:rPr>
        <w:t>לא תשנה את סעיפי החיקוק בהם הורשע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קביעת בית המשפט המחוזי לעניין תכלית הירי וזיקתו לפיגוע התבססה על מארג ראייתי</w:t>
      </w:r>
      <w:r>
        <w:rPr>
          <w:rtl w:val="true"/>
        </w:rPr>
        <w:t xml:space="preserve">, </w:t>
      </w:r>
      <w:r>
        <w:rPr>
          <w:rtl w:val="true"/>
        </w:rPr>
        <w:t xml:space="preserve">שבמרכזו מכלול נסיבות הירי </w:t>
      </w:r>
      <w:r>
        <w:rPr>
          <w:rtl w:val="true"/>
        </w:rPr>
        <w:t>–</w:t>
      </w:r>
      <w:r>
        <w:rPr>
          <w:rtl w:val="true"/>
        </w:rPr>
        <w:t xml:space="preserve"> כפי שפורטו על</w:t>
      </w:r>
      <w:r>
        <w:rPr>
          <w:rtl w:val="true"/>
        </w:rPr>
        <w:t>-</w:t>
      </w:r>
      <w:r>
        <w:rPr>
          <w:rtl w:val="true"/>
        </w:rPr>
        <w:t>ידי המערער בחקירותיו</w:t>
      </w:r>
      <w:r>
        <w:rPr>
          <w:rtl w:val="true"/>
        </w:rPr>
        <w:t xml:space="preserve">, </w:t>
      </w:r>
      <w:r>
        <w:rPr>
          <w:rtl w:val="true"/>
        </w:rPr>
        <w:t xml:space="preserve">ואושרו בעדותו </w:t>
      </w:r>
      <w:r>
        <w:rPr>
          <w:rtl w:val="true"/>
        </w:rPr>
        <w:t>–</w:t>
      </w:r>
      <w:r>
        <w:rPr>
          <w:rtl w:val="true"/>
        </w:rPr>
        <w:t xml:space="preserve"> ועל </w:t>
      </w:r>
      <w:r>
        <w:rPr>
          <w:rtl w:val="true"/>
        </w:rPr>
        <w:t>"</w:t>
      </w:r>
      <w:r>
        <w:rPr>
          <w:rtl w:val="true"/>
        </w:rPr>
        <w:t>החיזוק החיצוני למכביר</w:t>
      </w:r>
      <w:r>
        <w:rPr>
          <w:rtl w:val="true"/>
        </w:rPr>
        <w:t xml:space="preserve">" </w:t>
      </w:r>
      <w:r>
        <w:rPr>
          <w:rtl w:val="true"/>
        </w:rPr>
        <w:t>לאימרותיו בראיות שאימתו מגוון פרטים שמסר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עיון בהודעות המערער במשטרה אינו מותיר בעיני ספק כי לשיטתו</w:t>
      </w:r>
      <w:r>
        <w:rPr>
          <w:rtl w:val="true"/>
        </w:rPr>
        <w:t xml:space="preserve">, </w:t>
      </w:r>
      <w:r>
        <w:rPr>
          <w:rtl w:val="true"/>
        </w:rPr>
        <w:t xml:space="preserve">הירי בוצע כחלק מפעילות </w:t>
      </w:r>
      <w:r>
        <w:rPr>
          <w:rtl w:val="true"/>
        </w:rPr>
        <w:t>"</w:t>
      </w:r>
      <w:r>
        <w:rPr>
          <w:rtl w:val="true"/>
        </w:rPr>
        <w:t>רגישה</w:t>
      </w:r>
      <w:r>
        <w:rPr>
          <w:rtl w:val="true"/>
        </w:rPr>
        <w:t xml:space="preserve">", </w:t>
      </w:r>
      <w:r>
        <w:rPr>
          <w:rtl w:val="true"/>
        </w:rPr>
        <w:t xml:space="preserve">אשר ההקשר הרחב של פעילות זו הוא כוונת המפגעים לבצע פיגוע בירושלים </w:t>
      </w:r>
      <w:r>
        <w:rPr>
          <w:rtl w:val="true"/>
        </w:rPr>
        <w:t>–</w:t>
      </w:r>
      <w:r>
        <w:rPr>
          <w:rtl w:val="true"/>
        </w:rPr>
        <w:t xml:space="preserve"> אם כי בתחילה מיקום הפיגוע המדויק היה שנוי במחלוקת בין המעורבים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 xml:space="preserve">בחקירתו מיום </w:t>
      </w:r>
      <w:r>
        <w:rPr/>
        <w:t>24.7.2017</w:t>
      </w:r>
      <w:r>
        <w:rPr>
          <w:rtl w:val="true"/>
        </w:rPr>
        <w:t xml:space="preserve">, </w:t>
      </w:r>
      <w:r>
        <w:rPr>
          <w:rtl w:val="true"/>
        </w:rPr>
        <w:t>ציין המערער</w:t>
      </w:r>
      <w:r>
        <w:rPr>
          <w:rtl w:val="true"/>
        </w:rPr>
        <w:t>:</w:t>
      </w:r>
    </w:p>
    <w:p>
      <w:pPr>
        <w:pStyle w:val="Ruller5"/>
        <w:keepNext w:val="true"/>
        <w:ind w:end="1282"/>
        <w:jc w:val="both"/>
        <w:rPr/>
      </w:pPr>
      <w:r>
        <w:rPr>
          <w:rtl w:val="true"/>
        </w:rPr>
        <w:t>"[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נשקים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היג</w:t>
      </w:r>
      <w:r>
        <w:rPr>
          <w:rtl w:val="true"/>
        </w:rPr>
        <w:t xml:space="preserve">',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לאימונים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שכשהיינו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, '</w:t>
      </w:r>
      <w:r>
        <w:rPr>
          <w:rtl w:val="true"/>
        </w:rPr>
        <w:t>טוטו</w:t>
      </w:r>
      <w:r>
        <w:rPr>
          <w:rtl w:val="true"/>
        </w:rPr>
        <w:t>' [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יאזין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... '</w:t>
      </w:r>
      <w:r>
        <w:rPr>
          <w:rtl w:val="true"/>
        </w:rPr>
        <w:t>טוטו</w:t>
      </w:r>
      <w:r>
        <w:rPr>
          <w:rtl w:val="true"/>
        </w:rPr>
        <w:t xml:space="preserve">' </w:t>
      </w:r>
      <w:r>
        <w:rPr>
          <w:rtl w:val="true"/>
        </w:rPr>
        <w:t>הראה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קרלו</w:t>
      </w:r>
      <w:r>
        <w:rPr>
          <w:rtl w:val="true"/>
        </w:rPr>
        <w:t xml:space="preserve">' ...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ברשותם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טוטו</w:t>
      </w:r>
      <w:r>
        <w:rPr>
          <w:rtl w:val="true"/>
        </w:rPr>
        <w:t xml:space="preserve">'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מתנחלים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חאמד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בירושלים</w:t>
      </w:r>
      <w:r>
        <w:rPr>
          <w:rtl w:val="true"/>
        </w:rPr>
        <w:t>" (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24.7.2017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69</w:t>
      </w:r>
      <w:r>
        <w:rPr>
          <w:rFonts w:ascii="FrankRuehl;Times New Roman" w:hAnsi="FrankRuehl;Times New Roman"/>
          <w:rtl w:val="true"/>
        </w:rPr>
        <w:t>–</w:t>
      </w:r>
      <w:r>
        <w:rPr/>
        <w:t>77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).</w:t>
      </w:r>
    </w:p>
    <w:p>
      <w:pPr>
        <w:pStyle w:val="Ruller5"/>
        <w:keepNext w:val="true"/>
        <w:ind w:end="1282"/>
        <w:jc w:val="both"/>
        <w:rPr/>
      </w:pPr>
      <w:r>
        <w:rPr>
          <w:rtl w:val="true"/>
        </w:rPr>
      </w:r>
    </w:p>
    <w:p>
      <w:pPr>
        <w:pStyle w:val="Ruller5"/>
        <w:keepNext w:val="true"/>
        <w:ind w:end="1282"/>
        <w:jc w:val="both"/>
        <w:rPr/>
      </w:pPr>
      <w:r>
        <w:rPr>
          <w:rtl w:val="true"/>
        </w:rPr>
      </w:r>
    </w:p>
    <w:p>
      <w:pPr>
        <w:pStyle w:val="Ruller41"/>
        <w:keepNext w:val="true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 אלו ממחישים כי המערער עצמו סבר שהירי אופיין ב</w:t>
      </w:r>
      <w:r>
        <w:rPr>
          <w:rtl w:val="true"/>
        </w:rPr>
        <w:t>"</w:t>
      </w:r>
      <w:r>
        <w:rPr>
          <w:rtl w:val="true"/>
        </w:rPr>
        <w:t>רגישות</w:t>
      </w:r>
      <w:r>
        <w:rPr>
          <w:rtl w:val="true"/>
        </w:rPr>
        <w:t xml:space="preserve">" </w:t>
      </w:r>
      <w:r>
        <w:rPr>
          <w:rtl w:val="true"/>
        </w:rPr>
        <w:t>מיוחדת וזיקה לתכניות המפגעים לבצע את הפיגוע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 שהדגיש את האופן שבו הקפידו המפגעים על מעטה של חשאיות ביחס לביצוע הירי</w:t>
      </w:r>
      <w:r>
        <w:rPr>
          <w:rtl w:val="true"/>
        </w:rPr>
        <w:t xml:space="preserve">, </w:t>
      </w:r>
      <w:r>
        <w:rPr>
          <w:rtl w:val="true"/>
        </w:rPr>
        <w:t>הדומה במאפייניו לחשאיות שנשמרה ביחס לשיחותיהם שבהן תכננו את מתווה הפיגוע עצמו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keepNext w:val="true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הבהיר המערער כי הירי התקיים לאחר שכבר שמע על תכניות המפגעים לבצע את הפיגוע</w:t>
      </w:r>
      <w:r>
        <w:rPr>
          <w:rtl w:val="true"/>
        </w:rPr>
        <w:t xml:space="preserve">, </w:t>
      </w:r>
      <w:r>
        <w:rPr>
          <w:rtl w:val="true"/>
        </w:rPr>
        <w:t xml:space="preserve">באופן שיש אף בו כדי לבסס את מודעתו לזיקה שבין הירי בכלי הנשק ששימשו את המפגעים לבין כוונתם לבצע פיגוע </w:t>
      </w:r>
      <w:r>
        <w:rPr>
          <w:rtl w:val="true"/>
        </w:rPr>
        <w:t>(</w:t>
      </w:r>
      <w:r>
        <w:rPr>
          <w:rtl w:val="true"/>
        </w:rPr>
        <w:t xml:space="preserve">תמלול הדיון בבית המשפט המחוזי מיום </w:t>
      </w:r>
      <w:r>
        <w:rPr/>
        <w:t>27.12.2018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</w:t>
      </w:r>
      <w:r>
        <w:rPr>
          <w:rFonts w:eastAsia="Garamond"/>
          <w:rtl w:val="true"/>
        </w:rPr>
        <w:t>–</w:t>
      </w:r>
      <w:r>
        <w:rPr/>
        <w:t>23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השימוש החוזר באותם כלי נשק המיועדים לביצוע הפיגוע עם המפגעים בלבד</w:t>
      </w:r>
      <w:r>
        <w:rPr>
          <w:rtl w:val="true"/>
        </w:rPr>
        <w:t xml:space="preserve">, </w:t>
      </w:r>
      <w:r>
        <w:rPr>
          <w:rtl w:val="true"/>
        </w:rPr>
        <w:t xml:space="preserve">באתר מבודד ומרוחק </w:t>
      </w:r>
      <w:r>
        <w:rPr>
          <w:rFonts w:ascii="FrankRuehl;Times New Roman" w:hAnsi="FrankRuehl;Times New Roman"/>
          <w:rtl w:val="true"/>
        </w:rPr>
        <w:t>–</w:t>
      </w:r>
      <w:r>
        <w:rPr>
          <w:rtl w:val="true"/>
        </w:rPr>
        <w:t xml:space="preserve"> בעוד שאחד המפגעים ביצע ירי כתחביב ליד ביתו </w:t>
      </w:r>
      <w:r>
        <w:rPr>
          <w:rFonts w:ascii="FrankRuehl;Times New Roman" w:hAnsi="FrankRuehl;Times New Roman"/>
          <w:rtl w:val="true"/>
        </w:rPr>
        <w:t>–</w:t>
      </w:r>
      <w:r>
        <w:rPr>
          <w:rtl w:val="true"/>
        </w:rPr>
        <w:t xml:space="preserve"> יש אף בו לטעמי כדי לבסס זיקה בין הירי לבין הפיגוע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ההתארגנות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מלאכותי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שבמהלכם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חשאיות</w:t>
      </w:r>
      <w:r>
        <w:rPr>
          <w:rtl w:val="true"/>
        </w:rPr>
        <w:t xml:space="preserve">; </w:t>
      </w:r>
      <w:r>
        <w:rPr>
          <w:rtl w:val="true"/>
        </w:rPr>
        <w:t>נסיעות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; </w:t>
      </w:r>
      <w:r>
        <w:rPr>
          <w:rtl w:val="true"/>
        </w:rPr>
        <w:t>ביקור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; </w:t>
      </w:r>
      <w:r>
        <w:rPr>
          <w:rtl w:val="true"/>
        </w:rPr>
        <w:t>שותפות</w:t>
      </w:r>
      <w:r>
        <w:rPr>
          <w:rtl w:val="true"/>
        </w:rPr>
        <w:t>-</w:t>
      </w:r>
      <w:r>
        <w:rPr>
          <w:rtl w:val="true"/>
        </w:rPr>
        <w:t>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במסגד</w:t>
      </w:r>
      <w:r>
        <w:rPr>
          <w:rtl w:val="true"/>
        </w:rPr>
        <w:t xml:space="preserve">; </w:t>
      </w:r>
      <w:r>
        <w:rPr>
          <w:rtl w:val="true"/>
        </w:rPr>
        <w:t>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לפיגוע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ופלאפון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מתכוונים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ממאמציו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הרצחנית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 xml:space="preserve">אף טענת המערער כי לא הוכחה מעבר לספק סביר התקיימות היסוד הנפשי הדרוש להרשעתו בעבירות הסיוע בכל הקשור לירי בהרים </w:t>
      </w:r>
      <w:r>
        <w:rPr>
          <w:rtl w:val="true"/>
        </w:rPr>
        <w:t>–</w:t>
      </w:r>
      <w:r>
        <w:rPr>
          <w:rtl w:val="true"/>
        </w:rPr>
        <w:t xml:space="preserve"> דינה 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>י</w:t>
      </w:r>
      <w:r>
        <w:rPr>
          <w:rtl w:val="true"/>
        </w:rPr>
        <w:t>מרות</w:t>
      </w:r>
      <w:r>
        <w:rPr>
          <w:rtl w:val="true"/>
        </w:rPr>
        <w:t xml:space="preserve"> </w:t>
      </w:r>
      <w:r>
        <w:rPr>
          <w:rtl w:val="true"/>
        </w:rPr>
        <w:t xml:space="preserve">המערער בחקירתו ובעדותו </w:t>
      </w:r>
      <w:r>
        <w:rPr>
          <w:rtl w:val="true"/>
        </w:rPr>
        <w:t>קיים</w:t>
      </w:r>
      <w:r>
        <w:rPr>
          <w:rtl w:val="true"/>
        </w:rPr>
        <w:t xml:space="preserve"> </w:t>
      </w:r>
      <w:r>
        <w:rPr>
          <w:rtl w:val="true"/>
        </w:rPr>
        <w:t>חיזוק</w:t>
      </w:r>
      <w:r>
        <w:rPr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 xml:space="preserve"> </w:t>
      </w:r>
      <w:r>
        <w:rPr>
          <w:rtl w:val="true"/>
        </w:rPr>
        <w:t>מספק</w:t>
      </w:r>
      <w:r>
        <w:rPr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הרשעת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 </w:t>
      </w:r>
      <w:r>
        <w:rPr>
          <w:rtl w:val="true"/>
        </w:rPr>
        <w:t>כפי שהורשע בהן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tl w:val="true"/>
        </w:rPr>
        <w:t xml:space="preserve">: </w:t>
      </w:r>
      <w:r>
        <w:rPr>
          <w:rtl w:val="true"/>
        </w:rPr>
        <w:t>ההתאמה בין תשעת תרמילי הנשק שנתפסו במקום ביצוע הירי</w:t>
      </w:r>
      <w:r>
        <w:rPr>
          <w:rtl w:val="true"/>
        </w:rPr>
        <w:t xml:space="preserve">, </w:t>
      </w:r>
      <w:r>
        <w:rPr>
          <w:rtl w:val="true"/>
        </w:rPr>
        <w:t>אליו הוביל המערער את חוקריו</w:t>
      </w:r>
      <w:r>
        <w:rPr>
          <w:rtl w:val="true"/>
        </w:rPr>
        <w:t xml:space="preserve">, </w:t>
      </w:r>
      <w:r>
        <w:rPr>
          <w:rtl w:val="true"/>
        </w:rPr>
        <w:t>לבין אלה שנתפסו בזירת הפיגוע</w:t>
      </w:r>
      <w:r>
        <w:rPr>
          <w:rtl w:val="true"/>
        </w:rPr>
        <w:t xml:space="preserve">, </w:t>
      </w:r>
      <w:r>
        <w:rPr>
          <w:rtl w:val="true"/>
        </w:rPr>
        <w:t>תומכת במסקנה כי הירי נועד לשמש כאימון לקראת ביצוע הפיגוע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מכלול הראיות אשר שימשו כחיזוק להוכחת קיום היסוד הנפשי של עבירת הסיוע ברצח ביחס לפעולותיו האחרות של המערער</w:t>
      </w:r>
      <w:r>
        <w:rPr>
          <w:rtl w:val="true"/>
        </w:rPr>
        <w:t xml:space="preserve">, </w:t>
      </w:r>
      <w:r>
        <w:rPr>
          <w:rtl w:val="true"/>
        </w:rPr>
        <w:t>אשר לגביו אין עוד מחלוקת</w:t>
      </w:r>
      <w:r>
        <w:rPr>
          <w:rtl w:val="true"/>
        </w:rPr>
        <w:t xml:space="preserve">, </w:t>
      </w:r>
      <w:r>
        <w:rPr>
          <w:rtl w:val="true"/>
        </w:rPr>
        <w:t>יש בהן אף כדי לשמש כחיזוק לקיום היסוד הנפשי לעבירת הסיוע ביחס לירי בהרים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אין בטענת המערער שלפיה הירי בוצע למטרות תמימות כדי לסייע לו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הסבר תמים מעין זה שהמערער ניסה לספק חייב להיות סביר </w:t>
      </w:r>
      <w:r>
        <w:rPr>
          <w:rtl w:val="true"/>
        </w:rPr>
        <w:t>–</w:t>
      </w:r>
      <w:r>
        <w:rPr>
          <w:rtl w:val="true"/>
        </w:rPr>
        <w:t xml:space="preserve"> ולשם כך היה עליו להעמיד בפני בית המשפט המחוזי תזה ממשית ובעלת משקל מהותי</w:t>
      </w:r>
      <w:r>
        <w:rPr>
          <w:rtl w:val="true"/>
        </w:rPr>
        <w:t xml:space="preserve">, </w:t>
      </w:r>
      <w:r>
        <w:rPr>
          <w:rtl w:val="true"/>
        </w:rPr>
        <w:t xml:space="preserve">בשונה מאפשרות דמיונית או היפותטית גרידא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16/82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מלכה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לו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317</w:t>
      </w:r>
      <w:r>
        <w:rPr>
          <w:rtl w:val="true"/>
        </w:rPr>
        <w:t xml:space="preserve"> (</w:t>
      </w:r>
      <w:r>
        <w:rPr/>
        <w:t>1982</w:t>
      </w:r>
      <w:r>
        <w:rPr>
          <w:rtl w:val="true"/>
        </w:rPr>
        <w:t xml:space="preserve">); </w:t>
      </w:r>
      <w:hyperlink r:id="rId4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685/81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אהרוני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לז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692</w:t>
      </w:r>
      <w:r>
        <w:rPr>
          <w:rtl w:val="true"/>
        </w:rPr>
        <w:t xml:space="preserve"> (</w:t>
      </w:r>
      <w:r>
        <w:rPr/>
        <w:t>1983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אוזנו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היתכנותה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והגיונה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שעוררה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יודגש</w:t>
      </w:r>
      <w:r>
        <w:rPr>
          <w:rtl w:val="true"/>
        </w:rPr>
        <w:t xml:space="preserve">, </w:t>
      </w:r>
      <w:r>
        <w:rPr>
          <w:rtl w:val="true"/>
        </w:rPr>
        <w:t>כי גרסת המערער הוצגה לראשונה במשפטו</w:t>
      </w:r>
      <w:r>
        <w:rPr>
          <w:rtl w:val="true"/>
        </w:rPr>
        <w:t xml:space="preserve">, </w:t>
      </w:r>
      <w:r>
        <w:rPr>
          <w:rtl w:val="true"/>
        </w:rPr>
        <w:t>ובניגוד לרושם שעלול להתקבל מהאמור בערעור</w:t>
      </w:r>
      <w:r>
        <w:rPr>
          <w:rtl w:val="true"/>
        </w:rPr>
        <w:t xml:space="preserve">, </w:t>
      </w:r>
      <w:r>
        <w:rPr>
          <w:rtl w:val="true"/>
        </w:rPr>
        <w:t>אין לכך זכר בחקירותיו</w:t>
      </w:r>
      <w:r>
        <w:rPr>
          <w:rtl w:val="true"/>
        </w:rPr>
        <w:t xml:space="preserve">. </w:t>
      </w:r>
      <w:r>
        <w:rPr>
          <w:rtl w:val="true"/>
        </w:rPr>
        <w:t>בין במשפטו ובין בערעור לא ניתנה כל סיבה להתפתחות זו</w:t>
      </w:r>
      <w:r>
        <w:rPr>
          <w:rtl w:val="true"/>
        </w:rPr>
        <w:t xml:space="preserve">; </w:t>
      </w:r>
      <w:r>
        <w:rPr>
          <w:rtl w:val="true"/>
        </w:rPr>
        <w:t>במקום זאת</w:t>
      </w:r>
      <w:r>
        <w:rPr>
          <w:rtl w:val="true"/>
        </w:rPr>
        <w:t xml:space="preserve">, </w:t>
      </w:r>
      <w:r>
        <w:rPr>
          <w:rtl w:val="true"/>
        </w:rPr>
        <w:t>בטענו ל</w:t>
      </w:r>
      <w:r>
        <w:rPr>
          <w:rtl w:val="true"/>
        </w:rPr>
        <w:t>-"</w:t>
      </w:r>
      <w:r>
        <w:rPr>
          <w:rtl w:val="true"/>
        </w:rPr>
        <w:t>צבר נסיבות קשיחות</w:t>
      </w:r>
      <w:r>
        <w:rPr>
          <w:rtl w:val="true"/>
        </w:rPr>
        <w:t xml:space="preserve">" </w:t>
      </w:r>
      <w:r>
        <w:rPr>
          <w:rtl w:val="true"/>
        </w:rPr>
        <w:t>ממנו התעלם בית המשפט המחוזי</w:t>
      </w:r>
      <w:r>
        <w:rPr>
          <w:rtl w:val="true"/>
        </w:rPr>
        <w:t xml:space="preserve">, </w:t>
      </w:r>
      <w:r>
        <w:rPr>
          <w:rtl w:val="true"/>
        </w:rPr>
        <w:t>המערער מתייחס לפרטי מידע שדווקא נזכרים בהכרעת הדין</w:t>
      </w:r>
      <w:r>
        <w:rPr>
          <w:rtl w:val="true"/>
        </w:rPr>
        <w:t xml:space="preserve">. </w:t>
      </w:r>
      <w:r>
        <w:rPr>
          <w:rtl w:val="true"/>
        </w:rPr>
        <w:t>כך התרשם בית המשפט</w:t>
      </w:r>
      <w:r>
        <w:rPr>
          <w:rtl w:val="true"/>
        </w:rPr>
        <w:t xml:space="preserve">, </w:t>
      </w:r>
      <w:r>
        <w:rPr>
          <w:rtl w:val="true"/>
        </w:rPr>
        <w:t>ואין סיבה להתערב בכך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בפנינו התנהלות המלמדת כי הירי בהרים היווה אימון לקראת הפיגוע</w:t>
      </w:r>
      <w:r>
        <w:rPr>
          <w:rtl w:val="true"/>
        </w:rPr>
        <w:t xml:space="preserve">, </w:t>
      </w:r>
      <w:r>
        <w:rPr>
          <w:rtl w:val="true"/>
        </w:rPr>
        <w:t xml:space="preserve">אף בהנחה שהמערער לא השתמש במונח </w:t>
      </w:r>
      <w:r>
        <w:rPr>
          <w:rtl w:val="true"/>
        </w:rPr>
        <w:t>"</w:t>
      </w:r>
      <w:r>
        <w:rPr>
          <w:rtl w:val="true"/>
        </w:rPr>
        <w:t>אימון</w:t>
      </w:r>
      <w:r>
        <w:rPr>
          <w:rtl w:val="true"/>
        </w:rPr>
        <w:t xml:space="preserve">" </w:t>
      </w:r>
      <w:r>
        <w:rPr>
          <w:rtl w:val="true"/>
        </w:rPr>
        <w:t>בחקירותיו</w:t>
      </w:r>
      <w:r>
        <w:rPr>
          <w:rtl w:val="true"/>
        </w:rPr>
        <w:t xml:space="preserve">; </w:t>
      </w:r>
      <w:r>
        <w:rPr>
          <w:rtl w:val="true"/>
        </w:rPr>
        <w:t>וכי המערער היה מודע לכך והשתתף בירי לשם כך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השגת המערער על השימוש בעדויות חוקרי השב</w:t>
      </w:r>
      <w:r>
        <w:rPr>
          <w:rtl w:val="true"/>
        </w:rPr>
        <w:t>"</w:t>
      </w:r>
      <w:r>
        <w:rPr>
          <w:rtl w:val="true"/>
        </w:rPr>
        <w:t xml:space="preserve">כ לחובתו </w:t>
      </w:r>
      <w:r>
        <w:rPr>
          <w:rtl w:val="true"/>
        </w:rPr>
        <w:t>–</w:t>
      </w:r>
      <w:r>
        <w:rPr>
          <w:rtl w:val="true"/>
        </w:rPr>
        <w:t xml:space="preserve"> בטעות יסודה</w:t>
      </w:r>
      <w:r>
        <w:rPr>
          <w:rtl w:val="true"/>
        </w:rPr>
        <w:t xml:space="preserve">. </w:t>
      </w:r>
      <w:r>
        <w:rPr>
          <w:rtl w:val="true"/>
        </w:rPr>
        <w:t>עדויות אלה ניתנו כמתחייב מהיות החוקרים אנשי מרות שגבו אימרות</w:t>
      </w:r>
      <w:r>
        <w:rPr>
          <w:rtl w:val="true"/>
        </w:rPr>
        <w:t>-</w:t>
      </w:r>
      <w:r>
        <w:rPr>
          <w:rtl w:val="true"/>
        </w:rPr>
        <w:t>חוץ של נאשם</w:t>
      </w:r>
      <w:r>
        <w:rPr>
          <w:rtl w:val="true"/>
        </w:rPr>
        <w:t xml:space="preserve">, </w:t>
      </w:r>
      <w:r>
        <w:rPr>
          <w:rtl w:val="true"/>
        </w:rPr>
        <w:t xml:space="preserve">אשר הוגשו באמצעותם כראיה לחובתו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). </w:t>
      </w:r>
      <w:r>
        <w:rPr>
          <w:rtl w:val="true"/>
        </w:rPr>
        <w:t>במקרה זה</w:t>
      </w:r>
      <w:r>
        <w:rPr>
          <w:rtl w:val="true"/>
        </w:rPr>
        <w:t xml:space="preserve">, </w:t>
      </w:r>
      <w:r>
        <w:rPr>
          <w:rtl w:val="true"/>
        </w:rPr>
        <w:t>כשם שנעשה 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החוקרים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אינם</w:t>
      </w:r>
      <w:r>
        <w:rPr>
          <w:rtl w:val="true"/>
        </w:rPr>
        <w:t xml:space="preserve"> מעידים על אמיתות תוכנן של האימרות</w:t>
      </w:r>
      <w:r>
        <w:rPr>
          <w:rtl w:val="true"/>
        </w:rPr>
        <w:t xml:space="preserve">, </w:t>
      </w:r>
      <w:r>
        <w:rPr>
          <w:rtl w:val="true"/>
        </w:rPr>
        <w:t xml:space="preserve">אלא רק על עצם ונסיבות מסירתן </w:t>
      </w:r>
      <w:r>
        <w:rPr>
          <w:rtl w:val="true"/>
        </w:rPr>
        <w:t>–</w:t>
      </w:r>
      <w:r>
        <w:rPr>
          <w:rtl w:val="true"/>
        </w:rPr>
        <w:t xml:space="preserve"> וזאת על</w:t>
      </w:r>
      <w:r>
        <w:rPr>
          <w:rtl w:val="true"/>
        </w:rPr>
        <w:t>-</w:t>
      </w:r>
      <w:r>
        <w:rPr>
          <w:rtl w:val="true"/>
        </w:rPr>
        <w:t>סמך הזכ</w:t>
      </w:r>
      <w:r>
        <w:rPr>
          <w:rtl w:val="true"/>
        </w:rPr>
        <w:t>"</w:t>
      </w:r>
      <w:r>
        <w:rPr>
          <w:rtl w:val="true"/>
        </w:rPr>
        <w:t xml:space="preserve">דים שכתבו במהלך החקירות או בסיומן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6613/99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סמירק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נו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529</w:t>
      </w:r>
      <w:r>
        <w:rPr>
          <w:rtl w:val="true"/>
        </w:rPr>
        <w:t xml:space="preserve">, </w:t>
      </w:r>
      <w:r>
        <w:rPr/>
        <w:t>547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סמירק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לאור האמור לעיל</w:t>
      </w:r>
      <w:r>
        <w:rPr>
          <w:rtl w:val="true"/>
        </w:rPr>
        <w:t xml:space="preserve">, </w:t>
      </w:r>
      <w:r>
        <w:rPr>
          <w:rtl w:val="true"/>
        </w:rPr>
        <w:t>גם בטענת המערער ביחס להשלכות המחדל החקירתי אין כדי לסייע בידו</w:t>
      </w:r>
      <w:r>
        <w:rPr>
          <w:rtl w:val="true"/>
        </w:rPr>
        <w:t xml:space="preserve">. </w:t>
      </w:r>
      <w:r>
        <w:rPr>
          <w:rtl w:val="true"/>
        </w:rPr>
        <w:t>בהכרעת הדין נקבע כי בנסיבות העניין אין מקום להפחית ממשקל אימרות המערער בסוגיה שבמחלוקת</w:t>
      </w:r>
      <w:r>
        <w:rPr>
          <w:rtl w:val="true"/>
        </w:rPr>
        <w:t xml:space="preserve">, </w:t>
      </w:r>
      <w:r>
        <w:rPr>
          <w:rtl w:val="true"/>
        </w:rPr>
        <w:t>מאחר שהמארג הראייתי מלמד בבירור על תכלית הירי בהרים וזיקתו לפיגוע</w:t>
      </w:r>
      <w:r>
        <w:rPr>
          <w:rtl w:val="true"/>
        </w:rPr>
        <w:t xml:space="preserve">, </w:t>
      </w:r>
      <w:r>
        <w:rPr>
          <w:rtl w:val="true"/>
        </w:rPr>
        <w:t>במנותק משאלת המונח המדויק בו השתמש לתיאור הירי בחקירותיו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קביעה מעשית ונכונה זו ביחס להשלכות הראייתיות של המחדל החקירתי נתמכת גם ביתר נסיבות העניין</w:t>
      </w:r>
      <w:r>
        <w:rPr>
          <w:rtl w:val="true"/>
        </w:rPr>
        <w:t xml:space="preserve">: </w:t>
      </w:r>
      <w:r>
        <w:rPr>
          <w:rtl w:val="true"/>
        </w:rPr>
        <w:t xml:space="preserve">המערער נשאל במפורש לגבי </w:t>
      </w:r>
      <w:r>
        <w:rPr>
          <w:rtl w:val="true"/>
        </w:rPr>
        <w:t>"</w:t>
      </w:r>
      <w:r>
        <w:rPr>
          <w:rtl w:val="true"/>
        </w:rPr>
        <w:t>אימוני ירי</w:t>
      </w:r>
      <w:r>
        <w:rPr>
          <w:rtl w:val="true"/>
        </w:rPr>
        <w:t xml:space="preserve">" </w:t>
      </w:r>
      <w:r>
        <w:rPr>
          <w:rtl w:val="true"/>
        </w:rPr>
        <w:t>בחקירותיו</w:t>
      </w:r>
      <w:r>
        <w:rPr>
          <w:rtl w:val="true"/>
        </w:rPr>
        <w:t xml:space="preserve">, </w:t>
      </w:r>
      <w:r>
        <w:rPr>
          <w:rtl w:val="true"/>
        </w:rPr>
        <w:t>והשיב על שאלות רבות בעניין מבלי להשיג על אופן ניסוחן</w:t>
      </w:r>
      <w:r>
        <w:rPr>
          <w:rtl w:val="true"/>
        </w:rPr>
        <w:t xml:space="preserve">; </w:t>
      </w:r>
      <w:r>
        <w:rPr>
          <w:rtl w:val="true"/>
        </w:rPr>
        <w:t>המערער סיפר לחוקריו על הירי בהרים מיוזמתו</w:t>
      </w:r>
      <w:r>
        <w:rPr>
          <w:rtl w:val="true"/>
        </w:rPr>
        <w:t xml:space="preserve">, </w:t>
      </w:r>
      <w:r>
        <w:rPr>
          <w:rtl w:val="true"/>
        </w:rPr>
        <w:t>למרות שלכאורה חשב שמדובר בירי סתמי שאינו קשור לפיגוע</w:t>
      </w:r>
      <w:r>
        <w:rPr>
          <w:rtl w:val="true"/>
        </w:rPr>
        <w:t xml:space="preserve">; </w:t>
      </w:r>
      <w:r>
        <w:rPr>
          <w:rtl w:val="true"/>
        </w:rPr>
        <w:t>ונמצא כי המערער מסר את הודאותיו מרצון טוב וחופשי</w:t>
      </w:r>
      <w:r>
        <w:rPr>
          <w:rtl w:val="true"/>
        </w:rPr>
        <w:t xml:space="preserve">, </w:t>
      </w:r>
      <w:r>
        <w:rPr>
          <w:rtl w:val="true"/>
        </w:rPr>
        <w:t>כי לא חשש מחוקריו</w:t>
      </w:r>
      <w:r>
        <w:rPr>
          <w:rtl w:val="true"/>
        </w:rPr>
        <w:t xml:space="preserve">, </w:t>
      </w:r>
      <w:r>
        <w:rPr>
          <w:rtl w:val="true"/>
        </w:rPr>
        <w:t xml:space="preserve">וכי הודאות אלה הן בעלות </w:t>
      </w:r>
      <w:r>
        <w:rPr>
          <w:rtl w:val="true"/>
        </w:rPr>
        <w:t>"</w:t>
      </w:r>
      <w:r>
        <w:rPr>
          <w:rtl w:val="true"/>
        </w:rPr>
        <w:t>משקל סגולי</w:t>
      </w:r>
      <w:r>
        <w:rPr>
          <w:rtl w:val="true"/>
        </w:rPr>
        <w:t xml:space="preserve">" </w:t>
      </w:r>
      <w:r>
        <w:rPr>
          <w:rtl w:val="true"/>
        </w:rPr>
        <w:t>גבוה לאור הגיונן הפנימי</w:t>
      </w:r>
      <w:r>
        <w:rPr>
          <w:rtl w:val="true"/>
        </w:rPr>
        <w:t xml:space="preserve">, </w:t>
      </w:r>
      <w:r>
        <w:rPr>
          <w:rtl w:val="true"/>
        </w:rPr>
        <w:t>אופן ההתנסחות וסדר אמירת הדברים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מן הראוי לציין</w:t>
      </w:r>
      <w:r>
        <w:rPr>
          <w:rtl w:val="true"/>
        </w:rPr>
        <w:t xml:space="preserve">, </w:t>
      </w:r>
      <w:r>
        <w:rPr>
          <w:rtl w:val="true"/>
        </w:rPr>
        <w:t>כי המערער לא טען לאי</w:t>
      </w:r>
      <w:r>
        <w:rPr>
          <w:rtl w:val="true"/>
        </w:rPr>
        <w:t>-</w:t>
      </w:r>
      <w:r>
        <w:rPr>
          <w:rtl w:val="true"/>
        </w:rPr>
        <w:t>קבילות אימרותיו</w:t>
      </w:r>
      <w:r>
        <w:rPr>
          <w:rtl w:val="true"/>
        </w:rPr>
        <w:t xml:space="preserve">, </w:t>
      </w:r>
      <w:r>
        <w:rPr>
          <w:rtl w:val="true"/>
        </w:rPr>
        <w:t>אלא רק הלין על רישום לא מדויק של דבריו</w:t>
      </w:r>
      <w:r>
        <w:rPr>
          <w:rtl w:val="true"/>
        </w:rPr>
        <w:t xml:space="preserve">. </w:t>
      </w:r>
      <w:r>
        <w:rPr>
          <w:rtl w:val="true"/>
        </w:rPr>
        <w:t xml:space="preserve">אולם נימוק זה </w:t>
      </w:r>
      <w:r>
        <w:rPr>
          <w:rtl w:val="true"/>
        </w:rPr>
        <w:t>–</w:t>
      </w:r>
      <w:r>
        <w:rPr>
          <w:rtl w:val="true"/>
        </w:rPr>
        <w:t xml:space="preserve"> שנזכר בהכרעת הדין ושהמשיבה נסמכה עליו בפנינו </w:t>
      </w:r>
      <w:r>
        <w:rPr>
          <w:rtl w:val="true"/>
        </w:rPr>
        <w:t>–</w:t>
      </w:r>
      <w:r>
        <w:rPr>
          <w:rtl w:val="true"/>
        </w:rPr>
        <w:t xml:space="preserve"> אינו ממין העניין</w:t>
      </w:r>
      <w:r>
        <w:rPr>
          <w:rtl w:val="true"/>
        </w:rPr>
        <w:t xml:space="preserve">; </w:t>
      </w:r>
      <w:r>
        <w:rPr>
          <w:rtl w:val="true"/>
        </w:rPr>
        <w:t>קבילות לחוד ומשקל לחוד</w:t>
      </w:r>
      <w:r>
        <w:rPr>
          <w:rtl w:val="true"/>
        </w:rPr>
        <w:t xml:space="preserve">. </w:t>
      </w:r>
      <w:r>
        <w:rPr>
          <w:rtl w:val="true"/>
        </w:rPr>
        <w:t xml:space="preserve">טענת </w:t>
      </w:r>
      <w:r>
        <w:rPr>
          <w:rtl w:val="true"/>
        </w:rPr>
        <w:t>"</w:t>
      </w:r>
      <w:r>
        <w:rPr>
          <w:rtl w:val="true"/>
        </w:rPr>
        <w:t>לא אמרתי</w:t>
      </w:r>
      <w:r>
        <w:rPr>
          <w:rtl w:val="true"/>
        </w:rPr>
        <w:t xml:space="preserve">" </w:t>
      </w:r>
      <w:r>
        <w:rPr>
          <w:rtl w:val="true"/>
        </w:rPr>
        <w:t>כמו זו שהעלה המערער</w:t>
      </w:r>
      <w:r>
        <w:rPr>
          <w:rtl w:val="true"/>
        </w:rPr>
        <w:t xml:space="preserve">, </w:t>
      </w:r>
      <w:r>
        <w:rPr>
          <w:rtl w:val="true"/>
        </w:rPr>
        <w:t>לרבות ביחס לאימרתו</w:t>
      </w:r>
      <w:r>
        <w:rPr>
          <w:rtl w:val="true"/>
        </w:rPr>
        <w:t xml:space="preserve">, </w:t>
      </w:r>
      <w:r>
        <w:rPr>
          <w:rtl w:val="true"/>
        </w:rPr>
        <w:t>אין משמעה התנגדות לקבילותה</w:t>
      </w:r>
      <w:r>
        <w:rPr>
          <w:rtl w:val="true"/>
        </w:rPr>
        <w:t xml:space="preserve">, </w:t>
      </w:r>
      <w:r>
        <w:rPr>
          <w:rtl w:val="true"/>
        </w:rPr>
        <w:t>אין היא מתייחסת לנסיבות מסירתה</w:t>
      </w:r>
      <w:r>
        <w:rPr>
          <w:rtl w:val="true"/>
        </w:rPr>
        <w:t xml:space="preserve">, </w:t>
      </w:r>
      <w:r>
        <w:rPr>
          <w:rtl w:val="true"/>
        </w:rPr>
        <w:t xml:space="preserve">ואין היא מחייבת קיום </w:t>
      </w:r>
      <w:r>
        <w:rPr>
          <w:rtl w:val="true"/>
        </w:rPr>
        <w:t>"</w:t>
      </w:r>
      <w:r>
        <w:rPr>
          <w:rtl w:val="true"/>
        </w:rPr>
        <w:t>משפט זוטא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156/65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מרדכי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יט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596</w:t>
      </w:r>
      <w:r>
        <w:rPr>
          <w:rtl w:val="true"/>
        </w:rPr>
        <w:t xml:space="preserve"> (</w:t>
      </w:r>
      <w:r>
        <w:rPr/>
        <w:t>1965</w:t>
      </w:r>
      <w:r>
        <w:rPr>
          <w:rtl w:val="true"/>
        </w:rPr>
        <w:t xml:space="preserve">)).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טענת המערער כי חתם על אימרתו במשטרה תחת איומי החוקר</w:t>
      </w:r>
      <w:r>
        <w:rPr>
          <w:rtl w:val="true"/>
        </w:rPr>
        <w:t xml:space="preserve">, </w:t>
      </w:r>
      <w:r>
        <w:rPr>
          <w:rtl w:val="true"/>
        </w:rPr>
        <w:t>מבלי שתורגמה וחרף סירובו</w:t>
      </w:r>
      <w:r>
        <w:rPr>
          <w:rtl w:val="true"/>
        </w:rPr>
        <w:t xml:space="preserve">, </w:t>
      </w:r>
      <w:r>
        <w:rPr>
          <w:rtl w:val="true"/>
        </w:rPr>
        <w:t xml:space="preserve">לא מהווה בהכרח </w:t>
      </w:r>
      <w:r>
        <w:rPr>
          <w:rtl w:val="true"/>
        </w:rPr>
        <w:t>"</w:t>
      </w:r>
      <w:r>
        <w:rPr>
          <w:rtl w:val="true"/>
        </w:rPr>
        <w:t>גרסה כבושה</w:t>
      </w:r>
      <w:r>
        <w:rPr>
          <w:rtl w:val="true"/>
        </w:rPr>
        <w:t xml:space="preserve">", </w:t>
      </w:r>
      <w:r>
        <w:rPr>
          <w:rtl w:val="true"/>
        </w:rPr>
        <w:t>אף שנטענה לראשונה בעדותו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העובדה שהחוקר לא נשאל על כך בחקירתו הנגדית אכן מערערת על אמינות טענה זו </w:t>
      </w:r>
      <w:r>
        <w:rPr>
          <w:rtl w:val="true"/>
        </w:rPr>
        <w:t>–</w:t>
      </w:r>
      <w:r>
        <w:rPr>
          <w:rtl w:val="true"/>
        </w:rPr>
        <w:t xml:space="preserve"> וממילא</w:t>
      </w:r>
      <w:r>
        <w:rPr>
          <w:rtl w:val="true"/>
        </w:rPr>
        <w:t xml:space="preserve">, </w:t>
      </w:r>
      <w:r>
        <w:rPr>
          <w:rtl w:val="true"/>
        </w:rPr>
        <w:t>המערער לא חזר על טענה זו בפנינו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>אבהיר כי לא נעלמה מעיניי חומרתו העקרונית של אי</w:t>
      </w:r>
      <w:r>
        <w:rPr>
          <w:rtl w:val="true"/>
        </w:rPr>
        <w:t>-</w:t>
      </w:r>
      <w:r>
        <w:rPr>
          <w:rtl w:val="true"/>
        </w:rPr>
        <w:t>רישום אימרותיו של המערער בשפה הערבית</w:t>
      </w:r>
      <w:r>
        <w:rPr>
          <w:rtl w:val="true"/>
        </w:rPr>
        <w:t xml:space="preserve">. </w:t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 xml:space="preserve">מדובר בדוגמה נוספת להתעלמותן המתמשכת של רשויות החקירה מהחובה לתעד חקירה בשפת הנחקר </w:t>
      </w:r>
      <w:r>
        <w:rPr>
          <w:rtl w:val="true"/>
        </w:rPr>
        <w:t>–</w:t>
      </w:r>
      <w:r>
        <w:rPr>
          <w:rtl w:val="true"/>
        </w:rPr>
        <w:t xml:space="preserve"> התעלמות שהחלה לפני ונמשכת אחרי שהחובה עוגנה במפורש בחוק התיעוד</w:t>
      </w:r>
      <w:r>
        <w:rPr>
          <w:rtl w:val="true"/>
        </w:rPr>
        <w:t xml:space="preserve">, </w:t>
      </w:r>
      <w:r>
        <w:rPr>
          <w:rtl w:val="true"/>
        </w:rPr>
        <w:t xml:space="preserve">וחרף הערות חוזרות ונשנות של בית משפט זה בדבר ההשלכות שעלולות להיות לכך על קבילותן ומשקלן של הודאות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סמירק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552</w:t>
      </w:r>
      <w:r>
        <w:rPr>
          <w:rtl w:val="true"/>
        </w:rPr>
        <w:t xml:space="preserve">, </w:t>
      </w:r>
      <w:r>
        <w:rPr>
          <w:rtl w:val="true"/>
        </w:rPr>
        <w:t>והאסמכתאות המובאות שם</w:t>
      </w:r>
      <w:r>
        <w:rPr>
          <w:rtl w:val="true"/>
        </w:rPr>
        <w:t xml:space="preserve">; </w:t>
      </w:r>
      <w:hyperlink r:id="rId4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1746/00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ברילב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נה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145</w:t>
      </w:r>
      <w:r>
        <w:rPr>
          <w:rtl w:val="true"/>
        </w:rPr>
        <w:t xml:space="preserve">, </w:t>
      </w:r>
      <w:r>
        <w:rPr/>
        <w:t>148-147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3250/10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79-74</w:t>
      </w:r>
      <w:r>
        <w:rPr>
          <w:rtl w:val="true"/>
        </w:rPr>
        <w:t xml:space="preserve"> (</w:t>
      </w:r>
      <w:r>
        <w:rPr/>
        <w:t>12.1.2012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 בכדי 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כי בהעדר תיעוד חזותי או קולי</w:t>
      </w:r>
      <w:r>
        <w:rPr>
          <w:rtl w:val="true"/>
        </w:rPr>
        <w:t xml:space="preserve">, </w:t>
      </w:r>
      <w:r>
        <w:rPr>
          <w:rtl w:val="true"/>
        </w:rPr>
        <w:t xml:space="preserve">אכן קמה למשטרה החובה לתעד את חקירת המערער בשפתו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התיעוד</w:t>
      </w:r>
      <w:r>
        <w:rPr>
          <w:rtl w:val="true"/>
        </w:rPr>
        <w:t xml:space="preserve">), </w:t>
      </w:r>
      <w:r>
        <w:rPr>
          <w:rtl w:val="true"/>
        </w:rPr>
        <w:t>וכי הפרתה מהווה פגם העלול להחליש מאוד את משקל אימרותיו</w:t>
      </w:r>
      <w:r>
        <w:rPr>
          <w:rtl w:val="true"/>
        </w:rPr>
        <w:t xml:space="preserve">, </w:t>
      </w:r>
      <w:r>
        <w:rPr>
          <w:rtl w:val="true"/>
        </w:rPr>
        <w:t>נוכח טענותיו לגבי המונח המדויק בו השתמש לתיאור הירי בהרים בחקירותיו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ויודגש</w:t>
      </w:r>
      <w:r>
        <w:rPr>
          <w:rtl w:val="true"/>
        </w:rPr>
        <w:t xml:space="preserve">: </w:t>
      </w:r>
      <w:r>
        <w:rPr>
          <w:rtl w:val="true"/>
        </w:rPr>
        <w:t>חובה זו מהווה ביטוי חשוב לזכות להליך הוגן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אך לא פחות חשוב מכך</w:t>
      </w:r>
      <w:r>
        <w:rPr>
          <w:rtl w:val="true"/>
        </w:rPr>
        <w:t xml:space="preserve">, </w:t>
      </w:r>
      <w:r>
        <w:rPr>
          <w:rtl w:val="true"/>
        </w:rPr>
        <w:t>היא נועדה לסייע בחקר האמת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 מניעת תקלות הנובעות מרישום בלתי</w:t>
      </w:r>
      <w:r>
        <w:rPr>
          <w:rtl w:val="true"/>
        </w:rPr>
        <w:t>-</w:t>
      </w:r>
      <w:r>
        <w:rPr>
          <w:rtl w:val="true"/>
        </w:rPr>
        <w:t>מדויק של דברי הנחקר</w:t>
      </w:r>
      <w:r>
        <w:rPr>
          <w:rtl w:val="true"/>
        </w:rPr>
        <w:t xml:space="preserve">, </w:t>
      </w:r>
      <w:r>
        <w:rPr>
          <w:rtl w:val="true"/>
        </w:rPr>
        <w:t>בדיוק כפי שקרה בענייננו</w:t>
      </w:r>
      <w:r>
        <w:rPr>
          <w:rtl w:val="true"/>
        </w:rPr>
        <w:t xml:space="preserve">; </w:t>
      </w:r>
      <w:r>
        <w:rPr>
          <w:rtl w:val="true"/>
        </w:rPr>
        <w:t>אילו קוימה החובה כלשונה</w:t>
      </w:r>
      <w:r>
        <w:rPr>
          <w:rtl w:val="true"/>
        </w:rPr>
        <w:t xml:space="preserve">, </w:t>
      </w:r>
      <w:r>
        <w:rPr>
          <w:rtl w:val="true"/>
        </w:rPr>
        <w:t xml:space="preserve">נראה כי היה בכך כדי לצמצם באופן משמעותי </w:t>
      </w:r>
      <w:r>
        <w:rPr>
          <w:rtl w:val="true"/>
        </w:rPr>
        <w:t>–</w:t>
      </w:r>
      <w:r>
        <w:rPr>
          <w:rtl w:val="true"/>
        </w:rPr>
        <w:t xml:space="preserve"> ואולי אף למנוע לחלוטין </w:t>
      </w:r>
      <w:r>
        <w:rPr>
          <w:rtl w:val="true"/>
        </w:rPr>
        <w:t>–</w:t>
      </w:r>
      <w:r>
        <w:rPr>
          <w:rtl w:val="true"/>
        </w:rPr>
        <w:t xml:space="preserve"> את המחלוקת ביחס לתכלית הירי וזיקתו לפיגוע</w:t>
      </w:r>
      <w:r>
        <w:rPr>
          <w:rtl w:val="true"/>
        </w:rPr>
        <w:t xml:space="preserve">. </w:t>
      </w:r>
      <w:r>
        <w:rPr>
          <w:rtl w:val="true"/>
        </w:rPr>
        <w:t xml:space="preserve">לא בכדי מדובר גם בהפרה לכאורה של כללי התנהגות החלים על חוקרי המשטרה </w:t>
      </w:r>
      <w:r>
        <w:rPr>
          <w:rtl w:val="true"/>
        </w:rPr>
        <w:t>(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התיעוד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בהקשר זה מטרידה במיוחד עדותו של החוקר המשטרתי 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לפיה </w:t>
      </w:r>
      <w:r>
        <w:rPr>
          <w:rtl w:val="true"/>
        </w:rPr>
        <w:t>"</w:t>
      </w:r>
      <w:r>
        <w:rPr>
          <w:rtl w:val="true"/>
        </w:rPr>
        <w:t>כלל לא ידע באותה עת</w:t>
      </w:r>
      <w:r>
        <w:rPr>
          <w:rtl w:val="true"/>
        </w:rPr>
        <w:t xml:space="preserve">" </w:t>
      </w:r>
      <w:r>
        <w:rPr>
          <w:rtl w:val="true"/>
        </w:rPr>
        <w:t>על חובתו האמורה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מכל הסיבות הללו</w:t>
      </w:r>
      <w:r>
        <w:rPr>
          <w:rtl w:val="true"/>
        </w:rPr>
        <w:t xml:space="preserve">, </w:t>
      </w:r>
      <w:r>
        <w:rPr>
          <w:rtl w:val="true"/>
        </w:rPr>
        <w:t xml:space="preserve">מצאתי מקום להסתייג מההמלצה שנכללה בהכרעת הדין </w:t>
      </w:r>
      <w:r>
        <w:rPr>
          <w:rtl w:val="true"/>
        </w:rPr>
        <w:t>(</w:t>
      </w:r>
      <w:r>
        <w:rPr>
          <w:rtl w:val="true"/>
        </w:rPr>
        <w:t xml:space="preserve">מפי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rtl w:val="true"/>
        </w:rPr>
        <w:t xml:space="preserve">), </w:t>
      </w:r>
      <w:r>
        <w:rPr>
          <w:rtl w:val="true"/>
        </w:rPr>
        <w:t>לפיה על גורמי החקירה השונים לשקול לתעד בשפת המקור ביטויים בעלי חשיבות פוטנציאלית להמשך החקירה וההליכים המשפטיים</w:t>
      </w:r>
      <w:r>
        <w:rPr>
          <w:rtl w:val="true"/>
        </w:rPr>
        <w:t xml:space="preserve">. </w:t>
      </w:r>
      <w:r>
        <w:rPr>
          <w:rtl w:val="true"/>
        </w:rPr>
        <w:t>דומני כי ענייננו ממחיש שישימות המלצה זו מוטלת בספק</w:t>
      </w:r>
      <w:r>
        <w:rPr>
          <w:rtl w:val="true"/>
        </w:rPr>
        <w:t xml:space="preserve">, </w:t>
      </w:r>
      <w:r>
        <w:rPr>
          <w:rtl w:val="true"/>
        </w:rPr>
        <w:t>נוכח הקושי לצפות מראש מה יטענו נחקרים להגנתם</w:t>
      </w:r>
      <w:r>
        <w:rPr>
          <w:rtl w:val="true"/>
        </w:rPr>
        <w:t xml:space="preserve">;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ההמלצה עלולה ליצור רושם שגוי</w:t>
      </w:r>
      <w:r>
        <w:rPr>
          <w:rtl w:val="true"/>
        </w:rPr>
        <w:t xml:space="preserve">, </w:t>
      </w:r>
      <w:r>
        <w:rPr>
          <w:rtl w:val="true"/>
        </w:rPr>
        <w:t xml:space="preserve">כי תיעוד כתוב של החקירה בשפת הנחקר נתון לשיקול דעתם של גורמי החקירה </w:t>
      </w:r>
      <w:r>
        <w:rPr>
          <w:rtl w:val="true"/>
        </w:rPr>
        <w:t>–</w:t>
      </w:r>
      <w:r>
        <w:rPr>
          <w:rtl w:val="true"/>
        </w:rPr>
        <w:t xml:space="preserve"> ולא היא</w:t>
      </w:r>
      <w:r>
        <w:rPr>
          <w:rtl w:val="true"/>
        </w:rPr>
        <w:t xml:space="preserve">. </w:t>
      </w:r>
      <w:r>
        <w:rPr>
          <w:rtl w:val="true"/>
        </w:rPr>
        <w:t>המדובר בחובה חוקית מפורשת</w:t>
      </w:r>
      <w:r>
        <w:rPr>
          <w:rtl w:val="true"/>
        </w:rPr>
        <w:t xml:space="preserve">, </w:t>
      </w:r>
      <w:r>
        <w:rPr>
          <w:rtl w:val="true"/>
        </w:rPr>
        <w:t>ועל המדינה לקיימה ככתבה וכלשונה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דין הערעור על הכרעת הדין 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לחבריי לעשות</w:t>
      </w:r>
      <w:r>
        <w:rPr>
          <w:rtl w:val="true"/>
        </w:rPr>
        <w:t>.</w:t>
      </w:r>
    </w:p>
    <w:p>
      <w:pPr>
        <w:pStyle w:val="Ruller41"/>
        <w:keepNext w:val="true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sz w:val="28"/>
          <w:sz w:val="28"/>
          <w:rtl w:val="true"/>
        </w:rPr>
        <w:t>באשר לגזר 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כידוע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ערכאת הערעור </w:t>
      </w:r>
      <w:r>
        <w:rPr>
          <w:sz w:val="28"/>
          <w:sz w:val="28"/>
          <w:rtl w:val="true"/>
        </w:rPr>
        <w:t>תיטה</w:t>
      </w:r>
      <w:r>
        <w:rPr>
          <w:sz w:val="28"/>
          <w:sz w:val="28"/>
          <w:rtl w:val="true"/>
        </w:rPr>
        <w:t xml:space="preserve"> שלא להתערב בעונש שהטילה הערכאה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הדיונית</w:t>
      </w:r>
      <w:r>
        <w:rPr>
          <w:sz w:val="28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לחומרה או לקולה</w:t>
      </w:r>
      <w:r>
        <w:rPr>
          <w:sz w:val="28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אלא במקרים חריגים שנפלה בהם טעות מהותית או שמתקיימת בהם </w:t>
      </w:r>
      <w:r>
        <w:rPr>
          <w:sz w:val="28"/>
          <w:sz w:val="28"/>
          <w:rtl w:val="true"/>
        </w:rPr>
        <w:t xml:space="preserve">סטייה </w:t>
      </w:r>
      <w:r>
        <w:rPr>
          <w:sz w:val="28"/>
          <w:sz w:val="28"/>
          <w:rtl w:val="true"/>
        </w:rPr>
        <w:t>קיצונית ממדיניות הענישה במקרים דומים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למשל</w:t>
      </w:r>
      <w:r>
        <w:rPr>
          <w:sz w:val="28"/>
          <w:rtl w:val="true"/>
        </w:rPr>
        <w:t xml:space="preserve">: </w:t>
      </w:r>
      <w:hyperlink r:id="rId5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1465/20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sz w:val="28"/>
          <w:sz w:val="28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19.3.2020</w:t>
      </w:r>
      <w:r>
        <w:rPr>
          <w:sz w:val="28"/>
          <w:rtl w:val="true"/>
        </w:rPr>
        <w:t>)).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sz w:val="28"/>
          <w:rtl w:val="true"/>
        </w:rPr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מהטעמים שיפורטו להלן</w:t>
      </w:r>
      <w:r>
        <w:rPr>
          <w:rtl w:val="true"/>
        </w:rPr>
        <w:t xml:space="preserve">, </w:t>
      </w:r>
      <w:r>
        <w:rPr>
          <w:rtl w:val="true"/>
        </w:rPr>
        <w:t>מצאתי כי בית המשפט המחוזי הקל עם המערער באופן המחייב את התערבותנו לחומרה</w:t>
      </w:r>
      <w:r>
        <w:rPr>
          <w:rtl w:val="true"/>
        </w:rPr>
        <w:t xml:space="preserve">, </w:t>
      </w:r>
      <w:r>
        <w:rPr>
          <w:rtl w:val="true"/>
        </w:rPr>
        <w:t xml:space="preserve">כאשר קבע את מתחם העונש ההולם בין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tl w:val="true"/>
        </w:rPr>
        <w:t xml:space="preserve">, </w:t>
      </w: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>את העונש קצת מתחת למחצית מהעונש ההולם במתחם אותו קבע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עונשו של המערער</w:t>
      </w:r>
      <w:r>
        <w:rPr>
          <w:rtl w:val="true"/>
        </w:rPr>
        <w:t xml:space="preserve">, </w:t>
      </w:r>
      <w:r>
        <w:rPr>
          <w:rtl w:val="true"/>
        </w:rPr>
        <w:t>אשר אכן עולה על אלה שהוטלו בעבר על מסייעים מסוגו</w:t>
      </w:r>
      <w:r>
        <w:rPr>
          <w:rtl w:val="true"/>
        </w:rPr>
        <w:t xml:space="preserve">, </w:t>
      </w:r>
      <w:r>
        <w:rPr>
          <w:rtl w:val="true"/>
        </w:rPr>
        <w:t>נובע בראש וראשונה ממידת האשם הגבוהה במיוחד שלו</w:t>
      </w:r>
      <w:r>
        <w:rPr>
          <w:rtl w:val="true"/>
        </w:rPr>
        <w:t xml:space="preserve">, </w:t>
      </w:r>
      <w:r>
        <w:rPr>
          <w:rtl w:val="true"/>
        </w:rPr>
        <w:t>זאת כמי שסייע למפגעים באופן מתמשך ומשמעותי ביותר</w:t>
      </w:r>
      <w:r>
        <w:rPr>
          <w:rtl w:val="true"/>
        </w:rPr>
        <w:t xml:space="preserve">, </w:t>
      </w:r>
      <w:r>
        <w:rPr>
          <w:rtl w:val="true"/>
        </w:rPr>
        <w:t>במישור האופרטיבי והרוחני</w:t>
      </w:r>
      <w:r>
        <w:rPr>
          <w:rtl w:val="true"/>
        </w:rPr>
        <w:t xml:space="preserve">, </w:t>
      </w:r>
      <w:r>
        <w:rPr>
          <w:rtl w:val="true"/>
        </w:rPr>
        <w:t>מתוך מודעות מלאה לכוונתם ותכניתם</w:t>
      </w:r>
      <w:r>
        <w:rPr>
          <w:rtl w:val="true"/>
        </w:rPr>
        <w:t xml:space="preserve">, </w:t>
      </w:r>
      <w:r>
        <w:rPr>
          <w:rtl w:val="true"/>
        </w:rPr>
        <w:t>ובמטרה ברורה לסייע בידם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 בגזר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נתפס </w:t>
      </w:r>
      <w:r>
        <w:rPr>
          <w:rtl w:val="true"/>
        </w:rPr>
        <w:t>–</w:t>
      </w:r>
      <w:r>
        <w:rPr>
          <w:rtl w:val="true"/>
        </w:rPr>
        <w:t xml:space="preserve"> בעיני עצמו כמו גם בעיני המפגעים </w:t>
      </w:r>
      <w:r>
        <w:rPr>
          <w:rtl w:val="true"/>
        </w:rPr>
        <w:t>–</w:t>
      </w:r>
      <w:r>
        <w:rPr>
          <w:rtl w:val="true"/>
        </w:rPr>
        <w:t xml:space="preserve"> כחבר הרביעי בחוליית הטרור</w:t>
      </w:r>
      <w:r>
        <w:rPr>
          <w:rtl w:val="true"/>
        </w:rPr>
        <w:t xml:space="preserve">; </w:t>
      </w:r>
      <w:r>
        <w:rPr>
          <w:rtl w:val="true"/>
        </w:rPr>
        <w:t>הוא נטל חלק פעיל בהיערכות לפיגוע וסייע למפגעים בכל מאודו</w:t>
      </w:r>
      <w:r>
        <w:rPr>
          <w:rtl w:val="true"/>
        </w:rPr>
        <w:t xml:space="preserve">; </w:t>
      </w:r>
      <w:r>
        <w:rPr>
          <w:rtl w:val="true"/>
        </w:rPr>
        <w:t>וההבדל היחיד בינו למפגעים נעוץ בכך שלא השתתף בפועל בפיגוע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>פיגוע זה הסתיים ברציחתם של שני שוטרי משטרת ישראל אשר הופקדו על שמירת ביטחונם של הבאים בשערי הר הבית</w:t>
      </w:r>
      <w:r>
        <w:rPr>
          <w:rtl w:val="true"/>
        </w:rPr>
        <w:t xml:space="preserve">, </w:t>
      </w:r>
      <w:r>
        <w:rPr>
          <w:rtl w:val="true"/>
        </w:rPr>
        <w:t>בני כל הדתות</w:t>
      </w:r>
      <w:r>
        <w:rPr>
          <w:rtl w:val="true"/>
        </w:rPr>
        <w:t xml:space="preserve">. </w:t>
      </w:r>
      <w:r>
        <w:rPr>
          <w:rtl w:val="true"/>
        </w:rPr>
        <w:t>על כך יש להוסיף את הפגיעה בשוטרים נוספים אשר שהו במקום</w:t>
      </w:r>
      <w:r>
        <w:rPr>
          <w:rtl w:val="true"/>
        </w:rPr>
        <w:t xml:space="preserve">, </w:t>
      </w:r>
      <w:r>
        <w:rPr>
          <w:rtl w:val="true"/>
        </w:rPr>
        <w:t>בין אם פגיעה פיזית ובין אם פגיעה נפשית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תוצאותיו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וטראגיות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שנרצחו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; </w:t>
      </w:r>
      <w:r>
        <w:rPr>
          <w:rtl w:val="true"/>
        </w:rPr>
        <w:t>כאבם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הנרצחים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spacing w:before="0" w:after="420"/>
        <w:ind w:hanging="0" w:start="0" w:end="0"/>
        <w:jc w:val="both"/>
        <w:rPr/>
      </w:pPr>
      <w:r>
        <w:rPr>
          <w:rtl w:val="true"/>
        </w:rPr>
        <w:t xml:space="preserve">במקרה דנן יש ליתן עוד משקל רב לבחירה במתחם הר הבית כיעד לפיגוע </w:t>
      </w:r>
      <w:r>
        <w:rPr>
          <w:rtl w:val="true"/>
        </w:rPr>
        <w:t>–</w:t>
      </w:r>
      <w:r>
        <w:rPr>
          <w:rtl w:val="true"/>
        </w:rPr>
        <w:t xml:space="preserve"> נסיבה שאין חולק על קיומה ועל כך שהייתה ידועה למערער בעת שסייע למפגעים </w:t>
      </w:r>
      <w:r>
        <w:rPr>
          <w:rtl w:val="true"/>
        </w:rPr>
        <w:t>–</w:t>
      </w:r>
      <w:r>
        <w:rPr>
          <w:rtl w:val="true"/>
        </w:rPr>
        <w:t xml:space="preserve"> וזאת לנוכח רגישות</w:t>
      </w:r>
      <w:r>
        <w:rPr>
          <w:rtl w:val="true"/>
        </w:rPr>
        <w:t>-</w:t>
      </w:r>
      <w:r>
        <w:rPr>
          <w:rtl w:val="true"/>
        </w:rPr>
        <w:t>היתר של כל הנעשה על הר הבית</w:t>
      </w:r>
      <w:r>
        <w:rPr>
          <w:rtl w:val="true"/>
        </w:rPr>
        <w:t xml:space="preserve">, </w:t>
      </w:r>
      <w:r>
        <w:rPr>
          <w:rtl w:val="true"/>
        </w:rPr>
        <w:t>ועל אחת כמה וכמה פיגוע רצחני על כל המשתמע מהפרשנות והסמליות של פיגוע במקום קדוש זה לדתות השונות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 העניין יש צורך חיוני מהמעלה הראשונה בהרתעת הרבים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רק באחרונה הדגשתי את החומרה המיוחדת הכרוכה בביצוע מעשי טרור במתחם הר הבית</w:t>
      </w:r>
      <w:r>
        <w:rPr>
          <w:rtl w:val="true"/>
        </w:rPr>
        <w:t xml:space="preserve">, </w:t>
      </w:r>
      <w:r>
        <w:rPr>
          <w:rtl w:val="true"/>
        </w:rPr>
        <w:t>תוך זלזול מוחלט ברגישותו הבין</w:t>
      </w:r>
      <w:r>
        <w:rPr>
          <w:rtl w:val="true"/>
        </w:rPr>
        <w:t>-</w:t>
      </w:r>
      <w:r>
        <w:rPr>
          <w:rtl w:val="true"/>
        </w:rPr>
        <w:t>דתית ובשלומם של המתפללים</w:t>
      </w:r>
      <w:r>
        <w:rPr>
          <w:rtl w:val="true"/>
        </w:rPr>
        <w:t xml:space="preserve">, </w:t>
      </w:r>
      <w:r>
        <w:rPr>
          <w:rtl w:val="true"/>
        </w:rPr>
        <w:t xml:space="preserve">וכן תוך ניצול לרעה של חופש הפולחן והגישה למקום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9035/18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tl w:val="true"/>
        </w:rPr>
        <w:t>(</w:t>
      </w:r>
      <w:r>
        <w:rPr/>
        <w:t>15.9.2019</w:t>
      </w:r>
      <w:r>
        <w:rPr>
          <w:rtl w:val="true"/>
        </w:rPr>
        <w:t xml:space="preserve">);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5590/16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tl w:val="true"/>
        </w:rPr>
        <w:t>(</w:t>
      </w:r>
      <w:r>
        <w:rPr/>
        <w:t>17.1.2018</w:t>
      </w:r>
      <w:r>
        <w:rPr>
          <w:rtl w:val="true"/>
        </w:rPr>
        <w:t xml:space="preserve">);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2390/17</w:t>
        </w:r>
      </w:hyperlink>
      <w:r>
        <w:rPr>
          <w:rFonts w:cs="Miriam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מרזיק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Fonts w:ascii="FrankRuehl;Times New Roman" w:hAnsi="FrankRuehl;Times New Roman"/>
          <w:sz w:val="28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;Times New Roman" w:hAnsi="FrankRuehl;Times New Roman"/>
          <w:sz w:val="28"/>
          <w:sz w:val="28"/>
          <w:rtl w:val="true"/>
        </w:rPr>
        <w:t>פסקה</w:t>
      </w:r>
      <w:r>
        <w:rPr>
          <w:rFonts w:ascii="FrankRuehl;Times New Roman" w:hAnsi="FrankRuehl;Times New Roman" w:eastAsia="FrankRuehl;Times New Roman" w:cs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</w:rPr>
        <w:t>11</w:t>
      </w:r>
      <w:r>
        <w:rPr>
          <w:rFonts w:ascii="FrankRuehl;Times New Roman" w:hAnsi="FrankRuehl;Times New Roman"/>
          <w:sz w:val="28"/>
          <w:rtl w:val="true"/>
        </w:rPr>
        <w:t xml:space="preserve"> (</w:t>
      </w:r>
      <w:r>
        <w:rPr>
          <w:rFonts w:ascii="FrankRuehl;Times New Roman" w:hAnsi="FrankRuehl;Times New Roman"/>
          <w:sz w:val="28"/>
        </w:rPr>
        <w:t>28.12.2017</w:t>
      </w:r>
      <w:r>
        <w:rPr>
          <w:rFonts w:ascii="FrankRuehl;Times New Roman" w:hAnsi="FrankRuehl;Times New Roman"/>
          <w:sz w:val="28"/>
          <w:rtl w:val="true"/>
        </w:rPr>
        <w:t>)</w:t>
      </w:r>
      <w:r>
        <w:rPr>
          <w:rtl w:val="true"/>
        </w:rPr>
        <w:t xml:space="preserve">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2579/14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פרחאן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25.5.2017</w:t>
      </w:r>
      <w:r>
        <w:rPr>
          <w:rtl w:val="true"/>
        </w:rPr>
        <w:t xml:space="preserve">);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8457/15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ווזווז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1.11.2018</w:t>
      </w:r>
      <w:r>
        <w:rPr>
          <w:rtl w:val="true"/>
        </w:rPr>
        <w:t xml:space="preserve">);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קוטוב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21.6.2016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כפי שטענה המשיבה</w:t>
      </w:r>
      <w:r>
        <w:rPr>
          <w:rtl w:val="true"/>
        </w:rPr>
        <w:t xml:space="preserve">, </w:t>
      </w:r>
      <w:r>
        <w:rPr>
          <w:rtl w:val="true"/>
        </w:rPr>
        <w:t>לפיגוע שבמהלכו נרצחו שני השוטרים ונפגעו אחרים</w:t>
      </w:r>
      <w:r>
        <w:rPr>
          <w:rtl w:val="true"/>
        </w:rPr>
        <w:t xml:space="preserve">, </w:t>
      </w:r>
      <w:r>
        <w:rPr>
          <w:rtl w:val="true"/>
        </w:rPr>
        <w:t>היו השלכות חמורות על אינטרסים חיוניים במישור הביטחוני והמדיני</w:t>
      </w:r>
      <w:r>
        <w:rPr>
          <w:rtl w:val="true"/>
        </w:rPr>
        <w:t xml:space="preserve">, </w:t>
      </w:r>
      <w:r>
        <w:rPr>
          <w:rtl w:val="true"/>
        </w:rPr>
        <w:t>ובמובן זה ניתן לראות בביצוע הפיגוע דווקא במתחם הר הבית כמעשה של פירומניה פוליטית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מעורבות אזרחים ישראלים בפיגועי טרור היא אמנם תופעה חריגה</w:t>
      </w:r>
      <w:r>
        <w:rPr>
          <w:rtl w:val="true"/>
        </w:rPr>
        <w:t xml:space="preserve">, </w:t>
      </w:r>
      <w:r>
        <w:rPr>
          <w:rtl w:val="true"/>
        </w:rPr>
        <w:t>אך בכל היקף מדובר בתופעה מדאיגה</w:t>
      </w:r>
      <w:r>
        <w:rPr>
          <w:rtl w:val="true"/>
        </w:rPr>
        <w:t xml:space="preserve">, </w:t>
      </w:r>
      <w:r>
        <w:rPr>
          <w:rtl w:val="true"/>
        </w:rPr>
        <w:t>הראויה לכל גנאי</w:t>
      </w:r>
      <w:r>
        <w:rPr>
          <w:rtl w:val="true"/>
        </w:rPr>
        <w:t xml:space="preserve">, </w:t>
      </w:r>
      <w:r>
        <w:rPr>
          <w:rtl w:val="true"/>
        </w:rPr>
        <w:t xml:space="preserve">ושעל בתי המשפט לסייע בעקירתה מהשורש בענישה מחמירה </w:t>
      </w:r>
      <w:r>
        <w:rPr>
          <w:rtl w:val="true"/>
        </w:rPr>
        <w:t>–</w:t>
      </w:r>
      <w:r>
        <w:rPr>
          <w:rtl w:val="true"/>
        </w:rPr>
        <w:t xml:space="preserve"> וכך נהגנו במקרים לא מעטים בשנים האחרונות </w:t>
      </w:r>
      <w:r>
        <w:rPr>
          <w:rtl w:val="true"/>
        </w:rPr>
        <w:t>(</w:t>
      </w:r>
      <w:r>
        <w:rPr>
          <w:rtl w:val="true"/>
        </w:rPr>
        <w:t>ראו האסמכתאות דלעיל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5536/18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אלבייאע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13.6.2019</w:t>
      </w:r>
      <w:r>
        <w:rPr>
          <w:rtl w:val="true"/>
        </w:rPr>
        <w:t xml:space="preserve">);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11.11.2018</w:t>
      </w:r>
      <w:r>
        <w:rPr>
          <w:rtl w:val="true"/>
        </w:rPr>
        <w:t xml:space="preserve">);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9552/16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קומבוז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22.1.2018</w:t>
      </w:r>
      <w:r>
        <w:rPr>
          <w:rtl w:val="true"/>
        </w:rPr>
        <w:t xml:space="preserve">)). </w:t>
      </w:r>
      <w:r>
        <w:rPr>
          <w:rtl w:val="true"/>
        </w:rPr>
        <w:t>כפי שציינה המשיבה</w:t>
      </w:r>
      <w:r>
        <w:rPr>
          <w:rtl w:val="true"/>
        </w:rPr>
        <w:t xml:space="preserve">, </w:t>
      </w:r>
      <w:r>
        <w:rPr>
          <w:rtl w:val="true"/>
        </w:rPr>
        <w:t>הפיגוע לו סייע המערער כבר שימש לעידוד והסתה למעשים דומים</w:t>
      </w:r>
      <w:r>
        <w:rPr>
          <w:rtl w:val="true"/>
        </w:rPr>
        <w:t xml:space="preserve">, </w:t>
      </w:r>
      <w:r>
        <w:rPr>
          <w:rtl w:val="true"/>
        </w:rPr>
        <w:t>ולמול זאת</w:t>
      </w:r>
      <w:r>
        <w:rPr>
          <w:rtl w:val="true"/>
        </w:rPr>
        <w:t xml:space="preserve">, </w:t>
      </w:r>
      <w:r>
        <w:rPr>
          <w:rtl w:val="true"/>
        </w:rPr>
        <w:t xml:space="preserve">מחובת בית המשפט לשגר מסר הרתעתי חד וברור לכל המפגעים בכוח </w:t>
      </w:r>
      <w:r>
        <w:rPr>
          <w:rtl w:val="true"/>
        </w:rPr>
        <w:t>–</w:t>
      </w:r>
      <w:r>
        <w:rPr>
          <w:rtl w:val="true"/>
        </w:rPr>
        <w:t xml:space="preserve"> מבצעים ומסייעים כאחד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ערעור המערער על שני חלקיו</w:t>
      </w:r>
      <w:r>
        <w:rPr>
          <w:rtl w:val="true"/>
        </w:rPr>
        <w:t xml:space="preserve">; </w:t>
      </w:r>
      <w:r>
        <w:rPr>
          <w:rtl w:val="true"/>
        </w:rPr>
        <w:t>ולקבל את ערעור המדינה על קולת העונש</w:t>
      </w:r>
      <w:r>
        <w:rPr>
          <w:rtl w:val="true"/>
        </w:rPr>
        <w:t xml:space="preserve">, </w:t>
      </w:r>
      <w:r>
        <w:rPr>
          <w:rtl w:val="true"/>
        </w:rPr>
        <w:t xml:space="preserve">באופן שעונש המאסר בפועל של המערער יעמוד על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יתר רכיבי הענישה יוותרו על כנם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25.3.2021</w:t>
      </w:r>
      <w:r>
        <w:rPr>
          <w:rtl w:val="true"/>
        </w:rPr>
        <w:t xml:space="preserve">). </w:t>
      </w:r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129371</w:t>
      </w:r>
    </w:p>
    <w:p>
      <w:pPr>
        <w:pStyle w:val="Normal"/>
        <w:ind w:end="0"/>
        <w:jc w:val="start"/>
        <w:rPr>
          <w:szCs w:val="16"/>
        </w:rPr>
      </w:pPr>
      <w:r>
        <w:rPr>
          <w:color w:val="FFFFFF"/>
          <w:sz w:val="2"/>
          <w:szCs w:val="2"/>
        </w:rPr>
        <w:t>54678313</w:t>
      </w: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19081400</w:t>
      </w:r>
      <w:r>
        <w:rPr>
          <w:sz w:val="16"/>
          <w:rtl w:val="true"/>
        </w:rPr>
        <w:t>_</w:t>
      </w:r>
      <w:r>
        <w:rPr>
          <w:sz w:val="16"/>
        </w:rPr>
        <w:t>J07.docx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 w:val="22"/>
          <w:szCs w:val="22"/>
        </w:rPr>
      </w:pPr>
      <w:r>
        <w:rPr>
          <w:rFonts w:cs="David;Malgun Gothic Semilight" w:ascii="David;Malgun Gothic Semilight" w:hAnsi="David;Malgun Gothic Semilight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 w:val="22"/>
          <w:szCs w:val="22"/>
        </w:rPr>
      </w:pPr>
      <w:r>
        <w:rPr>
          <w:rFonts w:ascii="David;Malgun Gothic Semilight" w:hAnsi="David;Malgun Gothic Semilight"/>
          <w:color w:val="000000"/>
          <w:sz w:val="22"/>
          <w:sz w:val="22"/>
          <w:szCs w:val="22"/>
          <w:rtl w:val="true"/>
        </w:rPr>
        <w:t>נ</w:t>
      </w:r>
      <w:r>
        <w:rPr>
          <w:rFonts w:cs="David;Malgun Gothic Semilight" w:ascii="David;Malgun Gothic Semilight" w:hAnsi="David;Malgun Gothic Semilight"/>
          <w:color w:val="000000"/>
          <w:sz w:val="22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 w:val="22"/>
          <w:sz w:val="22"/>
          <w:szCs w:val="22"/>
          <w:rtl w:val="true"/>
        </w:rPr>
        <w:t xml:space="preserve">הנדל </w:t>
      </w:r>
      <w:r>
        <w:rPr>
          <w:rFonts w:cs="David;Malgun Gothic Semilight" w:ascii="David;Malgun Gothic Semilight" w:hAnsi="David;Malgun Gothic Semilight"/>
          <w:color w:val="000000"/>
          <w:sz w:val="22"/>
          <w:szCs w:val="22"/>
        </w:rPr>
        <w:t>54678313-8140/19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3"/>
      <w:footerReference w:type="default" r:id="rId6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Malgun Gothic Semilight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25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8140/19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אמג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>'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ד ג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>'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אברין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8"/>
        <w:szCs w:val="28"/>
        <w:rFonts w:cs="FrankRuehl;Times New Roman"/>
        <w:lang w:val="en-U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Times New Roman" w:cs="Times New Roman"/>
      <w:color w:val="2E74B5"/>
      <w:sz w:val="32"/>
      <w:szCs w:val="32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Times New Roman" w:cs="Times New Roman"/>
      <w:color w:val="2E74B5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FrankRuehl;Times New Roman"/>
      <w:sz w:val="20"/>
      <w:szCs w:val="24"/>
    </w:rPr>
  </w:style>
  <w:style w:type="character" w:styleId="WW8Num12z0">
    <w:name w:val="WW8Num12z0"/>
    <w:qFormat/>
    <w:rPr>
      <w:rFonts w:cs="FrankRuehl;Times New Roman"/>
      <w:sz w:val="28"/>
      <w:szCs w:val="28"/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Malgun Gothic Semilight"/>
    </w:rPr>
  </w:style>
  <w:style w:type="character" w:styleId="CharChar1">
    <w:name w:val=" Char Char1"/>
    <w:qFormat/>
    <w:rPr>
      <w:rFonts w:cs="David;Malgun Gothic Semilight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CharChar3">
    <w:name w:val=" Char Char3"/>
    <w:qFormat/>
    <w:rPr>
      <w:rFonts w:ascii="Calibri Light" w:hAnsi="Calibri Light" w:eastAsia="Times New Roman" w:cs="Times New Roman"/>
      <w:color w:val="2E74B5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93725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77.a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300.a.2" TargetMode="External"/><Relationship Id="rId8" Type="http://schemas.openxmlformats.org/officeDocument/2006/relationships/hyperlink" Target="http://www.nevo.co.il/law/70301/380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499.a.2" TargetMode="External"/><Relationship Id="rId11" Type="http://schemas.openxmlformats.org/officeDocument/2006/relationships/hyperlink" Target="http://www.nevo.co.il/law/70301/fCa1S" TargetMode="External"/><Relationship Id="rId12" Type="http://schemas.openxmlformats.org/officeDocument/2006/relationships/hyperlink" Target="http://www.nevo.co.il/law/141771" TargetMode="External"/><Relationship Id="rId13" Type="http://schemas.openxmlformats.org/officeDocument/2006/relationships/hyperlink" Target="http://www.nevo.co.il/law/141771/30.a" TargetMode="External"/><Relationship Id="rId14" Type="http://schemas.openxmlformats.org/officeDocument/2006/relationships/hyperlink" Target="http://www.nevo.co.il/law/98639" TargetMode="External"/><Relationship Id="rId15" Type="http://schemas.openxmlformats.org/officeDocument/2006/relationships/hyperlink" Target="http://www.nevo.co.il/law/98639/5.a" TargetMode="External"/><Relationship Id="rId16" Type="http://schemas.openxmlformats.org/officeDocument/2006/relationships/hyperlink" Target="http://www.nevo.co.il/law/98639/8" TargetMode="External"/><Relationship Id="rId17" Type="http://schemas.openxmlformats.org/officeDocument/2006/relationships/hyperlink" Target="http://www.nevo.co.il/law/98639/8.2" TargetMode="External"/><Relationship Id="rId18" Type="http://schemas.openxmlformats.org/officeDocument/2006/relationships/hyperlink" Target="http://www.nevo.co.il/law/98639/17.a" TargetMode="External"/><Relationship Id="rId19" Type="http://schemas.openxmlformats.org/officeDocument/2006/relationships/hyperlink" Target="http://www.nevo.co.il/law/98569" TargetMode="External"/><Relationship Id="rId20" Type="http://schemas.openxmlformats.org/officeDocument/2006/relationships/hyperlink" Target="http://www.nevo.co.il/law/98569/11" TargetMode="External"/><Relationship Id="rId21" Type="http://schemas.openxmlformats.org/officeDocument/2006/relationships/hyperlink" Target="http://www.nevo.co.il/case/22937252" TargetMode="External"/><Relationship Id="rId22" Type="http://schemas.openxmlformats.org/officeDocument/2006/relationships/hyperlink" Target="http://www.nevo.co.il/law/70301/300.a.2" TargetMode="External"/><Relationship Id="rId23" Type="http://schemas.openxmlformats.org/officeDocument/2006/relationships/hyperlink" Target="http://www.nevo.co.il/law/70301/380" TargetMode="External"/><Relationship Id="rId24" Type="http://schemas.openxmlformats.org/officeDocument/2006/relationships/hyperlink" Target="http://www.nevo.co.il/law/70301/3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244" TargetMode="External"/><Relationship Id="rId27" Type="http://schemas.openxmlformats.org/officeDocument/2006/relationships/hyperlink" Target="http://www.nevo.co.il/law/70301/499.a.2" TargetMode="External"/><Relationship Id="rId28" Type="http://schemas.openxmlformats.org/officeDocument/2006/relationships/hyperlink" Target="http://www.nevo.co.il/law/141771/30.a" TargetMode="External"/><Relationship Id="rId29" Type="http://schemas.openxmlformats.org/officeDocument/2006/relationships/hyperlink" Target="http://www.nevo.co.il/law/141771" TargetMode="External"/><Relationship Id="rId30" Type="http://schemas.openxmlformats.org/officeDocument/2006/relationships/hyperlink" Target="http://www.nevo.co.il/law/70301/40j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77.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98639/8" TargetMode="External"/><Relationship Id="rId35" Type="http://schemas.openxmlformats.org/officeDocument/2006/relationships/hyperlink" Target="http://www.nevo.co.il/law/98639" TargetMode="External"/><Relationship Id="rId36" Type="http://schemas.openxmlformats.org/officeDocument/2006/relationships/hyperlink" Target="http://www.nevo.co.il/law/141771/30.a" TargetMode="External"/><Relationship Id="rId37" Type="http://schemas.openxmlformats.org/officeDocument/2006/relationships/hyperlink" Target="http://www.nevo.co.il/law/70301/fCa1S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23506677" TargetMode="External"/><Relationship Id="rId40" Type="http://schemas.openxmlformats.org/officeDocument/2006/relationships/hyperlink" Target="http://www.nevo.co.il/case/17941225" TargetMode="External"/><Relationship Id="rId41" Type="http://schemas.openxmlformats.org/officeDocument/2006/relationships/hyperlink" Target="http://www.nevo.co.il/case/17942903" TargetMode="External"/><Relationship Id="rId42" Type="http://schemas.openxmlformats.org/officeDocument/2006/relationships/hyperlink" Target="http://www.nevo.co.il/law/98569/11" TargetMode="External"/><Relationship Id="rId43" Type="http://schemas.openxmlformats.org/officeDocument/2006/relationships/hyperlink" Target="http://www.nevo.co.il/law/98569" TargetMode="External"/><Relationship Id="rId44" Type="http://schemas.openxmlformats.org/officeDocument/2006/relationships/hyperlink" Target="http://www.nevo.co.il/case/5799929" TargetMode="External"/><Relationship Id="rId45" Type="http://schemas.openxmlformats.org/officeDocument/2006/relationships/hyperlink" Target="http://www.nevo.co.il/case/17912384" TargetMode="External"/><Relationship Id="rId46" Type="http://schemas.openxmlformats.org/officeDocument/2006/relationships/hyperlink" Target="http://www.nevo.co.il/case/5789100" TargetMode="External"/><Relationship Id="rId47" Type="http://schemas.openxmlformats.org/officeDocument/2006/relationships/hyperlink" Target="http://www.nevo.co.il/case/5951406" TargetMode="External"/><Relationship Id="rId48" Type="http://schemas.openxmlformats.org/officeDocument/2006/relationships/hyperlink" Target="http://www.nevo.co.il/law/98639/17.a" TargetMode="External"/><Relationship Id="rId49" Type="http://schemas.openxmlformats.org/officeDocument/2006/relationships/hyperlink" Target="http://www.nevo.co.il/law/98639/8.2" TargetMode="External"/><Relationship Id="rId50" Type="http://schemas.openxmlformats.org/officeDocument/2006/relationships/hyperlink" Target="http://www.nevo.co.il/law/98639/5.a" TargetMode="External"/><Relationship Id="rId51" Type="http://schemas.openxmlformats.org/officeDocument/2006/relationships/hyperlink" Target="http://www.nevo.co.il/case/26489414" TargetMode="External"/><Relationship Id="rId52" Type="http://schemas.openxmlformats.org/officeDocument/2006/relationships/hyperlink" Target="http://www.nevo.co.il/case/25254027" TargetMode="External"/><Relationship Id="rId53" Type="http://schemas.openxmlformats.org/officeDocument/2006/relationships/hyperlink" Target="http://www.nevo.co.il/case/21476340" TargetMode="External"/><Relationship Id="rId54" Type="http://schemas.openxmlformats.org/officeDocument/2006/relationships/hyperlink" Target="http://www.nevo.co.il/case/22401477" TargetMode="External"/><Relationship Id="rId55" Type="http://schemas.openxmlformats.org/officeDocument/2006/relationships/hyperlink" Target="http://www.nevo.co.il/case/13104258" TargetMode="External"/><Relationship Id="rId56" Type="http://schemas.openxmlformats.org/officeDocument/2006/relationships/hyperlink" Target="http://www.nevo.co.il/case/20787919" TargetMode="External"/><Relationship Id="rId57" Type="http://schemas.openxmlformats.org/officeDocument/2006/relationships/hyperlink" Target="http://www.nevo.co.il/case/20898746" TargetMode="External"/><Relationship Id="rId58" Type="http://schemas.openxmlformats.org/officeDocument/2006/relationships/hyperlink" Target="http://www.nevo.co.il/case/24493262" TargetMode="External"/><Relationship Id="rId59" Type="http://schemas.openxmlformats.org/officeDocument/2006/relationships/hyperlink" Target="http://www.nevo.co.il/case/23750585" TargetMode="External"/><Relationship Id="rId60" Type="http://schemas.openxmlformats.org/officeDocument/2006/relationships/hyperlink" Target="http://www.nevo.co.il/case/21740522" TargetMode="External"/><Relationship Id="rId61" Type="http://schemas.openxmlformats.org/officeDocument/2006/relationships/hyperlink" Target="http://supreme.court.gov.il/" TargetMode="External"/><Relationship Id="rId62" Type="http://schemas.openxmlformats.org/officeDocument/2006/relationships/hyperlink" Target="http://www.nevo.co.il/advertisements/nevo-100.doc" TargetMode="External"/><Relationship Id="rId63" Type="http://schemas.openxmlformats.org/officeDocument/2006/relationships/header" Target="header1.xml"/><Relationship Id="rId64" Type="http://schemas.openxmlformats.org/officeDocument/2006/relationships/footer" Target="footer1.xml"/><Relationship Id="rId65" Type="http://schemas.openxmlformats.org/officeDocument/2006/relationships/numbering" Target="numbering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2021-03-29T08:08:00Z</dcterms:created>
  <dc:creator>h4</dc:creator>
  <dc:description/>
  <cp:keywords/>
  <dc:language>en-IL</dc:language>
  <cp:lastModifiedBy>orly</cp:lastModifiedBy>
  <cp:lastPrinted>2021-03-25T08:53:00Z</cp:lastPrinted>
  <dcterms:modified xsi:type="dcterms:W3CDTF">2021-03-29T08:08:00Z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אמג'ד ג'אברין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22937252:2;23506677;17941225;17942903;5799929;17912384;5789100;5951406;26489414;25254027;21476340;22401477;13104258;20787919;20898746;24493262;23750585;21740522</vt:lpwstr>
  </property>
  <property fmtid="{D5CDD505-2E9C-101B-9397-08002B2CF9AE}" pid="9" name="CITY">
    <vt:lpwstr/>
  </property>
  <property fmtid="{D5CDD505-2E9C-101B-9397-08002B2CF9AE}" pid="10" name="DATE">
    <vt:lpwstr>20210325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הנדל;ע' ברון;י' אלרון</vt:lpwstr>
  </property>
  <property fmtid="{D5CDD505-2E9C-101B-9397-08002B2CF9AE}" pid="14" name="LAWLISTTMP1">
    <vt:lpwstr>70301/300.a.2;380;031;244;499.a.2;40ja;077.a;fCa1S</vt:lpwstr>
  </property>
  <property fmtid="{D5CDD505-2E9C-101B-9397-08002B2CF9AE}" pid="15" name="LAWLISTTMP2">
    <vt:lpwstr>141771/030.a:2</vt:lpwstr>
  </property>
  <property fmtid="{D5CDD505-2E9C-101B-9397-08002B2CF9AE}" pid="16" name="LAWLISTTMP3">
    <vt:lpwstr>98639/008;017.a;008.2;005.a</vt:lpwstr>
  </property>
  <property fmtid="{D5CDD505-2E9C-101B-9397-08002B2CF9AE}" pid="17" name="LAWLISTTMP4">
    <vt:lpwstr>98569/011</vt:lpwstr>
  </property>
  <property fmtid="{D5CDD505-2E9C-101B-9397-08002B2CF9AE}" pid="18" name="LAWYER">
    <vt:lpwstr>ארז בן ארויה;רמזי קטילאת;עומר תמייסי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דיון פלילי</vt:lpwstr>
  </property>
  <property fmtid="{D5CDD505-2E9C-101B-9397-08002B2CF9AE}" pid="33" name="NOSE14">
    <vt:lpwstr>דיון פלילי</vt:lpwstr>
  </property>
  <property fmtid="{D5CDD505-2E9C-101B-9397-08002B2CF9AE}" pid="34" name="NOSE15">
    <vt:lpwstr>בתי-משפט</vt:lpwstr>
  </property>
  <property fmtid="{D5CDD505-2E9C-101B-9397-08002B2CF9AE}" pid="35" name="NOSE16">
    <vt:lpwstr>ראיות</vt:lpwstr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77;77;18;18;14;89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ערעור</vt:lpwstr>
  </property>
  <property fmtid="{D5CDD505-2E9C-101B-9397-08002B2CF9AE}" pid="44" name="NOSE24">
    <vt:lpwstr>ערעור</vt:lpwstr>
  </property>
  <property fmtid="{D5CDD505-2E9C-101B-9397-08002B2CF9AE}" pid="45" name="NOSE25">
    <vt:lpwstr>ערעור</vt:lpwstr>
  </property>
  <property fmtid="{D5CDD505-2E9C-101B-9397-08002B2CF9AE}" pid="46" name="NOSE26">
    <vt:lpwstr>הודעה</vt:lpwstr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1446;1446;504;504;333;1623</vt:lpwstr>
  </property>
  <property fmtid="{D5CDD505-2E9C-101B-9397-08002B2CF9AE}" pid="51" name="NOSE31">
    <vt:lpwstr>מדיניות ענישה: עבירות ביטחון</vt:lpwstr>
  </property>
  <property fmtid="{D5CDD505-2E9C-101B-9397-08002B2CF9AE}" pid="52" name="NOSE310">
    <vt:lpwstr/>
  </property>
  <property fmtid="{D5CDD505-2E9C-101B-9397-08002B2CF9AE}" pid="53" name="NOSE32">
    <vt:lpwstr>מדיניות ענישה: שיקולים לחומרה</vt:lpwstr>
  </property>
  <property fmtid="{D5CDD505-2E9C-101B-9397-08002B2CF9AE}" pid="54" name="NOSE33">
    <vt:lpwstr>אי-התערבות בממצאים עובדתיים</vt:lpwstr>
  </property>
  <property fmtid="{D5CDD505-2E9C-101B-9397-08002B2CF9AE}" pid="55" name="NOSE34">
    <vt:lpwstr>התערבות במידת העונש</vt:lpwstr>
  </property>
  <property fmtid="{D5CDD505-2E9C-101B-9397-08002B2CF9AE}" pid="56" name="NOSE35">
    <vt:lpwstr>התערבות ערכאת ערעור</vt:lpwstr>
  </property>
  <property fmtid="{D5CDD505-2E9C-101B-9397-08002B2CF9AE}" pid="57" name="NOSE36">
    <vt:lpwstr>רישומה</vt:lpwstr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8985;8995;3849;15230;2712;10090</vt:lpwstr>
  </property>
  <property fmtid="{D5CDD505-2E9C-101B-9397-08002B2CF9AE}" pid="62" name="PADIDATE">
    <vt:lpwstr>20210329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עפ;עפ</vt:lpwstr>
  </property>
  <property fmtid="{D5CDD505-2E9C-101B-9397-08002B2CF9AE}" pid="67" name="PROCNUM">
    <vt:lpwstr>8140;8162</vt:lpwstr>
  </property>
  <property fmtid="{D5CDD505-2E9C-101B-9397-08002B2CF9AE}" pid="68" name="PROCYEAR">
    <vt:lpwstr>19;19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410120210325</vt:lpwstr>
  </property>
  <property fmtid="{D5CDD505-2E9C-101B-9397-08002B2CF9AE}" pid="72" name="TYPE_N_DATE">
    <vt:lpwstr>41020210325</vt:lpwstr>
  </property>
  <property fmtid="{D5CDD505-2E9C-101B-9397-08002B2CF9AE}" pid="73" name="VOLUME">
    <vt:lpwstr/>
  </property>
  <property fmtid="{D5CDD505-2E9C-101B-9397-08002B2CF9AE}" pid="74" name="WORDNUMPAGES">
    <vt:lpwstr>22</vt:lpwstr>
  </property>
</Properties>
</file>