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8143/23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טימור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דנילוב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13.9.2023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2.11.2023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40995-11-21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באדר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  <w:rtl w:val="true"/>
              </w:rPr>
              <w:t>‏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.2024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Start w:id="9" w:name="_Hlk163460735"/>
      <w:bookmarkEnd w:id="8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כוחן הראייתי של ראיות נסיבתיות אינו נופל מכוחן הראייתי של ראיות ישירות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אלה כְּאלה ניתן להשתית הרשעה בפלילים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המבקש להישען על ראיות נסיבתיות גרידא בהליך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לבחון את מכלול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ולהכריע האם בהצטרפותן מוּתר הספק או נוֹתר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 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דיון פלילי – הרשעה – על יסוד ראיות נסיבתיות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הדין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במסגרתה הורשע המערער בעבירת שוד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 שב ומכחיש המערער את מעורבותו בשוד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וטוען כי אשמתו לא הוכחה מעבר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דנן מושתת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רובו ככולו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ניסיון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נפל לשכנע 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כי עליו לזנוח את קביעותיו העובדתיות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ולאמץ תחתם ממצאים חלופיים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שנדונו ונדחו במפורש בפסק הדין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ביחס לעדים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ביחס לממצאי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בזירה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ביחס לעדותם של המומחים שניתחו את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בקביעות מן הסוג הזה אין דרכה של ערכאת הערעור להתערב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הצביע על טעם טוב המצדיק סטייה מכלל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ההתערבות הנוהג עמנו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לא מצא טעם 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נאמנים עליו קביעותיו העובדתיות וממצאי המהימנות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צבר הראיות שעל בסיסן הורשע המערער מורכב מראיות נסיבתיות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בכך אין כל קושי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 נקבע כי כוחן הראייתי של ראיות נסיבתיות אינו נופל מכוחן הראייתי של ראיות ישירות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אלה כְּאלה ניתן להשתית הרשעה בפלילים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המבקש להישען על ראיות נסיבתיות גרידא בהליך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לבחון את מכלול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ולהכריע האם בהצטרפותן מוּתר הספק או נוֹתר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בחינת הראיות ששימשו בסיס להרשעת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 כי בהשתלבותן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כולן כאחד יחד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מצביעות על אחריותו הפלילית של המערער ברמת הוודאות הנדרשת להרשעה בפלילים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הטיעונים שהעלה המערער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לא נמצא הסבר חלופי שיש בכוחו להסיר מכתפו את נטל האשמה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במילים אחרות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צדק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המחוזי בקובעו כי צבר הראיות מוליך למסקנה אחת ויחידה שלפיה המערער אכן נטל חלק באירוע השוד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ניסיון המערער להסביר כיצד מצא 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שלו את דרכו אל עבר חולצת המתלונן ואל מסכת הקורונה שנמצאה בזירה – אינו משכנע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משכשל מלהסביר כיצד נמצאו שרידי 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שלו על שני הממצאים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ניסה המערער כוחו בטענה ל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העברה משנית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אך טענה זו נדחתה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בהתבסס על התשתית הראייתית שהונחה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עדויות חוקר הזירה ועל חוות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דעת מומחים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טעם טוב לסטות מקביעות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המסכה נמצא לא רק חומר גנטי של המערער אלא גם חומר גנטי של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עולה בקנה אחד עם ההשערה ששני אלה באו במגע זה עם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השערת המערער לפיה החומר עבר בדרך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מבוססת על כל ראיה שהיא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כך יש להוסיף את עדויות הראיה והצילומים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התומכים גם הם בהרשעת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 כשלעצמן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עדויות אלה אינן עוצמתיות דיין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מקצתן אולי אף מסייעות להגנה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במכלול העדויות יש כדי לחזק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במעט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המסקנה כי המערער נטל חלק במעשה השוד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האשם מתחזק גם מאיכוני הטלפון בבוקר יום השוד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היעדר איכונים בזמן ביצוע השוד מתיישב גם הוא עם האפשרות כי המערער היה מעורב במעשה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לנתונים אלו לא ניתן כל הסבר חלופי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ישנה גם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 הודיה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שנמסרה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המערער במהלך נסיעה בניידת המשטרה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שנעצר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למדנו אפוא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בניגוד 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מדובר בהרשעה על סמך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ראיית דנ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 הניצבת בבדידותה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אם הרשעה על בסיס מארג ראייתי עשיר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לא מותיר ספק סביר בדבר אשמת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_Hlk163460735"/>
      <w:bookmarkStart w:id="11" w:name="ABSTRACT_END"/>
      <w:bookmarkStart w:id="12" w:name="_Hlk163460735"/>
      <w:bookmarkStart w:id="13" w:name="ABSTRACT_END"/>
      <w:bookmarkEnd w:id="12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2"/>
        <w:numPr>
          <w:ilvl w:val="0"/>
          <w:numId w:val="0"/>
        </w:numPr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  <w:u w:val="single"/>
        </w:rPr>
      </w:pPr>
      <w:bookmarkStart w:id="17" w:name="Start_Write"/>
      <w:bookmarkStart w:id="18" w:name="Writer_Name"/>
      <w:bookmarkEnd w:id="17"/>
      <w:bookmarkEnd w:id="18"/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סולברג</w:t>
      </w:r>
      <w:r>
        <w:rPr>
          <w:rFonts w:cs="Miriam" w:ascii="Century" w:hAnsi="Century"/>
          <w:sz w:val="22"/>
          <w:szCs w:val="24"/>
          <w:rtl w:val="true"/>
        </w:rPr>
        <w:t>:</w:t>
      </w:r>
    </w:p>
    <w:p>
      <w:pPr>
        <w:pStyle w:val="Ruller42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ערעור על </w:t>
      </w:r>
      <w:r>
        <w:rPr>
          <w:rtl w:val="true"/>
        </w:rPr>
        <w:t>הכרעת</w:t>
      </w:r>
      <w:r>
        <w:rPr>
          <w:rtl w:val="true"/>
        </w:rPr>
        <w:t xml:space="preserve"> הדין של בית המשפט המחוזי ב</w:t>
      </w:r>
      <w:r>
        <w:rPr>
          <w:rtl w:val="true"/>
        </w:rPr>
        <w:t>תל 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40995-11-21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13.9.2023</w:t>
      </w:r>
      <w:r>
        <w:rPr>
          <w:rtl w:val="true"/>
        </w:rPr>
        <w:t xml:space="preserve">,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שוד בנסיבות מחמירות לפי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2.11.2023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המחוזי על המערער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ועונשים נלווים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עלילת השוד </w:t>
      </w:r>
      <w:r>
        <w:rPr>
          <w:rtl w:val="true"/>
        </w:rPr>
        <w:t>–</w:t>
      </w:r>
      <w:r>
        <w:rPr>
          <w:rtl w:val="true"/>
        </w:rPr>
        <w:t xml:space="preserve"> אינה נתונה במחלוקת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2.9.2021</w:t>
      </w:r>
      <w:r>
        <w:rPr>
          <w:rtl w:val="true"/>
        </w:rPr>
        <w:t xml:space="preserve">, </w:t>
      </w:r>
      <w:r>
        <w:rPr>
          <w:rtl w:val="true"/>
        </w:rPr>
        <w:t>עזב המתלונן את סניף בנק הפועלים שברחוב בן יהודה בתל 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כשבתרמילו שטרות בסכום</w:t>
      </w:r>
      <w:r>
        <w:rPr>
          <w:rtl w:val="true"/>
        </w:rPr>
        <w:t>-</w:t>
      </w:r>
      <w:r>
        <w:rPr>
          <w:rtl w:val="true"/>
        </w:rPr>
        <w:t xml:space="preserve">כסף כולל של </w:t>
      </w:r>
      <w:r>
        <w:rPr/>
        <w:t>750,000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$19,800</w:t>
      </w:r>
      <w:r>
        <w:rPr>
          <w:rtl w:val="true"/>
        </w:rPr>
        <w:t xml:space="preserve">; </w:t>
      </w:r>
      <w:r>
        <w:rPr>
          <w:rtl w:val="true"/>
        </w:rPr>
        <w:t>הוא הטמין את התרמיל במושב האופנוע והחל בנסיעה</w:t>
      </w:r>
      <w:r>
        <w:rPr>
          <w:rtl w:val="true"/>
        </w:rPr>
        <w:t xml:space="preserve">. </w:t>
      </w:r>
      <w:r>
        <w:rPr>
          <w:rtl w:val="true"/>
        </w:rPr>
        <w:t>בעודו נוהג</w:t>
      </w:r>
      <w:r>
        <w:rPr>
          <w:rtl w:val="true"/>
        </w:rPr>
        <w:t xml:space="preserve">, </w:t>
      </w:r>
      <w:r>
        <w:rPr>
          <w:rtl w:val="true"/>
        </w:rPr>
        <w:t>ובשעה שהאט את מהירות הנסיעה מחמת עיקול בכביש</w:t>
      </w:r>
      <w:r>
        <w:rPr>
          <w:rtl w:val="true"/>
        </w:rPr>
        <w:t xml:space="preserve">, </w:t>
      </w:r>
      <w:r>
        <w:rPr>
          <w:rtl w:val="true"/>
        </w:rPr>
        <w:t>הותקף על</w:t>
      </w:r>
      <w:r>
        <w:rPr>
          <w:rtl w:val="true"/>
        </w:rPr>
        <w:t>-</w:t>
      </w:r>
      <w:r>
        <w:rPr>
          <w:rtl w:val="true"/>
        </w:rPr>
        <w:t>ידי שני שודדים רכובים על גבי אופנוע</w:t>
      </w:r>
      <w:r>
        <w:rPr>
          <w:rtl w:val="true"/>
        </w:rPr>
        <w:t xml:space="preserve">; </w:t>
      </w:r>
      <w:r>
        <w:rPr>
          <w:rtl w:val="true"/>
        </w:rPr>
        <w:t>תחילה נִלפת</w:t>
      </w:r>
      <w:r>
        <w:rPr>
          <w:rtl w:val="true"/>
        </w:rPr>
        <w:t xml:space="preserve">, </w:t>
      </w:r>
      <w:r>
        <w:rPr>
          <w:rtl w:val="true"/>
        </w:rPr>
        <w:t>עיניו כּוּסוּ</w:t>
      </w:r>
      <w:r>
        <w:rPr>
          <w:rtl w:val="true"/>
        </w:rPr>
        <w:t xml:space="preserve">, </w:t>
      </w:r>
      <w:r>
        <w:rPr>
          <w:rtl w:val="true"/>
        </w:rPr>
        <w:t>ולאחר מכן הופל מהאופנוע וספג מכות נמרצות מאחד השודדים</w:t>
      </w:r>
      <w:r>
        <w:rPr>
          <w:rtl w:val="true"/>
        </w:rPr>
        <w:t xml:space="preserve">, </w:t>
      </w:r>
      <w:r>
        <w:rPr>
          <w:rtl w:val="true"/>
        </w:rPr>
        <w:t xml:space="preserve">כשבמקביל </w:t>
      </w:r>
      <w:r>
        <w:rPr>
          <w:rtl w:val="true"/>
        </w:rPr>
        <w:t>–</w:t>
      </w:r>
      <w:r>
        <w:rPr>
          <w:rtl w:val="true"/>
        </w:rPr>
        <w:t xml:space="preserve"> השותף לשוד מחפש</w:t>
      </w:r>
      <w:r>
        <w:rPr>
          <w:rtl w:val="true"/>
        </w:rPr>
        <w:t xml:space="preserve">, </w:t>
      </w:r>
      <w:r>
        <w:rPr>
          <w:rtl w:val="true"/>
        </w:rPr>
        <w:t>ומאתר</w:t>
      </w:r>
      <w:r>
        <w:rPr>
          <w:rtl w:val="true"/>
        </w:rPr>
        <w:t xml:space="preserve">, </w:t>
      </w:r>
      <w:r>
        <w:rPr>
          <w:rtl w:val="true"/>
        </w:rPr>
        <w:t>את התרמיל עם שטרות הכסף</w:t>
      </w:r>
      <w:r>
        <w:rPr>
          <w:rtl w:val="true"/>
        </w:rPr>
        <w:t xml:space="preserve">. </w:t>
      </w:r>
      <w:r>
        <w:rPr>
          <w:rtl w:val="true"/>
        </w:rPr>
        <w:t>משנמצא ה</w:t>
      </w:r>
      <w:r>
        <w:rPr>
          <w:rtl w:val="true"/>
        </w:rPr>
        <w:t>'</w:t>
      </w:r>
      <w:r>
        <w:rPr>
          <w:rtl w:val="true"/>
        </w:rPr>
        <w:t>אוצר</w:t>
      </w:r>
      <w:r>
        <w:rPr>
          <w:rtl w:val="true"/>
        </w:rPr>
        <w:t xml:space="preserve">', </w:t>
      </w:r>
      <w:r>
        <w:rPr>
          <w:rtl w:val="true"/>
        </w:rPr>
        <w:t>נטלו אותו השודדים ונמלטו מהמקום יחד עמו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המערער הכחיש כי נטל חלק במעשה השוד</w:t>
      </w:r>
      <w:r>
        <w:rPr>
          <w:rtl w:val="true"/>
        </w:rPr>
        <w:t xml:space="preserve">; </w:t>
      </w:r>
      <w:r>
        <w:rPr>
          <w:rtl w:val="true"/>
        </w:rPr>
        <w:t>המשיבה סברה כי יש די ראיות להרשעתו</w:t>
      </w:r>
      <w:r>
        <w:rPr>
          <w:rtl w:val="true"/>
        </w:rPr>
        <w:t xml:space="preserve">. </w:t>
      </w:r>
      <w:r>
        <w:rPr>
          <w:rtl w:val="true"/>
        </w:rPr>
        <w:t>בית המשפט המחוזי בחן את מכלול הראיות והגיע לכלל מסקנה כי המערער אכן ביצע את השוד</w:t>
      </w:r>
      <w:r>
        <w:rPr>
          <w:rtl w:val="true"/>
        </w:rPr>
        <w:t xml:space="preserve">. </w:t>
      </w:r>
      <w:r>
        <w:rPr>
          <w:rtl w:val="true"/>
        </w:rPr>
        <w:t xml:space="preserve">בהרשעתו הסתמך בית המשפט המחוזי על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ראיות 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שנמצאו בזירת השוד </w:t>
      </w:r>
      <w:r>
        <w:rPr>
          <w:rtl w:val="true"/>
        </w:rPr>
        <w:t>–</w:t>
      </w:r>
      <w:r>
        <w:rPr>
          <w:rtl w:val="true"/>
        </w:rPr>
        <w:t xml:space="preserve"> על מסכה כירורגית </w:t>
      </w:r>
      <w:r>
        <w:rPr>
          <w:rtl w:val="true"/>
        </w:rPr>
        <w:t>(</w:t>
      </w:r>
      <w:r>
        <w:rPr>
          <w:rtl w:val="true"/>
        </w:rPr>
        <w:t>מסכת קורונה</w:t>
      </w:r>
      <w:r>
        <w:rPr>
          <w:rtl w:val="true"/>
        </w:rPr>
        <w:t xml:space="preserve">) </w:t>
      </w:r>
      <w:r>
        <w:rPr>
          <w:rtl w:val="true"/>
        </w:rPr>
        <w:t>שנמצאה בזירת האירוע</w:t>
      </w:r>
      <w:r>
        <w:rPr>
          <w:rtl w:val="true"/>
        </w:rPr>
        <w:t xml:space="preserve">, </w:t>
      </w:r>
      <w:r>
        <w:rPr>
          <w:rtl w:val="true"/>
        </w:rPr>
        <w:t>ועל כתם דם שנמצא על בגדו של המתלונן</w:t>
      </w:r>
      <w:r>
        <w:rPr>
          <w:rtl w:val="true"/>
        </w:rPr>
        <w:t xml:space="preserve">; </w:t>
      </w:r>
      <w:r>
        <w:rPr>
          <w:rtl w:val="true"/>
        </w:rPr>
        <w:t>על עדויות ראיה וצילומים מזירת האירוע</w:t>
      </w:r>
      <w:r>
        <w:rPr>
          <w:rtl w:val="true"/>
        </w:rPr>
        <w:t xml:space="preserve">; </w:t>
      </w:r>
      <w:r>
        <w:rPr>
          <w:rtl w:val="true"/>
        </w:rPr>
        <w:t>על התנהגותו החריגה של המערער ביום האירוע</w:t>
      </w:r>
      <w:r>
        <w:rPr>
          <w:rtl w:val="true"/>
        </w:rPr>
        <w:t xml:space="preserve">; </w:t>
      </w:r>
      <w:r>
        <w:rPr>
          <w:rtl w:val="true"/>
        </w:rPr>
        <w:t xml:space="preserve">על איכוני הטלפון הנייד של המערער </w:t>
      </w:r>
      <w:r>
        <w:rPr>
          <w:rtl w:val="true"/>
        </w:rPr>
        <w:t>–</w:t>
      </w:r>
      <w:r>
        <w:rPr>
          <w:rtl w:val="true"/>
        </w:rPr>
        <w:t xml:space="preserve"> הן בתקופה שקדמה לשוד</w:t>
      </w:r>
      <w:r>
        <w:rPr>
          <w:rtl w:val="true"/>
        </w:rPr>
        <w:t xml:space="preserve">, </w:t>
      </w:r>
      <w:r>
        <w:rPr>
          <w:rtl w:val="true"/>
        </w:rPr>
        <w:t>הן ביום השוד עצמו</w:t>
      </w:r>
      <w:r>
        <w:rPr>
          <w:rtl w:val="true"/>
        </w:rPr>
        <w:t xml:space="preserve">; </w:t>
      </w:r>
      <w:r>
        <w:rPr>
          <w:rtl w:val="true"/>
        </w:rPr>
        <w:t>ועל הדברים שאמר המערער לשוטרים בעת מעצרו</w:t>
      </w:r>
      <w:r>
        <w:rPr>
          <w:rtl w:val="true"/>
        </w:rPr>
        <w:t xml:space="preserve">. </w:t>
      </w:r>
      <w:r>
        <w:rPr>
          <w:rtl w:val="true"/>
        </w:rPr>
        <w:t>לצד ראיות אלה ציין בית המשפט את התרשמותו השלילית מגרסתו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auto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 שב ומכחיש המערער את מעורבותו בשוד</w:t>
      </w:r>
      <w:r>
        <w:rPr>
          <w:rtl w:val="true"/>
        </w:rPr>
        <w:t xml:space="preserve">;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tl w:val="true"/>
        </w:rPr>
        <w:t xml:space="preserve"> </w:t>
      </w:r>
      <w:r>
        <w:rPr>
          <w:rtl w:val="true"/>
        </w:rPr>
        <w:t xml:space="preserve">ומלבדה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להרשעה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גם בדיון על</w:t>
      </w:r>
      <w:r>
        <w:rPr>
          <w:rtl w:val="true"/>
        </w:rPr>
        <w:t>-</w:t>
      </w:r>
      <w:r>
        <w:rPr>
          <w:rtl w:val="true"/>
        </w:rPr>
        <w:t>פה שקיימנו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20.3.2024</w:t>
      </w:r>
      <w:r>
        <w:rPr>
          <w:rtl w:val="true"/>
        </w:rPr>
        <w:t xml:space="preserve">, </w:t>
      </w:r>
      <w:r>
        <w:rPr>
          <w:rtl w:val="true"/>
        </w:rPr>
        <w:t>שבה באת</w:t>
      </w:r>
      <w:r>
        <w:rPr>
          <w:rtl w:val="true"/>
        </w:rPr>
        <w:t>-</w:t>
      </w:r>
      <w:r>
        <w:rPr>
          <w:rtl w:val="true"/>
        </w:rPr>
        <w:t>כוחו של המערער וטענה כדברים האלה</w:t>
      </w:r>
      <w:r>
        <w:rPr>
          <w:rtl w:val="true"/>
        </w:rPr>
        <w:t xml:space="preserve">, </w:t>
      </w:r>
      <w:r>
        <w:rPr>
          <w:rtl w:val="true"/>
        </w:rPr>
        <w:t xml:space="preserve">והדגישה כי המסכת הראייתית שהצטברה </w:t>
      </w:r>
      <w:r>
        <w:rPr>
          <w:rtl w:val="true"/>
        </w:rPr>
        <w:t>–</w:t>
      </w:r>
      <w:r>
        <w:rPr>
          <w:rtl w:val="true"/>
        </w:rPr>
        <w:t xml:space="preserve"> חסרה</w:t>
      </w:r>
      <w:r>
        <w:rPr>
          <w:rtl w:val="true"/>
        </w:rPr>
        <w:t xml:space="preserve">, </w:t>
      </w:r>
      <w:r>
        <w:rPr>
          <w:rtl w:val="true"/>
        </w:rPr>
        <w:t>וכי לדידה ההרשעה מבוססת על השערה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וכי אשמתו של המערער לא הוכחה מעבר לכל ספק סביר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טענה באת</w:t>
      </w:r>
      <w:r>
        <w:rPr>
          <w:rtl w:val="true"/>
        </w:rPr>
        <w:t>-</w:t>
      </w:r>
      <w:r>
        <w:rPr>
          <w:rtl w:val="true"/>
        </w:rPr>
        <w:t xml:space="preserve">כוחו של המערער כי ראוי לייחס משקל רב לכך שעל המסכה נמצא חומר גנטי </w:t>
      </w:r>
      <w:r>
        <w:rPr>
          <w:rtl w:val="true"/>
        </w:rPr>
        <w:t>–</w:t>
      </w:r>
      <w:r>
        <w:rPr>
          <w:rtl w:val="true"/>
        </w:rPr>
        <w:t xml:space="preserve"> הן של המערער</w:t>
      </w:r>
      <w:r>
        <w:rPr>
          <w:rtl w:val="true"/>
        </w:rPr>
        <w:t xml:space="preserve">, </w:t>
      </w:r>
      <w:r>
        <w:rPr>
          <w:rtl w:val="true"/>
        </w:rPr>
        <w:t>הן של המתלונן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הפרופילים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20.3.2024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מבהירה כי משום שהיה מגע בין המתלונן למערער</w:t>
      </w:r>
      <w:r>
        <w:rPr>
          <w:rtl w:val="true"/>
        </w:rPr>
        <w:t xml:space="preserve">, </w:t>
      </w:r>
      <w:r>
        <w:rPr>
          <w:rtl w:val="true"/>
        </w:rPr>
        <w:t>ממילא מגע זה יכול היה אף להוליד מגע של המתלונן במסכה</w:t>
      </w:r>
      <w:r>
        <w:rPr>
          <w:rtl w:val="true"/>
        </w:rPr>
        <w:t xml:space="preserve">. </w:t>
      </w:r>
      <w:r>
        <w:rPr>
          <w:rtl w:val="true"/>
        </w:rPr>
        <w:t>ואדרבה</w:t>
      </w:r>
      <w:r>
        <w:rPr>
          <w:rtl w:val="true"/>
        </w:rPr>
        <w:t xml:space="preserve">, </w:t>
      </w:r>
      <w:r>
        <w:rPr>
          <w:rtl w:val="true"/>
        </w:rPr>
        <w:t xml:space="preserve">קיומו של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 המתלונן על המסכה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בלא ש</w:t>
      </w:r>
      <w:r>
        <w:rPr>
          <w:rtl w:val="true"/>
        </w:rPr>
        <w:t xml:space="preserve">הוכח שהתקיים </w:t>
      </w:r>
      <w:r>
        <w:rPr>
          <w:rtl w:val="true"/>
        </w:rPr>
        <w:t>מגע בין החולצה לבין המסכה</w:t>
      </w:r>
      <w:r>
        <w:rPr>
          <w:rtl w:val="true"/>
        </w:rPr>
        <w:t xml:space="preserve">, </w:t>
      </w:r>
      <w:r>
        <w:rPr>
          <w:rtl w:val="true"/>
        </w:rPr>
        <w:t>מחזק את הראיות כנגד המערער</w:t>
      </w:r>
      <w:r>
        <w:rPr>
          <w:rtl w:val="true"/>
        </w:rPr>
        <w:t xml:space="preserve">, </w:t>
      </w:r>
      <w:r>
        <w:rPr>
          <w:rtl w:val="true"/>
        </w:rPr>
        <w:t>ולא מחלישן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סומכת המשיבה ידיה על פסק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וסבורה כי יש להותיר את ההרשעה על כנה</w:t>
      </w:r>
      <w:r>
        <w:rPr>
          <w:rtl w:val="true"/>
        </w:rPr>
        <w:t xml:space="preserve">, </w:t>
      </w:r>
      <w:r>
        <w:rPr>
          <w:rtl w:val="true"/>
        </w:rPr>
        <w:t xml:space="preserve">זאת בשל </w:t>
      </w:r>
      <w:r>
        <w:rPr>
          <w:rtl w:val="true"/>
        </w:rPr>
        <w:t>'</w:t>
      </w:r>
      <w:r>
        <w:rPr>
          <w:rtl w:val="true"/>
        </w:rPr>
        <w:t>כלל אי ההתערבות</w:t>
      </w:r>
      <w:r>
        <w:rPr>
          <w:rtl w:val="true"/>
        </w:rPr>
        <w:t xml:space="preserve">' </w:t>
      </w:r>
      <w:r>
        <w:rPr>
          <w:rtl w:val="true"/>
        </w:rPr>
        <w:t>ובשל מכלול הראיות שהצטבר נגד המערער המוכיח את אשמתו מעבר לכל ספק סביר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דנן מושתת</w:t>
      </w:r>
      <w:r>
        <w:rPr>
          <w:rtl w:val="true"/>
        </w:rPr>
        <w:t xml:space="preserve">, </w:t>
      </w:r>
      <w:r>
        <w:rPr>
          <w:rtl w:val="true"/>
        </w:rPr>
        <w:t>רובו ככולו</w:t>
      </w:r>
      <w:r>
        <w:rPr>
          <w:rtl w:val="true"/>
        </w:rPr>
        <w:t xml:space="preserve">, </w:t>
      </w:r>
      <w:r>
        <w:rPr>
          <w:rtl w:val="true"/>
        </w:rPr>
        <w:t>על ניסיון</w:t>
      </w:r>
      <w:r>
        <w:rPr>
          <w:rtl w:val="true"/>
        </w:rPr>
        <w:t>-</w:t>
      </w:r>
      <w:r>
        <w:rPr>
          <w:rtl w:val="true"/>
        </w:rPr>
        <w:t>נפל לשכנענו כי עלינו לזנוח את קביעותיו העובדתיות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ולאמץ תחתם ממצאים חלופיים</w:t>
      </w:r>
      <w:r>
        <w:rPr>
          <w:rtl w:val="true"/>
        </w:rPr>
        <w:t xml:space="preserve">, </w:t>
      </w:r>
      <w:r>
        <w:rPr>
          <w:rtl w:val="true"/>
        </w:rPr>
        <w:t>שנדונו ונדחו במפורש בפסק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כך ביחס לעדים לאירוע</w:t>
      </w:r>
      <w:r>
        <w:rPr>
          <w:rtl w:val="true"/>
        </w:rPr>
        <w:t xml:space="preserve">; </w:t>
      </w:r>
      <w:r>
        <w:rPr>
          <w:rtl w:val="true"/>
        </w:rPr>
        <w:t>כך ביחס לממצאי הדנ</w:t>
      </w:r>
      <w:r>
        <w:rPr>
          <w:rtl w:val="true"/>
        </w:rPr>
        <w:t>"</w:t>
      </w:r>
      <w:r>
        <w:rPr>
          <w:rtl w:val="true"/>
        </w:rPr>
        <w:t>א בזירה</w:t>
      </w:r>
      <w:r>
        <w:rPr>
          <w:rtl w:val="true"/>
        </w:rPr>
        <w:t xml:space="preserve">; </w:t>
      </w:r>
      <w:r>
        <w:rPr>
          <w:rtl w:val="true"/>
        </w:rPr>
        <w:t>וכך ביחס לעדותם של המומחים שניתחו את הראיות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 xml:space="preserve">בקביעות מן הסוג הזה אין דרכה של ערכאת הערעור להתערב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6063/21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31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26.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.2024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1985/20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23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22.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.2021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המערער לא הצביע על טעם טוב המצדיק סטייה מכלל אי</w:t>
      </w:r>
      <w:r>
        <w:rPr>
          <w:rtl w:val="true"/>
        </w:rPr>
        <w:t>-</w:t>
      </w:r>
      <w:r>
        <w:rPr>
          <w:rtl w:val="true"/>
        </w:rPr>
        <w:t>ההתערבות הנוהג עמנו</w:t>
      </w:r>
      <w:r>
        <w:rPr>
          <w:rtl w:val="true"/>
        </w:rPr>
        <w:t xml:space="preserve">; </w:t>
      </w:r>
      <w:r>
        <w:rPr>
          <w:rtl w:val="true"/>
        </w:rPr>
        <w:t>גם אני לא מצאתי טעם כזה</w:t>
      </w:r>
      <w:r>
        <w:rPr>
          <w:rtl w:val="true"/>
        </w:rPr>
        <w:t xml:space="preserve">, </w:t>
      </w:r>
      <w:r>
        <w:rPr>
          <w:rtl w:val="true"/>
        </w:rPr>
        <w:t>ומשכך נאמנים עלי קביעותיו העובדתיות וממצאי המהימנות של בית המשפט המחוזי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צבר הראיות שעל בסיסן הורשע המערער מורכב מראיות נסיבתיות בלבד</w:t>
      </w:r>
      <w:r>
        <w:rPr>
          <w:rtl w:val="true"/>
        </w:rPr>
        <w:t xml:space="preserve">, </w:t>
      </w:r>
      <w:r>
        <w:rPr>
          <w:rtl w:val="true"/>
        </w:rPr>
        <w:t>אך בכך אין כל קושי</w:t>
      </w:r>
      <w:r>
        <w:rPr>
          <w:rtl w:val="true"/>
        </w:rPr>
        <w:t xml:space="preserve">. </w:t>
      </w:r>
      <w:r>
        <w:rPr>
          <w:rtl w:val="true"/>
        </w:rPr>
        <w:t>בפסיקה 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כְּאלה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בפלילים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6392/13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97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21.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.2015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בית המשפט המבקש להישען על ראיות נסיבתיות גרידא בהליך פלילי</w:t>
      </w:r>
      <w:r>
        <w:rPr>
          <w:rtl w:val="true"/>
        </w:rPr>
        <w:t xml:space="preserve">, </w:t>
      </w:r>
      <w:r>
        <w:rPr>
          <w:rtl w:val="true"/>
        </w:rPr>
        <w:t>נדרש לבחון את מכלול הראיות</w:t>
      </w:r>
      <w:r>
        <w:rPr>
          <w:rtl w:val="true"/>
        </w:rPr>
        <w:t xml:space="preserve">, </w:t>
      </w:r>
      <w:r>
        <w:rPr>
          <w:rtl w:val="true"/>
        </w:rPr>
        <w:t>ולהכריע האם בהצטרפותן מוּתר הספק או נוֹתר</w:t>
      </w:r>
      <w:r>
        <w:rPr>
          <w:rtl w:val="true"/>
        </w:rPr>
        <w:t xml:space="preserve">. </w:t>
      </w:r>
      <w:r>
        <w:rPr>
          <w:rtl w:val="true"/>
        </w:rPr>
        <w:t>לאחר שבחנתי אותן טענות על ראיות ששימשו בסיס להרשעת המערער</w:t>
      </w:r>
      <w:r>
        <w:rPr>
          <w:rtl w:val="true"/>
        </w:rPr>
        <w:t xml:space="preserve">, </w:t>
      </w:r>
      <w:r>
        <w:rPr>
          <w:rtl w:val="true"/>
        </w:rPr>
        <w:t>שוכנעתי כי בהשתלבותן</w:t>
      </w:r>
      <w:r>
        <w:rPr>
          <w:rtl w:val="true"/>
        </w:rPr>
        <w:t xml:space="preserve">, </w:t>
      </w:r>
      <w:r>
        <w:rPr>
          <w:rtl w:val="true"/>
        </w:rPr>
        <w:t>כולן כאחד יחד</w:t>
      </w:r>
      <w:r>
        <w:rPr>
          <w:rtl w:val="true"/>
        </w:rPr>
        <w:t xml:space="preserve">, </w:t>
      </w:r>
      <w:r>
        <w:rPr>
          <w:rtl w:val="true"/>
        </w:rPr>
        <w:t>הן מצביעות על אחריותו הפלילית של המערער ברמת הוודאות הנדרשת להרשעה בפלילים</w:t>
      </w:r>
      <w:r>
        <w:rPr>
          <w:rtl w:val="true"/>
        </w:rPr>
        <w:t xml:space="preserve">. </w:t>
      </w:r>
      <w:r>
        <w:rPr>
          <w:rtl w:val="true"/>
        </w:rPr>
        <w:t>בכל הטיעונים שהעלה המערער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אֵלו שבכתב ואֵלו בעל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פה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 מצאתי הסבר חלופי שיש בכוחו להסיר מכתפו את נטל האשמה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במילים אחרות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צדק בית המשפט המחוזי בקובעו כי צבר הראיות מוליך למסקנה אחת ויחידה שלפיה המערער אכן נטל חלק באירוע השוד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ניסיונו של המערער להסביר כיצד מצא דנ</w:t>
      </w:r>
      <w:r>
        <w:rPr>
          <w:rtl w:val="true"/>
        </w:rPr>
        <w:t>"</w:t>
      </w:r>
      <w:r>
        <w:rPr>
          <w:rtl w:val="true"/>
        </w:rPr>
        <w:t xml:space="preserve">א שלו את דרכו אל עבר חולצתו של המתלונן ואל מסכת הקורונה שנמצאה בזירה </w:t>
      </w:r>
      <w:r>
        <w:rPr>
          <w:rtl w:val="true"/>
        </w:rPr>
        <w:t>–</w:t>
      </w:r>
      <w:r>
        <w:rPr>
          <w:rtl w:val="true"/>
        </w:rPr>
        <w:t xml:space="preserve"> אינו משכנע</w:t>
      </w:r>
      <w:r>
        <w:rPr>
          <w:rtl w:val="true"/>
        </w:rPr>
        <w:t xml:space="preserve">. </w:t>
      </w:r>
      <w:r>
        <w:rPr>
          <w:rtl w:val="true"/>
        </w:rPr>
        <w:t>כדי לקעקע ראיות אלו</w:t>
      </w:r>
      <w:r>
        <w:rPr>
          <w:rtl w:val="true"/>
        </w:rPr>
        <w:t xml:space="preserve">, </w:t>
      </w:r>
      <w:r>
        <w:rPr>
          <w:rtl w:val="true"/>
        </w:rPr>
        <w:t>נדרש המערער להסביר מהו צירוף המקרים שהוביל להימצאות דנ</w:t>
      </w:r>
      <w:r>
        <w:rPr>
          <w:rtl w:val="true"/>
        </w:rPr>
        <w:t>"</w:t>
      </w:r>
      <w:r>
        <w:rPr>
          <w:rtl w:val="true"/>
        </w:rPr>
        <w:t>א שלו על שני ממצאים שונים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תלויים</w:t>
      </w:r>
      <w:r>
        <w:rPr>
          <w:rtl w:val="true"/>
        </w:rPr>
        <w:t xml:space="preserve">, </w:t>
      </w:r>
      <w:r>
        <w:rPr>
          <w:rtl w:val="true"/>
        </w:rPr>
        <w:t>בזירת השוד</w:t>
      </w:r>
      <w:r>
        <w:rPr>
          <w:rtl w:val="true"/>
        </w:rPr>
        <w:t xml:space="preserve">. </w:t>
      </w:r>
      <w:r>
        <w:rPr>
          <w:rtl w:val="true"/>
        </w:rPr>
        <w:t>ביחס להימצאותו של דנ</w:t>
      </w:r>
      <w:r>
        <w:rPr>
          <w:rtl w:val="true"/>
        </w:rPr>
        <w:t>"</w:t>
      </w:r>
      <w:r>
        <w:rPr>
          <w:rtl w:val="true"/>
        </w:rPr>
        <w:t>א של המערער על חולצתו של המתלונן</w:t>
      </w:r>
      <w:r>
        <w:rPr>
          <w:rtl w:val="true"/>
        </w:rPr>
        <w:t xml:space="preserve">, </w:t>
      </w:r>
      <w:r>
        <w:rPr>
          <w:rtl w:val="true"/>
        </w:rPr>
        <w:t>ההגנה ניסתה כוחה בטענה כי המתלונן לבש אותה חולצה בערב שקדם לשוד</w:t>
      </w:r>
      <w:r>
        <w:rPr>
          <w:rtl w:val="true"/>
        </w:rPr>
        <w:t xml:space="preserve">, </w:t>
      </w:r>
      <w:r>
        <w:rPr>
          <w:rtl w:val="true"/>
        </w:rPr>
        <w:t>באירוע בר מצווה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כך ההגנה</w:t>
      </w:r>
      <w:r>
        <w:rPr>
          <w:rtl w:val="true"/>
        </w:rPr>
        <w:t xml:space="preserve">, </w:t>
      </w:r>
      <w:r>
        <w:rPr>
          <w:rtl w:val="true"/>
        </w:rPr>
        <w:t>לא ניתן לשלול כי החולצה זוהמה בדנ</w:t>
      </w:r>
      <w:r>
        <w:rPr>
          <w:rtl w:val="true"/>
        </w:rPr>
        <w:t>"</w:t>
      </w:r>
      <w:r>
        <w:rPr>
          <w:rtl w:val="true"/>
        </w:rPr>
        <w:t>א של המערער קודם לשוד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בכל חומר הראיות אין זכר</w:t>
      </w:r>
      <w:r>
        <w:rPr>
          <w:rtl w:val="true"/>
        </w:rPr>
        <w:t xml:space="preserve">, </w:t>
      </w:r>
      <w:r>
        <w:rPr>
          <w:rtl w:val="true"/>
        </w:rPr>
        <w:t>לא אות ולא סימן</w:t>
      </w:r>
      <w:r>
        <w:rPr>
          <w:rtl w:val="true"/>
        </w:rPr>
        <w:t xml:space="preserve">, </w:t>
      </w:r>
      <w:r>
        <w:rPr>
          <w:rtl w:val="true"/>
        </w:rPr>
        <w:t>המלמדים על אפשרות למפגש כלשהו בין המערער למתלונן</w:t>
      </w:r>
      <w:r>
        <w:rPr>
          <w:rtl w:val="true"/>
        </w:rPr>
        <w:t xml:space="preserve">, </w:t>
      </w:r>
      <w:r>
        <w:rPr>
          <w:rtl w:val="true"/>
        </w:rPr>
        <w:t>עובר לביצוע השוד</w:t>
      </w:r>
      <w:r>
        <w:rPr>
          <w:rtl w:val="true"/>
        </w:rPr>
        <w:t xml:space="preserve">. </w:t>
      </w:r>
      <w:r>
        <w:rPr>
          <w:rtl w:val="true"/>
        </w:rPr>
        <w:t>בחקירתו הודה המערער כי לא השתתף באותו אירוע בר</w:t>
      </w:r>
      <w:r>
        <w:rPr>
          <w:rtl w:val="true"/>
        </w:rPr>
        <w:t>-</w:t>
      </w:r>
      <w:r>
        <w:rPr>
          <w:rtl w:val="true"/>
        </w:rPr>
        <w:t>מצווה</w:t>
      </w:r>
      <w:r>
        <w:rPr>
          <w:rtl w:val="true"/>
        </w:rPr>
        <w:t xml:space="preserve">, </w:t>
      </w:r>
      <w:r>
        <w:rPr>
          <w:rtl w:val="true"/>
        </w:rPr>
        <w:t>אף לא נכח באותו אזור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וְלֹא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קָרַב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זֶה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אֶל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זֶה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כָּל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הַלָּיְלָה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שמות יד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 xml:space="preserve">באשר למסכה הכירורגית </w:t>
      </w:r>
      <w:r>
        <w:rPr>
          <w:rtl w:val="true"/>
        </w:rPr>
        <w:t>–</w:t>
      </w:r>
      <w:r>
        <w:rPr>
          <w:rtl w:val="true"/>
        </w:rPr>
        <w:t xml:space="preserve"> בחקירתו הראשונה במשטרה תלה המערער את הימצאותה בזירה</w:t>
      </w:r>
      <w:r>
        <w:rPr>
          <w:rtl w:val="true"/>
        </w:rPr>
        <w:t xml:space="preserve">, </w:t>
      </w:r>
      <w:r>
        <w:rPr>
          <w:rtl w:val="true"/>
        </w:rPr>
        <w:t>בביקור שערך אצל חבר המתגורר באזור</w:t>
      </w:r>
      <w:r>
        <w:rPr>
          <w:rtl w:val="true"/>
        </w:rPr>
        <w:t xml:space="preserve">, </w:t>
      </w:r>
      <w:r>
        <w:rPr>
          <w:rtl w:val="true"/>
        </w:rPr>
        <w:t>שבוע ימים לפני אירוע השוד</w:t>
      </w:r>
      <w:r>
        <w:rPr>
          <w:rtl w:val="true"/>
        </w:rPr>
        <w:t xml:space="preserve">. </w:t>
      </w:r>
      <w:r>
        <w:rPr>
          <w:rtl w:val="true"/>
        </w:rPr>
        <w:t>בחקירה מאוחרת הציע אפשרות נוספת</w:t>
      </w:r>
      <w:r>
        <w:rPr>
          <w:rtl w:val="true"/>
        </w:rPr>
        <w:t xml:space="preserve">, </w:t>
      </w:r>
      <w:r>
        <w:rPr>
          <w:rtl w:val="true"/>
        </w:rPr>
        <w:t>שלפיה השוטרים לקחו את המסכה מביתו</w:t>
      </w:r>
      <w:r>
        <w:rPr>
          <w:rtl w:val="true"/>
        </w:rPr>
        <w:t xml:space="preserve">. </w:t>
      </w:r>
      <w:r>
        <w:rPr>
          <w:rtl w:val="true"/>
        </w:rPr>
        <w:t>בעדותו בבית המשפט חזר בו שוב המערער ואימץ את גרסתו הראשונה</w:t>
      </w:r>
      <w:r>
        <w:rPr>
          <w:rtl w:val="true"/>
        </w:rPr>
        <w:t xml:space="preserve">. </w:t>
      </w:r>
      <w:r>
        <w:rPr>
          <w:rtl w:val="true"/>
        </w:rPr>
        <w:t>גרסתו מבולבלת</w:t>
      </w:r>
      <w:r>
        <w:rPr>
          <w:rtl w:val="true"/>
        </w:rPr>
        <w:t xml:space="preserve">, </w:t>
      </w:r>
      <w:r>
        <w:rPr>
          <w:rtl w:val="true"/>
        </w:rPr>
        <w:t>לא עקבית</w:t>
      </w:r>
      <w:r>
        <w:rPr>
          <w:rtl w:val="true"/>
        </w:rPr>
        <w:t xml:space="preserve">, </w:t>
      </w:r>
      <w:r>
        <w:rPr>
          <w:rtl w:val="true"/>
        </w:rPr>
        <w:t>וממילא לא משכנעת</w:t>
      </w:r>
      <w:r>
        <w:rPr>
          <w:rtl w:val="true"/>
        </w:rPr>
        <w:t xml:space="preserve">. </w:t>
      </w:r>
      <w:r>
        <w:rPr>
          <w:rtl w:val="true"/>
        </w:rPr>
        <w:t xml:space="preserve">מה גם שכל אחד מן ההסברים בפני עצמו </w:t>
      </w:r>
      <w:r>
        <w:rPr>
          <w:rtl w:val="true"/>
        </w:rPr>
        <w:t>–</w:t>
      </w:r>
      <w:r>
        <w:rPr>
          <w:rtl w:val="true"/>
        </w:rPr>
        <w:t xml:space="preserve"> קלוש ותלוש</w:t>
      </w:r>
      <w:r>
        <w:rPr>
          <w:rtl w:val="true"/>
        </w:rPr>
        <w:t xml:space="preserve">, </w:t>
      </w:r>
      <w:r>
        <w:rPr>
          <w:rtl w:val="true"/>
        </w:rPr>
        <w:t>ולא עולה בקנה אחד עם איכוני הטלפון שהוצגו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משכשל מלהסביר כיצד נמצאו שרידי דנ</w:t>
      </w:r>
      <w:r>
        <w:rPr>
          <w:rtl w:val="true"/>
        </w:rPr>
        <w:t>"</w:t>
      </w:r>
      <w:r>
        <w:rPr>
          <w:rtl w:val="true"/>
        </w:rPr>
        <w:t>א שלו על שני ממצאים בזירה</w:t>
      </w:r>
      <w:r>
        <w:rPr>
          <w:rtl w:val="true"/>
        </w:rPr>
        <w:t xml:space="preserve">, </w:t>
      </w:r>
      <w:r>
        <w:rPr>
          <w:rtl w:val="true"/>
        </w:rPr>
        <w:t>ניסה המערער כוחו בטענה ל</w:t>
      </w:r>
      <w:r>
        <w:rPr>
          <w:rtl w:val="true"/>
        </w:rPr>
        <w:t>'</w:t>
      </w:r>
      <w:r>
        <w:rPr>
          <w:rtl w:val="true"/>
        </w:rPr>
        <w:t>העברה משנית</w:t>
      </w:r>
      <w:r>
        <w:rPr>
          <w:rtl w:val="true"/>
        </w:rPr>
        <w:t xml:space="preserve">'.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טענה זו נדונה ונדחתה גם היא בפסק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בהתבסס על התשתית הראייתית שהונחה</w:t>
      </w:r>
      <w:r>
        <w:rPr>
          <w:rtl w:val="true"/>
        </w:rPr>
        <w:t xml:space="preserve">, </w:t>
      </w:r>
      <w:r>
        <w:rPr>
          <w:rtl w:val="true"/>
        </w:rPr>
        <w:t>על עדויות חוקר הזירה</w:t>
      </w:r>
      <w:r>
        <w:rPr>
          <w:rtl w:val="true"/>
        </w:rPr>
        <w:t xml:space="preserve">, </w:t>
      </w:r>
      <w:r>
        <w:rPr>
          <w:rtl w:val="true"/>
        </w:rPr>
        <w:t>ועל חוות</w:t>
      </w:r>
      <w:r>
        <w:rPr>
          <w:rtl w:val="true"/>
        </w:rPr>
        <w:t>-</w:t>
      </w:r>
      <w:r>
        <w:rPr>
          <w:rtl w:val="true"/>
        </w:rPr>
        <w:t>דעת מומחים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לא מצאתי טעם טוב לסטות מקביעות אלו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מעבר לאמור</w:t>
      </w:r>
      <w:r>
        <w:rPr>
          <w:rtl w:val="true"/>
        </w:rPr>
        <w:t xml:space="preserve">, </w:t>
      </w:r>
      <w:r>
        <w:rPr>
          <w:rtl w:val="true"/>
        </w:rPr>
        <w:t>על המסכה נמצא לא רק חומר גנטי של המערער אלא גם חומר גנטי של המתלונן</w:t>
      </w:r>
      <w:r>
        <w:rPr>
          <w:rtl w:val="true"/>
        </w:rPr>
        <w:t xml:space="preserve">. </w:t>
      </w:r>
      <w:r>
        <w:rPr>
          <w:rtl w:val="true"/>
        </w:rPr>
        <w:t>המערער ביסס טענותיו על ממצא זה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וכפי שטענה המשיבה</w:t>
      </w:r>
      <w:r>
        <w:rPr>
          <w:rtl w:val="true"/>
        </w:rPr>
        <w:t xml:space="preserve">, </w:t>
      </w:r>
      <w:r>
        <w:rPr>
          <w:rtl w:val="true"/>
        </w:rPr>
        <w:t>קיומו של חומר גנטי הן של המערער</w:t>
      </w:r>
      <w:r>
        <w:rPr>
          <w:rtl w:val="true"/>
        </w:rPr>
        <w:t xml:space="preserve">, </w:t>
      </w:r>
      <w:r>
        <w:rPr>
          <w:rtl w:val="true"/>
        </w:rPr>
        <w:t>הן של המתלונן על המסכה</w:t>
      </w:r>
      <w:r>
        <w:rPr>
          <w:rtl w:val="true"/>
        </w:rPr>
        <w:t xml:space="preserve">, </w:t>
      </w:r>
      <w:r>
        <w:rPr>
          <w:rtl w:val="true"/>
        </w:rPr>
        <w:t>עולה בקנה אחד עם ההשערה ששני אלה באו במגע זה עם זה</w:t>
      </w:r>
      <w:r>
        <w:rPr>
          <w:rtl w:val="true"/>
        </w:rPr>
        <w:t xml:space="preserve">, </w:t>
      </w:r>
      <w:r>
        <w:rPr>
          <w:rtl w:val="true"/>
        </w:rPr>
        <w:t>כפי שנטען על ידי המשיבה</w:t>
      </w:r>
      <w:r>
        <w:rPr>
          <w:rtl w:val="true"/>
        </w:rPr>
        <w:t xml:space="preserve">. </w:t>
      </w:r>
      <w:r>
        <w:rPr>
          <w:rtl w:val="true"/>
        </w:rPr>
        <w:t xml:space="preserve">ההשערה של המערער לפיה החומר עבר בדרך אחרת </w:t>
      </w:r>
      <w:r>
        <w:rPr>
          <w:rtl w:val="true"/>
        </w:rPr>
        <w:t>–</w:t>
      </w:r>
      <w:r>
        <w:rPr>
          <w:rtl w:val="true"/>
        </w:rPr>
        <w:t xml:space="preserve"> אינה מבוססת על כל ראיה שהיא </w:t>
      </w:r>
      <w:r>
        <w:rPr>
          <w:rtl w:val="true"/>
        </w:rPr>
        <w:t>(</w:t>
      </w:r>
      <w:r>
        <w:rPr>
          <w:rtl w:val="true"/>
        </w:rPr>
        <w:t>שכן לא הוכח על ידיו כל מגע בין חולצתו של המתלונן לבין המסיכה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וחרף טענותיה של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קיומו של החומר הגנטי של המתלונן מחזק דווקא את ראיות המשיבה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כך יש להוסיף</w:t>
      </w:r>
      <w:r>
        <w:rPr>
          <w:rtl w:val="true"/>
        </w:rPr>
        <w:t xml:space="preserve">, </w:t>
      </w:r>
      <w:r>
        <w:rPr>
          <w:rtl w:val="true"/>
        </w:rPr>
        <w:t>את עדויות הראיה והצילומים</w:t>
      </w:r>
      <w:r>
        <w:rPr>
          <w:rtl w:val="true"/>
        </w:rPr>
        <w:t xml:space="preserve">, </w:t>
      </w:r>
      <w:r>
        <w:rPr>
          <w:rtl w:val="true"/>
        </w:rPr>
        <w:t>התומכים גם הם בהרשעת המערער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שניתחה בהרחבה ההגנה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עדויות אלה אינן עוצמתיות דיין</w:t>
      </w:r>
      <w:r>
        <w:rPr>
          <w:rtl w:val="true"/>
        </w:rPr>
        <w:t xml:space="preserve">. </w:t>
      </w:r>
      <w:r>
        <w:rPr>
          <w:rtl w:val="true"/>
        </w:rPr>
        <w:t>מקצתן אולי אף מסייעות להגנה</w:t>
      </w:r>
      <w:r>
        <w:rPr>
          <w:rtl w:val="true"/>
        </w:rPr>
        <w:t xml:space="preserve">. </w:t>
      </w:r>
      <w:r>
        <w:rPr>
          <w:rtl w:val="true"/>
        </w:rPr>
        <w:t>אך במכלול העדויות יש כדי לחזק</w:t>
      </w:r>
      <w:r>
        <w:rPr>
          <w:rtl w:val="true"/>
        </w:rPr>
        <w:t xml:space="preserve">, </w:t>
      </w:r>
      <w:r>
        <w:rPr>
          <w:rtl w:val="true"/>
        </w:rPr>
        <w:t>אף אם במעט</w:t>
      </w:r>
      <w:r>
        <w:rPr>
          <w:rtl w:val="true"/>
        </w:rPr>
        <w:t xml:space="preserve">, </w:t>
      </w:r>
      <w:r>
        <w:rPr>
          <w:rtl w:val="true"/>
        </w:rPr>
        <w:t>את המסקנה כי המערער אכן נטל חלק במעשה השוד</w:t>
      </w:r>
      <w:r>
        <w:rPr>
          <w:rtl w:val="true"/>
        </w:rPr>
        <w:t xml:space="preserve">. </w:t>
      </w:r>
      <w:r>
        <w:rPr>
          <w:rtl w:val="true"/>
        </w:rPr>
        <w:t>האשם מתחזק גם מאיכוני הטלפון בבוקר יום השוד</w:t>
      </w:r>
      <w:r>
        <w:rPr>
          <w:rtl w:val="true"/>
        </w:rPr>
        <w:t xml:space="preserve">, </w:t>
      </w:r>
      <w:r>
        <w:rPr>
          <w:rtl w:val="true"/>
        </w:rPr>
        <w:t>מהם עולה כי המערער השכים קום</w:t>
      </w:r>
      <w:r>
        <w:rPr>
          <w:rtl w:val="true"/>
        </w:rPr>
        <w:t xml:space="preserve">, </w:t>
      </w:r>
      <w:r>
        <w:rPr>
          <w:rtl w:val="true"/>
        </w:rPr>
        <w:t>ויצא לדרכו מפוריה שבצפון לרמת גן בשעת בוקר מוקדמת</w:t>
      </w:r>
      <w:r>
        <w:rPr>
          <w:rtl w:val="true"/>
        </w:rPr>
        <w:t xml:space="preserve">, </w:t>
      </w:r>
      <w:r>
        <w:rPr>
          <w:rtl w:val="true"/>
        </w:rPr>
        <w:t>שלא כדרכו</w:t>
      </w:r>
      <w:r>
        <w:rPr>
          <w:rtl w:val="true"/>
        </w:rPr>
        <w:t xml:space="preserve">. </w:t>
      </w:r>
      <w:r>
        <w:rPr>
          <w:rtl w:val="true"/>
        </w:rPr>
        <w:t>היעדר איכונים בטווח הזמן של ביצוע השוד מתיישב גם הוא עם האפשרות כי המערער היה מעורב במעשה השוד</w:t>
      </w:r>
      <w:r>
        <w:rPr>
          <w:rtl w:val="true"/>
        </w:rPr>
        <w:t xml:space="preserve">. </w:t>
      </w:r>
      <w:r>
        <w:rPr>
          <w:rtl w:val="true"/>
        </w:rPr>
        <w:t>לנתונים אלו</w:t>
      </w:r>
      <w:r>
        <w:rPr>
          <w:rtl w:val="true"/>
        </w:rPr>
        <w:t xml:space="preserve">, </w:t>
      </w:r>
      <w:r>
        <w:rPr>
          <w:rtl w:val="true"/>
        </w:rPr>
        <w:t>לא ניתן כל הסבר חלופי</w:t>
      </w:r>
      <w:r>
        <w:rPr>
          <w:rtl w:val="true"/>
        </w:rPr>
        <w:t xml:space="preserve">, </w:t>
      </w:r>
      <w:r>
        <w:rPr>
          <w:rtl w:val="true"/>
        </w:rPr>
        <w:t>תוך שהמערער מציין כי הוא מתקשה לזכור היכן היה באותו יום</w:t>
      </w:r>
      <w:r>
        <w:rPr>
          <w:rtl w:val="true"/>
        </w:rPr>
        <w:t xml:space="preserve">, </w:t>
      </w:r>
      <w:r>
        <w:rPr>
          <w:rtl w:val="true"/>
        </w:rPr>
        <w:t>ומה עשה</w:t>
      </w:r>
      <w:r>
        <w:rPr>
          <w:rtl w:val="true"/>
        </w:rPr>
        <w:t xml:space="preserve">. </w:t>
      </w:r>
      <w:r>
        <w:rPr>
          <w:rtl w:val="true"/>
        </w:rPr>
        <w:t>חזרתו לפוריה במונית</w:t>
      </w:r>
      <w:r>
        <w:rPr>
          <w:rtl w:val="true"/>
        </w:rPr>
        <w:t xml:space="preserve">, </w:t>
      </w:r>
      <w:r>
        <w:rPr>
          <w:rtl w:val="true"/>
        </w:rPr>
        <w:t>שלא כמנהגו</w:t>
      </w:r>
      <w:r>
        <w:rPr>
          <w:rtl w:val="true"/>
        </w:rPr>
        <w:t xml:space="preserve">, </w:t>
      </w:r>
      <w:r>
        <w:rPr>
          <w:rtl w:val="true"/>
        </w:rPr>
        <w:t>מן הטעם שנתפסה לו הרגל</w:t>
      </w:r>
      <w:r>
        <w:rPr>
          <w:rtl w:val="true"/>
        </w:rPr>
        <w:t xml:space="preserve">, </w:t>
      </w:r>
      <w:r>
        <w:rPr>
          <w:rtl w:val="true"/>
        </w:rPr>
        <w:t>או שנתפס הגב</w:t>
      </w:r>
      <w:r>
        <w:rPr>
          <w:rtl w:val="true"/>
        </w:rPr>
        <w:t xml:space="preserve">, </w:t>
      </w:r>
      <w:r>
        <w:rPr>
          <w:rtl w:val="true"/>
        </w:rPr>
        <w:t>גם היא מעוררת תמיהה</w:t>
      </w:r>
      <w:r>
        <w:rPr>
          <w:rtl w:val="true"/>
        </w:rPr>
        <w:t xml:space="preserve">. </w:t>
      </w:r>
      <w:r>
        <w:rPr>
          <w:rtl w:val="true"/>
        </w:rPr>
        <w:t>בדין ובצדק קבע אפוא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המשתנים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והחמקמקים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עגום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ישנה גם </w:t>
      </w:r>
      <w:r>
        <w:rPr>
          <w:rtl w:val="true"/>
        </w:rPr>
        <w:t>'</w:t>
      </w:r>
      <w:r>
        <w:rPr>
          <w:rtl w:val="true"/>
        </w:rPr>
        <w:t>ראשית הודיה</w:t>
      </w:r>
      <w:r>
        <w:rPr>
          <w:rtl w:val="true"/>
        </w:rPr>
        <w:t xml:space="preserve">', </w:t>
      </w:r>
      <w:r>
        <w:rPr>
          <w:rtl w:val="true"/>
        </w:rPr>
        <w:t>שנמסרה על</w:t>
      </w:r>
      <w:r>
        <w:rPr>
          <w:rtl w:val="true"/>
        </w:rPr>
        <w:t>-</w:t>
      </w:r>
      <w:r>
        <w:rPr>
          <w:rtl w:val="true"/>
        </w:rPr>
        <w:t>ידי המערער במהלך נסיעה בניידת המשטרה</w:t>
      </w:r>
      <w:r>
        <w:rPr>
          <w:rtl w:val="true"/>
        </w:rPr>
        <w:t xml:space="preserve">, </w:t>
      </w:r>
      <w:r>
        <w:rPr>
          <w:rtl w:val="true"/>
        </w:rPr>
        <w:t xml:space="preserve">בעת שנעצר ביום </w:t>
      </w:r>
      <w:r>
        <w:rPr/>
        <w:t>8.11.2021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שודים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חלפנים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שהזיעו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הכסף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ההדגשה הוספה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')</w:t>
      </w:r>
      <w:r>
        <w:rPr>
          <w:rtl w:val="true"/>
        </w:rPr>
        <w:t xml:space="preserve">. </w:t>
      </w:r>
      <w:r>
        <w:rPr>
          <w:rtl w:val="true"/>
        </w:rPr>
        <w:t>בדיון על</w:t>
      </w:r>
      <w:r>
        <w:rPr>
          <w:rtl w:val="true"/>
        </w:rPr>
        <w:t>-</w:t>
      </w:r>
      <w:r>
        <w:rPr>
          <w:rtl w:val="true"/>
        </w:rPr>
        <w:t>פה לפנינו</w:t>
      </w:r>
      <w:r>
        <w:rPr>
          <w:rtl w:val="true"/>
        </w:rPr>
        <w:t xml:space="preserve">, </w:t>
      </w:r>
      <w:r>
        <w:rPr>
          <w:rtl w:val="true"/>
        </w:rPr>
        <w:t>ניסתה באת</w:t>
      </w:r>
      <w:r>
        <w:rPr>
          <w:rtl w:val="true"/>
        </w:rPr>
        <w:t>-</w:t>
      </w:r>
      <w:r>
        <w:rPr>
          <w:rtl w:val="true"/>
        </w:rPr>
        <w:t>כוחו של המערער לטעון כי מכיוון ש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כספים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ההפך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הרחקה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פרוטוקול הדיון מיום </w:t>
      </w:r>
      <w:r>
        <w:rPr/>
        <w:t>20.3.2024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20-18</w:t>
      </w:r>
      <w:r>
        <w:rPr>
          <w:rtl w:val="true"/>
        </w:rPr>
        <w:t xml:space="preserve">).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המערער אך חמד לצון</w:t>
      </w:r>
      <w:r>
        <w:rPr>
          <w:rtl w:val="true"/>
        </w:rPr>
        <w:t xml:space="preserve">, </w:t>
      </w:r>
      <w:r>
        <w:rPr>
          <w:rtl w:val="true"/>
        </w:rPr>
        <w:t>וכוונתו היתה כי בשל חוב מזונות גבוה</w:t>
      </w:r>
      <w:r>
        <w:rPr>
          <w:rtl w:val="true"/>
        </w:rPr>
        <w:t xml:space="preserve">, </w:t>
      </w:r>
      <w:r>
        <w:rPr>
          <w:rtl w:val="true"/>
        </w:rPr>
        <w:t>עליו לשדוד כדי לשלם את חובותיו</w:t>
      </w:r>
      <w:r>
        <w:rPr>
          <w:rtl w:val="true"/>
        </w:rPr>
        <w:t xml:space="preserve">. </w:t>
      </w:r>
      <w:r>
        <w:rPr>
          <w:rtl w:val="true"/>
        </w:rPr>
        <w:t>הסבריו של המערער</w:t>
      </w:r>
      <w:r>
        <w:rPr>
          <w:rtl w:val="true"/>
        </w:rPr>
        <w:t xml:space="preserve">, </w:t>
      </w:r>
      <w:r>
        <w:rPr>
          <w:rtl w:val="true"/>
        </w:rPr>
        <w:t>כמו גם הסבריה של באת</w:t>
      </w:r>
      <w:r>
        <w:rPr>
          <w:rtl w:val="true"/>
        </w:rPr>
        <w:t>-</w:t>
      </w:r>
      <w:r>
        <w:rPr>
          <w:rtl w:val="true"/>
        </w:rPr>
        <w:t xml:space="preserve">כוחו </w:t>
      </w:r>
      <w:r>
        <w:rPr>
          <w:rtl w:val="true"/>
        </w:rPr>
        <w:t>–</w:t>
      </w:r>
      <w:r>
        <w:rPr>
          <w:rtl w:val="true"/>
        </w:rPr>
        <w:t xml:space="preserve"> אינם משכנעים כלל ועיקר</w:t>
      </w:r>
      <w:r>
        <w:rPr>
          <w:rtl w:val="true"/>
        </w:rPr>
        <w:t xml:space="preserve">, </w:t>
      </w:r>
      <w:r>
        <w:rPr>
          <w:rtl w:val="true"/>
        </w:rPr>
        <w:t>בלשון המעטה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למדנו אפוא</w:t>
      </w:r>
      <w:r>
        <w:rPr>
          <w:rtl w:val="true"/>
        </w:rPr>
        <w:t xml:space="preserve">, </w:t>
      </w:r>
      <w:r>
        <w:rPr>
          <w:rtl w:val="true"/>
        </w:rPr>
        <w:t>כי בניגוד לטענתו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אין מדובר בהרשעה על סמך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הניצבת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בבדידותה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1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149/12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36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24.</w:t>
      </w:r>
      <w:r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>.2012</w:t>
      </w:r>
      <w:r>
        <w:rPr>
          <w:color w:val="000000"/>
          <w:sz w:val="27"/>
          <w:szCs w:val="27"/>
          <w:rtl w:val="true"/>
        </w:rPr>
        <w:t>)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כי אם הרשעה על בסיס מארג ראייתי עשיר</w:t>
      </w:r>
      <w:r>
        <w:rPr>
          <w:rtl w:val="true"/>
        </w:rPr>
        <w:t xml:space="preserve">, </w:t>
      </w:r>
      <w:r>
        <w:rPr>
          <w:rtl w:val="true"/>
        </w:rPr>
        <w:t>אשר לא מותיר ספק סביר בדבר אשמתו של המערער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אציע אפוא לחברַי לדחות את הערעור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על הכרעת הדין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ולהותיר את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הרשעתו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של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על כנה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;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מוצדקים</w:t>
      </w:r>
      <w:r>
        <w:rPr>
          <w:rtl w:val="true"/>
        </w:rPr>
        <w:t xml:space="preserve">.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9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7.4.2024</w:t>
      </w:r>
      <w:r>
        <w:rPr>
          <w:rtl w:val="true"/>
        </w:rPr>
        <w:t xml:space="preserve">). </w:t>
      </w:r>
      <w:bookmarkEnd w:id="19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23081430</w:t>
      </w:r>
      <w:r>
        <w:rPr>
          <w:sz w:val="16"/>
          <w:rtl w:val="true"/>
        </w:rPr>
        <w:t>_</w:t>
      </w:r>
      <w:r>
        <w:rPr>
          <w:sz w:val="16"/>
        </w:rPr>
        <w:t>O07.docx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יס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54678313-8143/23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8143/23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טימור דנילוב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10199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2.b" TargetMode="External"/><Relationship Id="rId5" Type="http://schemas.openxmlformats.org/officeDocument/2006/relationships/hyperlink" Target="http://www.nevo.co.il/case/28101990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7915737" TargetMode="External"/><Relationship Id="rId9" Type="http://schemas.openxmlformats.org/officeDocument/2006/relationships/hyperlink" Target="http://www.nevo.co.il/case/26541521" TargetMode="External"/><Relationship Id="rId10" Type="http://schemas.openxmlformats.org/officeDocument/2006/relationships/hyperlink" Target="http://www.nevo.co.il/case/8245382" TargetMode="External"/><Relationship Id="rId11" Type="http://schemas.openxmlformats.org/officeDocument/2006/relationships/hyperlink" Target="http://www.nevo.co.il/case/5571066" TargetMode="External"/><Relationship Id="rId12" Type="http://schemas.openxmlformats.org/officeDocument/2006/relationships/hyperlink" Target="https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2024-04-08T10:43:00Z</dcterms:created>
  <dc:creator>h4</dc:creator>
  <dc:description/>
  <cp:keywords/>
  <dc:language>en-IL</dc:language>
  <cp:lastModifiedBy>orly</cp:lastModifiedBy>
  <cp:lastPrinted>2024-04-07T17:03:00Z</cp:lastPrinted>
  <dcterms:modified xsi:type="dcterms:W3CDTF">2024-04-08T10:43:00Z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טימור דנילוב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28101990:2;27915737;26541521;8245382;5571066</vt:lpwstr>
  </property>
  <property fmtid="{D5CDD505-2E9C-101B-9397-08002B2CF9AE}" pid="9" name="CITY">
    <vt:lpwstr/>
  </property>
  <property fmtid="{D5CDD505-2E9C-101B-9397-08002B2CF9AE}" pid="10" name="DATE">
    <vt:lpwstr>20240407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וילנר;ר' רונן</vt:lpwstr>
  </property>
  <property fmtid="{D5CDD505-2E9C-101B-9397-08002B2CF9AE}" pid="14" name="LAWLISTTMP1">
    <vt:lpwstr>70301/402.b</vt:lpwstr>
  </property>
  <property fmtid="{D5CDD505-2E9C-101B-9397-08002B2CF9AE}" pid="15" name="LAWYER">
    <vt:lpwstr>עידית פרג'ון;מירי פרידמן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הרשעה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504;465</vt:lpwstr>
  </property>
  <property fmtid="{D5CDD505-2E9C-101B-9397-08002B2CF9AE}" pid="48" name="NOSE31">
    <vt:lpwstr>אי-התערבות בממצאים עובדתיים</vt:lpwstr>
  </property>
  <property fmtid="{D5CDD505-2E9C-101B-9397-08002B2CF9AE}" pid="49" name="NOSE310">
    <vt:lpwstr/>
  </property>
  <property fmtid="{D5CDD505-2E9C-101B-9397-08002B2CF9AE}" pid="50" name="NOSE32">
    <vt:lpwstr>על יסוד ראיות נסיבתיות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3849;3637</vt:lpwstr>
  </property>
  <property fmtid="{D5CDD505-2E9C-101B-9397-08002B2CF9AE}" pid="59" name="PADIDATE">
    <vt:lpwstr>20240408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8143</vt:lpwstr>
  </property>
  <property fmtid="{D5CDD505-2E9C-101B-9397-08002B2CF9AE}" pid="65" name="PROCYEAR">
    <vt:lpwstr>23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410120240407</vt:lpwstr>
  </property>
  <property fmtid="{D5CDD505-2E9C-101B-9397-08002B2CF9AE}" pid="69" name="TYPE_N_DATE">
    <vt:lpwstr>41020240407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