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8146/16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8222/16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8146/16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אנטילי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עסידה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8222/16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עסאספה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מרכז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08.09.2016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6702-07-15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Cs w:val="24"/>
                <w:rtl w:val="true"/>
              </w:rPr>
              <w:t>(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הנשיא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ברודי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אמיר</w:t>
            </w:r>
            <w:r>
              <w:rPr>
                <w:rFonts w:cs="Miriam"/>
                <w:sz w:val="28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8146/16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פריינטי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8222/16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חטיפה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וחטיפה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ולילדיהן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ובחירותו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להבליע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עסאספה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b/>
          <w:bCs/>
          <w:sz w:val="24"/>
          <w:szCs w:val="26"/>
        </w:rPr>
      </w:pPr>
      <w:r>
        <w:rPr>
          <w:rFonts w:cs="FrankRuehl"/>
          <w:b/>
          <w:bCs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15" w:name="_GoBack"/>
      <w:bookmarkEnd w:id="15"/>
      <w:r>
        <w:rPr>
          <w:rtl w:val="true"/>
        </w:rPr>
        <w:t>ערעורים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6702-07-15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8.9.2016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המערערים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8146/16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אנטילי</w:t>
      </w:r>
      <w:r>
        <w:rPr>
          <w:rtl w:val="true"/>
        </w:rPr>
        <w:t xml:space="preserve">) </w:t>
      </w:r>
      <w:r>
        <w:rPr>
          <w:rtl w:val="true"/>
        </w:rPr>
        <w:t>והמערער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8222/16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עסאספה</w:t>
      </w:r>
      <w:r>
        <w:rPr>
          <w:rtl w:val="true"/>
        </w:rPr>
        <w:t xml:space="preserve">) </w:t>
      </w:r>
      <w:r>
        <w:rPr>
          <w:rtl w:val="true"/>
        </w:rPr>
        <w:t>הודו במסגרת הסדר טיעון בכתב האישום המתוקן והורשעו 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בצירוף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וחטיפה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בצירוף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לענין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ועסאספה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ולילדיהן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כתב האישום המתוקן מתאר כיצד קשרו השלושה קשר לחטוף ולפגוע בעיסא דבאבסה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27.5.2015</w:t>
      </w:r>
      <w:r>
        <w:rPr>
          <w:rtl w:val="true"/>
        </w:rPr>
        <w:t xml:space="preserve"> </w:t>
      </w:r>
      <w:r>
        <w:rPr>
          <w:rtl w:val="true"/>
        </w:rPr>
        <w:t>נפגשו השלושה ונסעו יחד ברכב הסעות שהיה בבעלות 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5:50</w:t>
      </w:r>
      <w:r>
        <w:rPr>
          <w:rtl w:val="true"/>
        </w:rPr>
        <w:t xml:space="preserve"> </w:t>
      </w:r>
      <w:r>
        <w:rPr>
          <w:rtl w:val="true"/>
        </w:rPr>
        <w:t>בבוקר ארבו למנוח</w:t>
      </w:r>
      <w:r>
        <w:rPr>
          <w:rtl w:val="true"/>
        </w:rPr>
        <w:t xml:space="preserve">, </w:t>
      </w:r>
      <w:r>
        <w:rPr>
          <w:rtl w:val="true"/>
        </w:rPr>
        <w:t>שצעד אותה עת למקום עבודתו בעיר לוד</w:t>
      </w:r>
      <w:r>
        <w:rPr>
          <w:rtl w:val="true"/>
        </w:rPr>
        <w:t xml:space="preserve">. </w:t>
      </w:r>
      <w:r>
        <w:rPr>
          <w:rtl w:val="true"/>
        </w:rPr>
        <w:t>הרכב בו נסעו המערערים סטה ופגע במכוון במנוח</w:t>
      </w:r>
      <w:r>
        <w:rPr>
          <w:rtl w:val="true"/>
        </w:rPr>
        <w:t xml:space="preserve">, </w:t>
      </w:r>
      <w:r>
        <w:rPr>
          <w:rtl w:val="true"/>
        </w:rPr>
        <w:t>בעודו חוצה את הכביש במעבר חצייה</w:t>
      </w:r>
      <w:r>
        <w:rPr>
          <w:rtl w:val="true"/>
        </w:rPr>
        <w:t xml:space="preserve">. </w:t>
      </w:r>
      <w:r>
        <w:rPr>
          <w:rtl w:val="true"/>
        </w:rPr>
        <w:t>מיד לאחר מכן ירדו המערערים מהרכב</w:t>
      </w:r>
      <w:r>
        <w:rPr>
          <w:rtl w:val="true"/>
        </w:rPr>
        <w:t xml:space="preserve">, </w:t>
      </w:r>
      <w:r>
        <w:rPr>
          <w:rtl w:val="true"/>
        </w:rPr>
        <w:t>היכו את המנוח בחוזקה</w:t>
      </w:r>
      <w:r>
        <w:rPr>
          <w:rtl w:val="true"/>
        </w:rPr>
        <w:t xml:space="preserve">, </w:t>
      </w:r>
      <w:r>
        <w:rPr>
          <w:rtl w:val="true"/>
        </w:rPr>
        <w:t>הלמו בו באמצעות חפץ ארוך ונוקשה ודקרו אותו באמצעות חפץ חד בעל לפחות שפה אחת מושחזת</w:t>
      </w:r>
      <w:r>
        <w:rPr>
          <w:rtl w:val="true"/>
        </w:rPr>
        <w:t xml:space="preserve">. </w:t>
      </w:r>
      <w:r>
        <w:rPr>
          <w:rtl w:val="true"/>
        </w:rPr>
        <w:t>המנוח ניסה להיאבק במערערים</w:t>
      </w:r>
      <w:r>
        <w:rPr>
          <w:rtl w:val="true"/>
        </w:rPr>
        <w:t xml:space="preserve">, </w:t>
      </w:r>
      <w:r>
        <w:rPr>
          <w:rtl w:val="true"/>
        </w:rPr>
        <w:t>אך חרף התנגדותו</w:t>
      </w:r>
      <w:r>
        <w:rPr>
          <w:rtl w:val="true"/>
        </w:rPr>
        <w:t xml:space="preserve">, </w:t>
      </w:r>
      <w:r>
        <w:rPr>
          <w:rtl w:val="true"/>
        </w:rPr>
        <w:t>הם גררו אותו בצוותא חדא והעלו אותו בכח לרכב ההסעות</w:t>
      </w:r>
      <w:r>
        <w:rPr>
          <w:rtl w:val="true"/>
        </w:rPr>
        <w:t xml:space="preserve">, </w:t>
      </w:r>
      <w:r>
        <w:rPr>
          <w:rtl w:val="true"/>
        </w:rPr>
        <w:t>שם המשיכו להכותו ולדוקרו</w:t>
      </w:r>
      <w:r>
        <w:rPr>
          <w:rtl w:val="true"/>
        </w:rPr>
        <w:t xml:space="preserve">, </w:t>
      </w:r>
      <w:r>
        <w:rPr>
          <w:rtl w:val="true"/>
        </w:rPr>
        <w:t>תוך כדי שנמלטו מהמקום בנסיעה</w:t>
      </w:r>
      <w:r>
        <w:rPr>
          <w:rtl w:val="true"/>
        </w:rPr>
        <w:t xml:space="preserve">. </w:t>
      </w:r>
      <w:r>
        <w:rPr>
          <w:rtl w:val="true"/>
        </w:rPr>
        <w:t>המערערים נסעו עם המנוח לכיוון דרום הארץ</w:t>
      </w:r>
      <w:r>
        <w:rPr>
          <w:rtl w:val="true"/>
        </w:rPr>
        <w:t xml:space="preserve">, </w:t>
      </w:r>
      <w:r>
        <w:rPr>
          <w:rtl w:val="true"/>
        </w:rPr>
        <w:t>והגיעו לאזור נבטים והר בריח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היום נמצאה גופת המנוח בשטחי הרשות הפלסטינית באזור הישוב בני נעים בדרום הר חברון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עמד בית המשפט קמא על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על הערכים החברתיים המוגנים שנפגעו מביצוע העבירות ועל נסיבות ביצוען</w:t>
      </w:r>
      <w:r>
        <w:rPr>
          <w:rtl w:val="true"/>
        </w:rPr>
        <w:t xml:space="preserve">. </w:t>
      </w:r>
      <w:r>
        <w:rPr>
          <w:rtl w:val="true"/>
        </w:rPr>
        <w:t>בהתייחס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חומרתן של העבירות</w:t>
      </w:r>
      <w:r>
        <w:rPr>
          <w:rtl w:val="true"/>
        </w:rPr>
        <w:t xml:space="preserve">. </w:t>
      </w:r>
      <w:r>
        <w:rPr>
          <w:rtl w:val="true"/>
        </w:rPr>
        <w:t>אשר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מנה בית המשפט קמא את הפגיעה בקדושת חיי האדם בביצוע עבירת הריגה והפגיעה הקשה בחירותו של אדם הנגרמת בביצוע עבירת חטיפה</w:t>
      </w:r>
      <w:r>
        <w:rPr>
          <w:rtl w:val="true"/>
        </w:rPr>
        <w:t xml:space="preserve">, </w:t>
      </w:r>
      <w:r>
        <w:rPr>
          <w:rtl w:val="true"/>
        </w:rPr>
        <w:t>ערך אשר לו מיוחסת חומרה מיוחדת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לנסיבות החמורות במקרה דנן</w:t>
      </w:r>
      <w:r>
        <w:rPr>
          <w:rtl w:val="true"/>
        </w:rPr>
        <w:t xml:space="preserve">, </w:t>
      </w:r>
      <w:r>
        <w:rPr>
          <w:rtl w:val="true"/>
        </w:rPr>
        <w:t>ציין בית המשפט קמא כי כל אחד מהמערערים הודה בביצוע עבירת הריגה</w:t>
      </w:r>
      <w:r>
        <w:rPr>
          <w:rtl w:val="true"/>
        </w:rPr>
        <w:t xml:space="preserve">, </w:t>
      </w:r>
      <w:r>
        <w:rPr>
          <w:rtl w:val="true"/>
        </w:rPr>
        <w:t>וכעולה מעובדות כתב האישום המתוקן</w:t>
      </w:r>
      <w:r>
        <w:rPr>
          <w:rtl w:val="true"/>
        </w:rPr>
        <w:t>, "</w:t>
      </w:r>
      <w:r>
        <w:rPr>
          <w:rtl w:val="true"/>
        </w:rPr>
        <w:t>בין בעצמם ובין על ידי אחרים</w:t>
      </w:r>
      <w:r>
        <w:rPr>
          <w:rtl w:val="true"/>
        </w:rPr>
        <w:t xml:space="preserve">". </w:t>
      </w:r>
      <w:r>
        <w:rPr>
          <w:rtl w:val="true"/>
        </w:rPr>
        <w:t>על יסוד העובדות בהן הודו המערערים</w:t>
      </w:r>
      <w:r>
        <w:rPr>
          <w:rtl w:val="true"/>
        </w:rPr>
        <w:t xml:space="preserve">, </w:t>
      </w:r>
      <w:r>
        <w:rPr>
          <w:rtl w:val="true"/>
        </w:rPr>
        <w:t>ולצורך גזירת עונשם</w:t>
      </w:r>
      <w:r>
        <w:rPr>
          <w:rtl w:val="true"/>
        </w:rPr>
        <w:t xml:space="preserve">, </w:t>
      </w:r>
      <w:r>
        <w:rPr>
          <w:rtl w:val="true"/>
        </w:rPr>
        <w:t>הניח בית המשפט כי המערערים אינם אלו שהמיתו בפועל את המנוח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פסק כי קביעה עובדתית זו אינה מחייבת מסקנה נורמטיבית הכרחית של הקלה בעונשם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הדבר ייקבע בכל מקרה לפי נסיבותיו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למערערים עצמם</w:t>
      </w:r>
      <w:r>
        <w:rPr>
          <w:rtl w:val="true"/>
        </w:rPr>
        <w:t xml:space="preserve">, </w:t>
      </w:r>
      <w:r>
        <w:rPr>
          <w:rtl w:val="true"/>
        </w:rPr>
        <w:t>פסק בית המשפט כי אף אם הם לא המיתו את המנוח במו ידיהם אלא מסרו אותו לידי אחרים אשר דקרו אותו למוות</w:t>
      </w:r>
      <w:r>
        <w:rPr>
          <w:rtl w:val="true"/>
        </w:rPr>
        <w:t xml:space="preserve">, </w:t>
      </w:r>
      <w:r>
        <w:rPr>
          <w:rtl w:val="true"/>
        </w:rPr>
        <w:t xml:space="preserve">הם עשו זאת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להמתתו</w:t>
      </w:r>
      <w:r>
        <w:rPr>
          <w:rtl w:val="true"/>
        </w:rPr>
        <w:t xml:space="preserve">", </w:t>
      </w:r>
      <w:r>
        <w:rPr>
          <w:rtl w:val="true"/>
        </w:rPr>
        <w:t>ובכך התקיימה דרישת המחשבה הפלילית מצד המערערים</w:t>
      </w:r>
      <w:r>
        <w:rPr>
          <w:rtl w:val="true"/>
        </w:rPr>
        <w:t xml:space="preserve">. </w:t>
      </w:r>
      <w:r>
        <w:rPr>
          <w:rtl w:val="true"/>
        </w:rPr>
        <w:t>לנוכח זאת קבע בית המשפט כי במסגרת שיקולי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יש לתת </w:t>
      </w:r>
      <w:r>
        <w:rPr>
          <w:rtl w:val="true"/>
        </w:rPr>
        <w:t>"</w:t>
      </w:r>
      <w:r>
        <w:rPr>
          <w:rtl w:val="true"/>
        </w:rPr>
        <w:t>משקל מסוים בלבד</w:t>
      </w:r>
      <w:r>
        <w:rPr>
          <w:rtl w:val="true"/>
        </w:rPr>
        <w:t xml:space="preserve">" </w:t>
      </w:r>
      <w:r>
        <w:rPr>
          <w:rtl w:val="true"/>
        </w:rPr>
        <w:t>לקולא לכך שהמערערים או מי מהם לא הרגו בעצמם את המנוח</w:t>
      </w:r>
      <w:r>
        <w:rPr>
          <w:rtl w:val="true"/>
        </w:rPr>
        <w:t xml:space="preserve">. </w:t>
      </w:r>
      <w:r>
        <w:rPr>
          <w:rtl w:val="true"/>
        </w:rPr>
        <w:t>כן פסק בית המשפט כי אין לתת משקל לקולא לטענת המערערים לפיה ברקע מעשי העבירה שביצעו היה סכסוך בין המנוח ומשפחתו לבין גורמים מכפר יאטה</w:t>
      </w:r>
      <w:r>
        <w:rPr>
          <w:rtl w:val="true"/>
        </w:rPr>
        <w:t xml:space="preserve">, </w:t>
      </w:r>
      <w:r>
        <w:rPr>
          <w:rtl w:val="true"/>
        </w:rPr>
        <w:t>כמצויין בכתב האישום 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האמור לעיל</w:t>
      </w:r>
      <w:r>
        <w:rPr>
          <w:rtl w:val="true"/>
        </w:rPr>
        <w:t xml:space="preserve">, </w:t>
      </w:r>
      <w:r>
        <w:rPr>
          <w:rtl w:val="true"/>
        </w:rPr>
        <w:t>ולאור הנסיבות דנן</w:t>
      </w:r>
      <w:r>
        <w:rPr>
          <w:rtl w:val="true"/>
        </w:rPr>
        <w:t xml:space="preserve">, </w:t>
      </w:r>
      <w:r>
        <w:rPr>
          <w:rtl w:val="true"/>
        </w:rPr>
        <w:t>קבע בית המשפט קמא מתחם ענישה הולם אחד לכל העבירות</w:t>
      </w:r>
      <w:r>
        <w:rPr>
          <w:rtl w:val="true"/>
        </w:rPr>
        <w:t xml:space="preserve">, </w:t>
      </w:r>
      <w:r>
        <w:rPr>
          <w:rtl w:val="true"/>
        </w:rPr>
        <w:t>שכן מדובר באירוע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מתחם הנע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בגזירת עונשם של המערערים</w:t>
      </w:r>
      <w:r>
        <w:rPr>
          <w:rtl w:val="true"/>
        </w:rPr>
        <w:t xml:space="preserve">, </w:t>
      </w:r>
      <w:r>
        <w:rPr>
          <w:rtl w:val="true"/>
        </w:rPr>
        <w:t>ציין בית המשפט כשיקולים לקולא את הודאתם באשמה ולקיחת האחריות על מעשיהם</w:t>
      </w:r>
      <w:r>
        <w:rPr>
          <w:rtl w:val="true"/>
        </w:rPr>
        <w:t xml:space="preserve">, </w:t>
      </w:r>
      <w:r>
        <w:rPr>
          <w:rtl w:val="true"/>
        </w:rPr>
        <w:t>ואת הסכם הסולחה שנערך</w:t>
      </w:r>
      <w:r>
        <w:rPr>
          <w:rtl w:val="true"/>
        </w:rPr>
        <w:t xml:space="preserve">, </w:t>
      </w:r>
      <w:r>
        <w:rPr>
          <w:rtl w:val="true"/>
        </w:rPr>
        <w:t>לו ניתן משקל מופחת</w:t>
      </w:r>
      <w:r>
        <w:rPr>
          <w:rtl w:val="true"/>
        </w:rPr>
        <w:t xml:space="preserve">. </w:t>
      </w:r>
      <w:r>
        <w:rPr>
          <w:rtl w:val="true"/>
        </w:rPr>
        <w:t>ההבדלים בין המערערים בכל הנוגע לעברם הפלילי לא נלקחו במניין שיקולי הענישה</w:t>
      </w:r>
      <w:r>
        <w:rPr>
          <w:rtl w:val="true"/>
        </w:rPr>
        <w:t xml:space="preserve">, </w:t>
      </w:r>
      <w:r>
        <w:rPr>
          <w:rtl w:val="true"/>
        </w:rPr>
        <w:t>לנוכח חלקם השווה של המערערים בביצוע העבירות החמורות ולנוכח הסכמת הצדדים כי יוטל עונש מאסר זהה על שלושתם</w:t>
      </w:r>
      <w:r>
        <w:rPr>
          <w:rtl w:val="true"/>
        </w:rPr>
        <w:t xml:space="preserve">. </w:t>
      </w:r>
      <w:r>
        <w:rPr>
          <w:rtl w:val="true"/>
        </w:rPr>
        <w:t>לאור כל זאת</w:t>
      </w:r>
      <w:r>
        <w:rPr>
          <w:rtl w:val="true"/>
        </w:rPr>
        <w:t xml:space="preserve">, </w:t>
      </w:r>
      <w:r>
        <w:rPr>
          <w:rtl w:val="true"/>
        </w:rPr>
        <w:t xml:space="preserve">גזר בית משפט קמא כאמור על כל אחד מהמערערים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עונשי מאסר על תנאי ותשלום פיצויים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טוענים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, </w:t>
      </w:r>
      <w:r>
        <w:rPr>
          <w:rtl w:val="true"/>
        </w:rPr>
        <w:t>ומבקשים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וסובר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מספק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עסאספה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tl w:val="true"/>
        </w:rPr>
        <w:t xml:space="preserve">, </w:t>
      </w:r>
      <w:r>
        <w:rPr>
          <w:rtl w:val="true"/>
        </w:rPr>
        <w:t>ומוסיף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סבורה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 יש לדחות את הערעורים</w:t>
      </w:r>
      <w:r>
        <w:rPr>
          <w:rtl w:val="true"/>
        </w:rPr>
        <w:t xml:space="preserve">. </w:t>
      </w:r>
      <w:r>
        <w:rPr>
          <w:rtl w:val="true"/>
        </w:rPr>
        <w:t>המשיבה טוענת כי מתחם הענישה שנקבע ראוי ואף נמוך לשיטתה</w:t>
      </w:r>
      <w:r>
        <w:rPr>
          <w:rtl w:val="true"/>
        </w:rPr>
        <w:t xml:space="preserve">, </w:t>
      </w:r>
      <w:r>
        <w:rPr>
          <w:rtl w:val="true"/>
        </w:rPr>
        <w:t xml:space="preserve">לאור חומרת העבירות המתוארות בכתב האישום המתוקן ולאור </w:t>
      </w:r>
      <w:r>
        <w:rPr>
          <w:rtl w:val="true"/>
        </w:rPr>
        <w:t>"</w:t>
      </w:r>
      <w:r>
        <w:rPr>
          <w:rtl w:val="true"/>
        </w:rPr>
        <w:t>הפגיעה האכזרית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שספג המנוח מהמערערים טרם 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בעניין גובה הפיצויים שהוטל על עסאספה</w:t>
      </w:r>
      <w:r>
        <w:rPr>
          <w:rtl w:val="true"/>
        </w:rPr>
        <w:t xml:space="preserve">, </w:t>
      </w:r>
      <w:r>
        <w:rPr>
          <w:rtl w:val="true"/>
        </w:rPr>
        <w:t xml:space="preserve">מסרה המשיבה הודעה לבית המשפט ביום </w:t>
      </w:r>
      <w:r>
        <w:rPr/>
        <w:t>20.12.2017</w:t>
      </w:r>
      <w:r>
        <w:rPr>
          <w:rtl w:val="true"/>
        </w:rPr>
        <w:t xml:space="preserve">, </w:t>
      </w:r>
      <w:r>
        <w:rPr>
          <w:rtl w:val="true"/>
        </w:rPr>
        <w:t>לפיה משפחת המנוח מודיעה כי הסכם הסולחה חל על אנטילי ואבו</w:t>
      </w:r>
      <w:r>
        <w:rPr>
          <w:rtl w:val="true"/>
        </w:rPr>
        <w:t>-</w:t>
      </w:r>
      <w:r>
        <w:rPr>
          <w:rtl w:val="true"/>
        </w:rPr>
        <w:t>עסידה בלבד</w:t>
      </w:r>
      <w:r>
        <w:rPr>
          <w:rtl w:val="true"/>
        </w:rPr>
        <w:t xml:space="preserve">, </w:t>
      </w:r>
      <w:r>
        <w:rPr>
          <w:rtl w:val="true"/>
        </w:rPr>
        <w:t>ואילו עסאספה לא היה צד להסכם הסולחה ולא שילם מאומה למשפחת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הדיון בערעורים שהתקיים לפנינו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הממצאים</w:t>
      </w:r>
      <w:r>
        <w:rPr>
          <w:rtl w:val="true"/>
        </w:rPr>
        <w:t xml:space="preserve"> </w:t>
      </w:r>
      <w:r>
        <w:rPr>
          <w:rtl w:val="true"/>
        </w:rPr>
        <w:t>העולים</w:t>
      </w:r>
      <w:r>
        <w:rPr>
          <w:rtl w:val="true"/>
        </w:rPr>
        <w:t xml:space="preserve"> </w:t>
      </w:r>
      <w:r>
        <w:rPr>
          <w:rtl w:val="true"/>
        </w:rPr>
        <w:t>מתסקירים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אנטילי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ובושה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עסאספה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התוקפניים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עסאספה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 הערעורים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העבירות בהן הורשעו המערערים ידועות בחומרתן הרבה ובפגיעתן הקשה בזכויות היסוד של האדם</w:t>
      </w:r>
      <w:r>
        <w:rPr>
          <w:rtl w:val="true"/>
        </w:rPr>
        <w:t xml:space="preserve">, </w:t>
      </w:r>
      <w:r>
        <w:rPr>
          <w:rtl w:val="true"/>
        </w:rPr>
        <w:t>בחייו ובחירותו</w:t>
      </w:r>
      <w:r>
        <w:rPr>
          <w:rtl w:val="true"/>
        </w:rPr>
        <w:t xml:space="preserve">. </w:t>
      </w:r>
      <w:r>
        <w:rPr>
          <w:rtl w:val="true"/>
        </w:rPr>
        <w:t>כפועל יוצא של חומרה זו</w:t>
      </w:r>
      <w:r>
        <w:rPr>
          <w:rtl w:val="true"/>
        </w:rPr>
        <w:t xml:space="preserve">, </w:t>
      </w:r>
      <w:r>
        <w:rPr>
          <w:rtl w:val="true"/>
        </w:rPr>
        <w:t>בחר המחוקק להעמיד לצד עבירות אלה עונשי מאסר משמעותיים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אף חומרתן של העבירות</w:t>
      </w:r>
      <w:r>
        <w:rPr>
          <w:rtl w:val="true"/>
        </w:rPr>
        <w:t xml:space="preserve">, </w:t>
      </w:r>
      <w:r>
        <w:rPr>
          <w:rtl w:val="true"/>
        </w:rPr>
        <w:t>הן ביחס לעבירת ההריגה הן ביחס לעבירת החטיפה קיימת בהלכה הפסוקה קשת רחבה של מתחמי ענישה שנקבעו בבית משפט זה</w:t>
      </w:r>
      <w:r>
        <w:rPr>
          <w:rtl w:val="true"/>
        </w:rPr>
        <w:t xml:space="preserve">, </w:t>
      </w:r>
      <w:r>
        <w:rPr>
          <w:rtl w:val="true"/>
        </w:rPr>
        <w:t>זאת בשל המנעד הרחב של נסיבות ביצוע עבירת ההריגה ושל נסיבותיהם האישיות של הנאשמים</w:t>
      </w:r>
      <w:r>
        <w:rPr>
          <w:rtl w:val="true"/>
        </w:rPr>
        <w:t xml:space="preserve">. </w:t>
      </w:r>
      <w:r>
        <w:rPr>
          <w:rtl w:val="true"/>
        </w:rPr>
        <w:t>הענישה בעבירות אלה אינה אחידה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ומשתנה לאור נסיבותיו הייחודיות של כל מקרה </w:t>
      </w:r>
      <w:r>
        <w:rPr>
          <w:rtl w:val="true"/>
        </w:rPr>
        <w:t>(</w:t>
      </w:r>
      <w:r>
        <w:rPr>
          <w:rtl w:val="true"/>
        </w:rPr>
        <w:t>ביחס לעבירת ההריגה ראו 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21.09.2015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ביחס לעבירת החטיפה ראו למשל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</w:t>
      </w:r>
      <w:r>
        <w:rPr/>
        <w:t>.</w:t>
      </w:r>
      <w:r>
        <w:rPr/>
        <w:t>6</w:t>
      </w:r>
      <w:r>
        <w:rPr/>
        <w:t>.20</w:t>
      </w:r>
      <w:r>
        <w:rPr/>
        <w:t>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sz w:val="28"/>
        </w:rPr>
      </w:pPr>
      <w:r>
        <w:rPr>
          <w:rtl w:val="true"/>
        </w:rPr>
        <w:t>בית משפט זה קבע לא אחת כי ערכאת הערעור אינה מתערבת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זולת בנסיבות חריגות שבהן נפלה על פני הדברים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שהוטל </w:t>
      </w:r>
      <w:r>
        <w:rPr>
          <w:sz w:val="28"/>
          <w:sz w:val="28"/>
          <w:rtl w:val="true"/>
        </w:rPr>
        <w:t xml:space="preserve">חורג באופן קיצוני מהענישה המקובלת במקרים דומים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 למשל</w:t>
      </w:r>
      <w:r>
        <w:rPr>
          <w:sz w:val="28"/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6699/17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מסארוה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2.11.2017</w:t>
      </w:r>
      <w:r>
        <w:rPr>
          <w:sz w:val="28"/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2684/16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26.10.2017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 xml:space="preserve">אנו סבורים כי </w:t>
      </w:r>
      <w:r>
        <w:rPr>
          <w:rtl w:val="true"/>
        </w:rPr>
        <w:t>עניינם של המערערים שלפנינו אינו נמנה עם אותם מקרים חריגים המצדיקים התערבות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לטיעוני באי כוח המערערים לעניין התייחסות בית המשפט לאירוע נשוא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ייאמר כי בית משפט קמא ציין באופן ברור למדי כי על אף הסכמת הצדדים באשר לקביעת מתחם הענישה לאירוע כולו</w:t>
      </w:r>
      <w:r>
        <w:rPr>
          <w:rtl w:val="true"/>
        </w:rPr>
        <w:t xml:space="preserve">, </w:t>
      </w:r>
      <w:r>
        <w:rPr>
          <w:rtl w:val="true"/>
        </w:rPr>
        <w:t xml:space="preserve">אין בדבר כדי </w:t>
      </w:r>
      <w:r>
        <w:rPr>
          <w:rtl w:val="true"/>
        </w:rPr>
        <w:t>'</w:t>
      </w:r>
      <w:r>
        <w:rPr>
          <w:rtl w:val="true"/>
        </w:rPr>
        <w:t>להבליע</w:t>
      </w:r>
      <w:r>
        <w:rPr>
          <w:rtl w:val="true"/>
        </w:rPr>
        <w:t xml:space="preserve">' </w:t>
      </w:r>
      <w:r>
        <w:rPr>
          <w:rtl w:val="true"/>
        </w:rPr>
        <w:t>את עבירת החטיפה בתוך עבירת ההריגה</w:t>
      </w:r>
      <w:r>
        <w:rPr>
          <w:rtl w:val="true"/>
        </w:rPr>
        <w:t xml:space="preserve">, </w:t>
      </w:r>
      <w:r>
        <w:rPr>
          <w:rtl w:val="true"/>
        </w:rPr>
        <w:t>ומתחם הענישה שייקבע על ידו ייתן משקל מספק לשתי 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קביעה זו</w:t>
      </w:r>
      <w:r>
        <w:rPr>
          <w:rtl w:val="true"/>
        </w:rPr>
        <w:t xml:space="preserve">, </w:t>
      </w:r>
      <w:r>
        <w:rPr>
          <w:rtl w:val="true"/>
        </w:rPr>
        <w:t>ולאחר שבחנו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אנו סבורים כי לא נפל דופי בתוצאה אליה הגיע בית משפט קמא</w:t>
      </w:r>
      <w:r>
        <w:rPr>
          <w:rtl w:val="true"/>
        </w:rPr>
        <w:t xml:space="preserve">. </w:t>
      </w:r>
      <w:r>
        <w:rPr>
          <w:rtl w:val="true"/>
        </w:rPr>
        <w:t>באי כוח המערערים הפנו בנימוקי הערעור שבכתב ובדיון בפנינו למקרים בהם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נקבעו מתחמי ענישה נמוכים יותר בנסיבות דומות</w:t>
      </w:r>
      <w:r>
        <w:rPr>
          <w:rtl w:val="true"/>
        </w:rPr>
        <w:t xml:space="preserve">, </w:t>
      </w:r>
      <w:r>
        <w:rPr>
          <w:rtl w:val="true"/>
        </w:rPr>
        <w:t>אך מקרים אלה הונחו גם בפני בית משפט קמא</w:t>
      </w:r>
      <w:r>
        <w:rPr>
          <w:rtl w:val="true"/>
        </w:rPr>
        <w:t xml:space="preserve">, </w:t>
      </w:r>
      <w:r>
        <w:rPr>
          <w:rtl w:val="true"/>
        </w:rPr>
        <w:t>אשר סבר נכונה כי תקדימים עונשיים אלה לא עסקו בהרשעה בעבירות הריגה וחטיפה מתוכננות יחדיו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הצורך לקבוע מתחם ענישה אחד הן לעבירת ההריגה הן לעבירת החטיפה</w:t>
      </w:r>
      <w:r>
        <w:rPr>
          <w:rtl w:val="true"/>
        </w:rPr>
        <w:t xml:space="preserve">, </w:t>
      </w:r>
      <w:r>
        <w:rPr>
          <w:rtl w:val="true"/>
        </w:rPr>
        <w:t>אנו סבורים כי מתחם הענישה שנקבע על ידי בית משפט קמא הוא ראוי</w:t>
      </w:r>
      <w:r>
        <w:rPr>
          <w:rtl w:val="true"/>
        </w:rPr>
        <w:t xml:space="preserve">, </w:t>
      </w:r>
      <w:r>
        <w:rPr>
          <w:rtl w:val="true"/>
        </w:rPr>
        <w:t>ואין הצדקה להתערב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לטיעונים השונים שהעלו באי כוח המערערים באשר לאי</w:t>
      </w:r>
      <w:r>
        <w:rPr>
          <w:rtl w:val="true"/>
        </w:rPr>
        <w:t>-</w:t>
      </w:r>
      <w:r>
        <w:rPr>
          <w:rtl w:val="true"/>
        </w:rPr>
        <w:t>מתן משקל מספק לקשיים הראייתיים בביצוע עבירת ההריגה וכן לקביעת בית משפט קמא כי מי שהמית את המנוח אינם הנאשמים עצמם או מי מהם</w:t>
      </w:r>
      <w:r>
        <w:rPr>
          <w:rtl w:val="true"/>
        </w:rPr>
        <w:t xml:space="preserve">, </w:t>
      </w:r>
      <w:r>
        <w:rPr>
          <w:rtl w:val="true"/>
        </w:rPr>
        <w:t>הרי שבית משפט קמא התייחס לדברים בצורה בהירה ומנומקת</w:t>
      </w:r>
      <w:r>
        <w:rPr>
          <w:rtl w:val="true"/>
        </w:rPr>
        <w:t xml:space="preserve">, </w:t>
      </w:r>
      <w:r>
        <w:rPr>
          <w:rtl w:val="true"/>
        </w:rPr>
        <w:t>ואנו סבורים כי שקל את הנסיבות הקשורות בביצוע העבירה כדבעי</w:t>
      </w:r>
      <w:r>
        <w:rPr>
          <w:rtl w:val="true"/>
        </w:rPr>
        <w:t xml:space="preserve">, </w:t>
      </w:r>
      <w:r>
        <w:rPr>
          <w:rtl w:val="true"/>
        </w:rPr>
        <w:t>ונתן לכך משקל ראוי בעת קביעת גזר הדין שניתן בסופו של דבר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אנו דוחים את טענתו של עסאספה בדבר סכום הפיצוי שנפסק כי עליו לשלם למשפחת המנוח</w:t>
      </w:r>
      <w:r>
        <w:rPr>
          <w:rtl w:val="true"/>
        </w:rPr>
        <w:t xml:space="preserve">, </w:t>
      </w:r>
      <w:r>
        <w:rPr>
          <w:rtl w:val="true"/>
        </w:rPr>
        <w:t xml:space="preserve">וזאת לנוכח האמור בתגובת המשיבה מיום </w:t>
      </w:r>
      <w:r>
        <w:rPr/>
        <w:t>20.12.2017</w:t>
      </w:r>
      <w:r>
        <w:rPr>
          <w:rtl w:val="true"/>
        </w:rPr>
        <w:t xml:space="preserve">, </w:t>
      </w:r>
      <w:r>
        <w:rPr>
          <w:rtl w:val="true"/>
        </w:rPr>
        <w:t>לפיה הוא לא היה צד להסכם הסולחה וממילא לא שילם דבר למשפחת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הנסיבות החמורות של העבירות שהורשעו בהן המערערים</w:t>
      </w:r>
      <w:r>
        <w:rPr>
          <w:rtl w:val="true"/>
        </w:rPr>
        <w:t xml:space="preserve">, </w:t>
      </w:r>
      <w:r>
        <w:rPr>
          <w:rtl w:val="true"/>
        </w:rPr>
        <w:t>הכוללות חטיפת אדם מרחובה של עיר</w:t>
      </w:r>
      <w:r>
        <w:rPr>
          <w:rtl w:val="true"/>
        </w:rPr>
        <w:t xml:space="preserve">, </w:t>
      </w:r>
      <w:r>
        <w:rPr>
          <w:rtl w:val="true"/>
        </w:rPr>
        <w:t>הכאתו באלימות רבה</w:t>
      </w:r>
      <w:r>
        <w:rPr>
          <w:rtl w:val="true"/>
        </w:rPr>
        <w:t xml:space="preserve">, </w:t>
      </w:r>
      <w:r>
        <w:rPr>
          <w:rtl w:val="true"/>
        </w:rPr>
        <w:t>ולבסוף הפקרתו לנפשו במרחק רב מביתו עד אשר נמצאה גופתו בדרום הר חברון</w:t>
      </w:r>
      <w:r>
        <w:rPr>
          <w:rtl w:val="true"/>
        </w:rPr>
        <w:t xml:space="preserve">, </w:t>
      </w:r>
      <w:r>
        <w:rPr>
          <w:rtl w:val="true"/>
        </w:rPr>
        <w:t>לא מצאנו לנכון להקל בעונשם של המערערים מעבר לנסיבות לקולא שכבר נשקלו על ידי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הערעורים נדחים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>, ‏</w:t>
      </w:r>
      <w:r>
        <w:rPr>
          <w:rFonts w:ascii="Arial TUR;Arial" w:hAnsi="Arial TUR;Arial" w:cs="Arial TUR;Arial"/>
          <w:rtl w:val="true"/>
        </w:rPr>
        <w:t>כ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א בשבט התשע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ח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6.2.2018</w:t>
      </w:r>
      <w:r>
        <w:rPr>
          <w:rFonts w:cs="Arial TUR;Arial" w:ascii="Arial TUR;Arial" w:hAnsi="Arial TUR;Arial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16081460</w:t>
      </w:r>
      <w:r>
        <w:rPr>
          <w:sz w:val="16"/>
          <w:rtl w:val="true"/>
        </w:rPr>
        <w:t>_</w:t>
      </w:r>
      <w:r>
        <w:rPr>
          <w:sz w:val="16"/>
        </w:rPr>
        <w:t>J13.doc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54678313-8146/16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8146/16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פארס אנטילי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137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69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case/20413760" TargetMode="External"/><Relationship Id="rId9" Type="http://schemas.openxmlformats.org/officeDocument/2006/relationships/hyperlink" Target="http://www.nevo.co.il/case/21509783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69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7985585" TargetMode="External"/><Relationship Id="rId17" Type="http://schemas.openxmlformats.org/officeDocument/2006/relationships/hyperlink" Target="http://www.nevo.co.il/case/20198071" TargetMode="External"/><Relationship Id="rId18" Type="http://schemas.openxmlformats.org/officeDocument/2006/relationships/hyperlink" Target="http://www.nevo.co.il/case/22944893" TargetMode="External"/><Relationship Id="rId19" Type="http://schemas.openxmlformats.org/officeDocument/2006/relationships/hyperlink" Target="http://www.nevo.co.il/case/22303085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2018-02-07T10:25:00Z</dcterms:created>
  <dc:creator> </dc:creator>
  <dc:description/>
  <cp:keywords/>
  <dc:language>en-IL</dc:language>
  <cp:lastModifiedBy>orly</cp:lastModifiedBy>
  <cp:lastPrinted>2018-02-06T10:53:00Z</cp:lastPrinted>
  <dcterms:modified xsi:type="dcterms:W3CDTF">2018-02-07T10:25:00Z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פארס אנטילי;איברהים אבו עסידה;עיסא עסאספה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21509783:4;21508469:3;20413760:2;7985585;20198071;22944893;22303085</vt:lpwstr>
  </property>
  <property fmtid="{D5CDD505-2E9C-101B-9397-08002B2CF9AE}" pid="9" name="CITY">
    <vt:lpwstr/>
  </property>
  <property fmtid="{D5CDD505-2E9C-101B-9397-08002B2CF9AE}" pid="10" name="DATE">
    <vt:lpwstr>20180206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סולברג;א' שהם;י' אלרון</vt:lpwstr>
  </property>
  <property fmtid="{D5CDD505-2E9C-101B-9397-08002B2CF9AE}" pid="14" name="LAWLISTTMP1">
    <vt:lpwstr>70301/499.a.1;298;029:2;369</vt:lpwstr>
  </property>
  <property fmtid="{D5CDD505-2E9C-101B-9397-08002B2CF9AE}" pid="15" name="LAWYER">
    <vt:lpwstr>סיגל בלום;צבי אבנון;יוסי פריינטי;איתן בן נון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חטיפה</vt:lpwstr>
  </property>
  <property fmtid="{D5CDD505-2E9C-101B-9397-08002B2CF9AE}" pid="49" name="NOSE310">
    <vt:lpwstr/>
  </property>
  <property fmtid="{D5CDD505-2E9C-101B-9397-08002B2CF9AE}" pid="50" name="NOSE32">
    <vt:lpwstr>מדיניות ענישה: הריגה</vt:lpwstr>
  </property>
  <property fmtid="{D5CDD505-2E9C-101B-9397-08002B2CF9AE}" pid="51" name="NOSE33">
    <vt:lpwstr>מתחם הענישה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16971;14739;14985;17039</vt:lpwstr>
  </property>
  <property fmtid="{D5CDD505-2E9C-101B-9397-08002B2CF9AE}" pid="59" name="PADIDATE">
    <vt:lpwstr>20180207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8146;8222</vt:lpwstr>
  </property>
  <property fmtid="{D5CDD505-2E9C-101B-9397-08002B2CF9AE}" pid="65" name="PROCYEAR">
    <vt:lpwstr>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410120180206</vt:lpwstr>
  </property>
  <property fmtid="{D5CDD505-2E9C-101B-9397-08002B2CF9AE}" pid="69" name="TYPE_N_DATE">
    <vt:lpwstr>41020180206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