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8169/20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8447/20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8169/20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8447/20</w:t>
            </w:r>
            <w:r>
              <w:rPr>
                <w:rFonts w:cs="David" w:ascii="David" w:hAnsi="David"/>
                <w:rtl w:val="true"/>
              </w:rPr>
              <w:t xml:space="preserve">: 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דביר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58477-09-19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8169/20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קבלר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8447/20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וייסבוך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8169/20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8447/20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אחרק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זהו מקרה חריג המצדיק אי הרשעה של המערערים בעבירות של סיוע להפרת אמונים עת העניקו במשך מספר שנים בחגים כרטיס מתנה טעון בסך מאות שקלים בודדים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לשתי עובדות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בנסיבות הייחודיות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 שעלול להיגרם לכל אחד מהמערערים מהותרת ההרשעה על כנה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ועולה במידה ניכרת על הנזק שייגרם לאינטרנס הציבורי אם תבוטל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הימנעות מהרשעה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מירמה והפרת אמונים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מייבאים מוצרי מזון שביחס אליהם נדרש אישור 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 המזון הארצי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במשרד הבריאות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במשך מספר שנים המערערים נתנו לנאשם אחר בפרשה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כרטיסי מתנה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שימסור אותם לשתי עובדות ציבור – מהנדסות מזון במחלקת הייבוא בשירות המזון הארצי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בסך הכל ניתנו כרטיסים שטעונים בכמה מאות שקלים בכל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במקביל לקבלת כרטיסי המתנה המשיכו עובדות הציבור לטפל בבקשות אישורי ייבוא שהגיש הנאשם האחר בשם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8447/20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גם בכך שנתן לאחת מעובדות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במשך מספר 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טיפולים שעלותם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הורשעו בהתאם להודאתם בעבירות של סיוע להפרת אמונים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ונדונו לעונשי של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קנס ומאסר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טוענים כי לא היה מקום להרשעתם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בית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המשפט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העליון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(</w:t>
      </w:r>
      <w:r>
        <w:rPr>
          <w:spacing w:val="0"/>
          <w:szCs w:val="26"/>
          <w:rtl w:val="true"/>
        </w:rPr>
        <w:t>מפי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השופט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הנדל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ובהסכמת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השופטת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ברון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בניגוד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לדעתו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החולקת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השופט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אלרון</w:t>
      </w:r>
      <w:r>
        <w:rPr>
          <w:spacing w:val="0"/>
          <w:szCs w:val="26"/>
          <w:rtl w:val="true"/>
        </w:rPr>
        <w:t xml:space="preserve">) </w:t>
      </w:r>
      <w:r>
        <w:rPr>
          <w:spacing w:val="0"/>
          <w:szCs w:val="26"/>
          <w:rtl w:val="true"/>
        </w:rPr>
        <w:t>קיבל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ופסק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spacing w:val="0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דרך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המלך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להרשיע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שנקבע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ביצע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שבגינה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הועמד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לדין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יחד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זאת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הדין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מכיר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באפשרות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</w:t>
      </w:r>
      <w:r>
        <w:rPr>
          <w:spacing w:val="0"/>
          <w:szCs w:val="26"/>
          <w:rtl w:val="true"/>
        </w:rPr>
        <w:t>-</w:t>
      </w:r>
      <w:r>
        <w:rPr>
          <w:spacing w:val="0"/>
          <w:szCs w:val="26"/>
          <w:rtl w:val="true"/>
        </w:rPr>
        <w:t>הרשעה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חרף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הקביעה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שנאשם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ביצע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האפשרות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</w:t>
      </w:r>
      <w:r>
        <w:rPr>
          <w:spacing w:val="0"/>
          <w:szCs w:val="26"/>
          <w:rtl w:val="true"/>
        </w:rPr>
        <w:t>-</w:t>
      </w:r>
      <w:r>
        <w:rPr>
          <w:spacing w:val="0"/>
          <w:szCs w:val="26"/>
          <w:rtl w:val="true"/>
        </w:rPr>
        <w:t>הרשעה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מותנית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בשני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תנאים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מצטברים</w:t>
      </w:r>
      <w:r>
        <w:rPr>
          <w:spacing w:val="0"/>
          <w:szCs w:val="26"/>
          <w:rtl w:val="true"/>
        </w:rPr>
        <w:t xml:space="preserve">: </w:t>
      </w:r>
      <w:r>
        <w:rPr>
          <w:spacing w:val="0"/>
          <w:szCs w:val="26"/>
          <w:rtl w:val="true"/>
        </w:rPr>
        <w:t>ראשית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העניין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רלוונטי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כאשר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סוג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שביצע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הנאשם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מאפשר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להרשיעו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מבלי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לפגוע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בשיקולי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הענישה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הרחבים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כלומר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המבט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צריך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להיות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מופנה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כלפי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האינטרס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הציבורי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הרחב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שמתבטא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בצורך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בהרתעת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הרבים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ולהשפעת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</w:t>
      </w:r>
      <w:r>
        <w:rPr>
          <w:spacing w:val="0"/>
          <w:szCs w:val="26"/>
          <w:rtl w:val="true"/>
        </w:rPr>
        <w:t>-</w:t>
      </w:r>
      <w:r>
        <w:rPr>
          <w:spacing w:val="0"/>
          <w:szCs w:val="26"/>
          <w:rtl w:val="true"/>
        </w:rPr>
        <w:t>ההרשעה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עליו</w:t>
      </w:r>
      <w:r>
        <w:rPr>
          <w:spacing w:val="0"/>
          <w:szCs w:val="26"/>
          <w:rtl w:val="true"/>
        </w:rPr>
        <w:t xml:space="preserve">; </w:t>
      </w:r>
      <w:r>
        <w:rPr>
          <w:spacing w:val="0"/>
          <w:szCs w:val="26"/>
          <w:rtl w:val="true"/>
        </w:rPr>
        <w:t>שנית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לבחון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כמה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עלול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הנאשם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להיפגע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כתוצאה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מעצם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ההרשעה</w:t>
      </w:r>
      <w:r>
        <w:rPr>
          <w:spacing w:val="0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חומרה רבה בעבירת הפרת האמונים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שהמערערים סייעו לעובדות הציבור לבצעה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זאת האפשרות של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אינדיבידואלית ונעוצה בנסיבות המעשה והעושה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מדובר במי שסייע להעמיד את עובד הציבור בניגוד עניינים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בסכומים נמוכים מאוד בדמות כרטיסי מתנה במספר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שנקבע כי כתוצאה ממתן המתנות קיבלו המערערים יחס מועדף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הסתמך על כתב האישום המקורי עת ציין כי המערערים הורשעו בכך שנתנו את טובות ההנאה לעובדות הציבור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להטות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בכתבי האישום המתוקנים לא צוין כי זו הייתה מטרתם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כי סברו מדובר בנורמה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נימוסית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סברה כזו אינה יכולה להוביל להקלה עם נאשם שיודע כי עובד הציבור מטפל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בד בבד אין לצקת לדברים פן של חומרה שהמערערים לא הורשעו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הנה כי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ברף נמוך של 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 במקרה זה יש ריכוך בפגיעה באינטרס הציבורי ובשיקולי 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סיוע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 במידה שמצדיקה הרשעה 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נדרש קיומו של תנאי נוסף – מידת הפגיעה במערערים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למידת הפגיעה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חשיבות לשני נתונים מרכזיים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 עלולה לפגוע באפשרות המערערים להמשיך ולקבל רשיון ייבוא או רשיון מקצועי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 אין לקבל 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משום שמדובר בכלל של שיקול דעת של הגורם המינהלי ובאפשרות שאינה וודאית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מפני שהעניין אכן קשור בטבורו להרשעה בעבירות שבוצעו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להפוך את היוצרות ולהתאים את ההרשעה להשלכותיה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יש משקל גם לנתון 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נסיבותיהם הייחודיות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בן למעלה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Cs w:val="26"/>
        </w:rPr>
        <w:t>58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שניהם ללא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שילוב כלל הנתונים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העושה והאפשרות של שלילת רשיון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 לקבוע כי מדובר במקרה 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כלל הנסיבות מוביל 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 מכך יש לבטל את העונשים של קנס ומאסר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ההוראות והעונשים יישארו בתוקף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אלרון סבר בדעת מיעוט כי אין לבטל את הרשעת המערערים נוכח החשיבות העקרונית והמעשית של עבירת המרמה והפרת האמונים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bookmarkStart w:id="15" w:name="Start_Write"/>
      <w:bookmarkEnd w:id="15"/>
      <w:r>
        <w:rPr>
          <w:rtl w:val="true"/>
        </w:rPr>
        <w:tab/>
      </w:r>
      <w:r>
        <w:rPr>
          <w:rtl w:val="true"/>
        </w:rPr>
        <w:t>שני המערערים שלפנינו הורשעו</w:t>
      </w:r>
      <w:r>
        <w:rPr>
          <w:rtl w:val="true"/>
        </w:rPr>
        <w:t xml:space="preserve">, </w:t>
      </w:r>
      <w:r>
        <w:rPr>
          <w:rtl w:val="true"/>
        </w:rPr>
        <w:t>בהתאם להודאתם בעובדות כתבי אישום מתוקנים</w:t>
      </w:r>
      <w:r>
        <w:rPr>
          <w:rtl w:val="true"/>
        </w:rPr>
        <w:t xml:space="preserve">, </w:t>
      </w:r>
      <w:r>
        <w:rPr>
          <w:rtl w:val="true"/>
        </w:rPr>
        <w:t>בעבירות של סיוע להפרת אמונים</w:t>
      </w:r>
      <w:r>
        <w:rPr>
          <w:rtl w:val="true"/>
        </w:rPr>
        <w:t xml:space="preserve">, </w:t>
      </w:r>
      <w:r>
        <w:rPr>
          <w:rtl w:val="true"/>
        </w:rPr>
        <w:t>ונדונו לעונשים של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קנס ומאסר מותנה</w:t>
      </w:r>
      <w:r>
        <w:rPr>
          <w:rtl w:val="true"/>
        </w:rPr>
        <w:t xml:space="preserve">. </w:t>
      </w:r>
      <w:r>
        <w:rPr>
          <w:rtl w:val="true"/>
        </w:rPr>
        <w:t>הערעורים מופנים נגד ההרשעה</w:t>
      </w:r>
      <w:r>
        <w:rPr>
          <w:rtl w:val="true"/>
        </w:rPr>
        <w:t xml:space="preserve">, </w:t>
      </w:r>
      <w:r>
        <w:rPr>
          <w:rtl w:val="true"/>
        </w:rPr>
        <w:t>בטענה כי התוצאה הראויה היא 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כתבי האישום שבהם הודו המערערים</w:t>
      </w:r>
      <w:r>
        <w:rPr>
          <w:rtl w:val="true"/>
        </w:rPr>
        <w:t xml:space="preserve">, </w:t>
      </w:r>
      <w:r>
        <w:rPr>
          <w:rtl w:val="true"/>
        </w:rPr>
        <w:t>שניהם עוסקים בייבוא תוספי תזונה לישראל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מייבאים מוצרי מזון שביחס אליהם נדרש אישור מאת </w:t>
      </w:r>
      <w:r>
        <w:rPr>
          <w:rtl w:val="true"/>
        </w:rPr>
        <w:t>"</w:t>
      </w:r>
      <w:r>
        <w:rPr>
          <w:rtl w:val="true"/>
        </w:rPr>
        <w:t>שירות המזון הארצי</w:t>
      </w:r>
      <w:r>
        <w:rPr>
          <w:rtl w:val="true"/>
        </w:rPr>
        <w:t xml:space="preserve">" </w:t>
      </w:r>
      <w:r>
        <w:rPr>
          <w:rtl w:val="true"/>
        </w:rPr>
        <w:t>במשרד הבריאות</w:t>
      </w:r>
      <w:r>
        <w:rPr>
          <w:rtl w:val="true"/>
        </w:rPr>
        <w:t xml:space="preserve">. </w:t>
      </w:r>
      <w:r>
        <w:rPr>
          <w:rtl w:val="true"/>
        </w:rPr>
        <w:t>שני הנאשמים הודו בכך שבמשך מספר שנים</w:t>
      </w:r>
      <w:r>
        <w:rPr>
          <w:rtl w:val="true"/>
        </w:rPr>
        <w:t xml:space="preserve">, </w:t>
      </w:r>
      <w:r>
        <w:rPr>
          <w:rtl w:val="true"/>
        </w:rPr>
        <w:t xml:space="preserve">נתנו לנאשם אחר בפרשה </w:t>
      </w:r>
      <w:r>
        <w:rPr>
          <w:rtl w:val="true"/>
        </w:rPr>
        <w:t>"</w:t>
      </w:r>
      <w:r>
        <w:rPr>
          <w:rtl w:val="true"/>
        </w:rPr>
        <w:t>כרטיסי מתנה</w:t>
      </w:r>
      <w:r>
        <w:rPr>
          <w:rtl w:val="true"/>
        </w:rPr>
        <w:t xml:space="preserve">" </w:t>
      </w:r>
      <w:r>
        <w:rPr>
          <w:rtl w:val="true"/>
        </w:rPr>
        <w:t xml:space="preserve">על מנת שימסור אותם לשתי עובדות ציבור </w:t>
      </w:r>
      <w:r>
        <w:rPr>
          <w:rtl w:val="true"/>
        </w:rPr>
        <w:t>–</w:t>
      </w:r>
      <w:r>
        <w:rPr>
          <w:rtl w:val="true"/>
        </w:rPr>
        <w:t xml:space="preserve"> מהנדסות מזון במחלקת הייבוא בשירות המזון הארצי</w:t>
      </w:r>
      <w:r>
        <w:rPr>
          <w:rtl w:val="true"/>
        </w:rPr>
        <w:t xml:space="preserve">. </w:t>
      </w:r>
      <w:r>
        <w:rPr>
          <w:rtl w:val="true"/>
        </w:rPr>
        <w:t>הכרטיסים ניתנו פעמיים בשנה</w:t>
      </w:r>
      <w:r>
        <w:rPr>
          <w:rtl w:val="true"/>
        </w:rPr>
        <w:t xml:space="preserve">, </w:t>
      </w:r>
      <w:r>
        <w:rPr>
          <w:rtl w:val="true"/>
        </w:rPr>
        <w:t>לקראת תקופות החגים</w:t>
      </w:r>
      <w:r>
        <w:rPr>
          <w:rtl w:val="true"/>
        </w:rPr>
        <w:t xml:space="preserve">, </w:t>
      </w:r>
      <w:r>
        <w:rPr>
          <w:rtl w:val="true"/>
        </w:rPr>
        <w:t>ובסך הכל ניתנו כרטיסים שטעונים בכמה מאות שקלים בכל שנה</w:t>
      </w:r>
      <w:r>
        <w:rPr>
          <w:rtl w:val="true"/>
        </w:rPr>
        <w:t xml:space="preserve">. </w:t>
      </w:r>
      <w:r>
        <w:rPr>
          <w:rtl w:val="true"/>
        </w:rPr>
        <w:t>במקביל לקבלת כרטיסי המתנה המשיכו עובדות הציבור לטפל בבקשות אישורי ייבוא שהגיש הנאשם האחר בשם המערערים</w:t>
      </w:r>
      <w:r>
        <w:rPr>
          <w:rtl w:val="true"/>
        </w:rPr>
        <w:t xml:space="preserve">. </w:t>
      </w:r>
      <w:r>
        <w:rPr>
          <w:rtl w:val="true"/>
        </w:rPr>
        <w:t>המערער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8447/20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הורשע גם בכך שנתן לאחת מעובדות הציבור</w:t>
      </w:r>
      <w:r>
        <w:rPr>
          <w:rtl w:val="true"/>
        </w:rPr>
        <w:t xml:space="preserve">, </w:t>
      </w:r>
      <w:r>
        <w:rPr>
          <w:rtl w:val="true"/>
        </w:rPr>
        <w:t>במשך מספר חודשים</w:t>
      </w:r>
      <w:r>
        <w:rPr>
          <w:rtl w:val="true"/>
        </w:rPr>
        <w:t xml:space="preserve">, </w:t>
      </w:r>
      <w:r>
        <w:rPr>
          <w:rtl w:val="true"/>
        </w:rPr>
        <w:t>טיפולים מסוגים שונים שעלותם 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>הפרשה כוללת נאשמים נוספים בדרגות חומרה שונות</w:t>
      </w:r>
      <w:r>
        <w:rPr>
          <w:rtl w:val="true"/>
        </w:rPr>
        <w:t xml:space="preserve">. </w:t>
      </w:r>
      <w:r>
        <w:rPr>
          <w:rtl w:val="true"/>
        </w:rPr>
        <w:t>דינם של שני המערערים שלפנינו נגזר בנפרד</w:t>
      </w:r>
      <w:r>
        <w:rPr>
          <w:rtl w:val="true"/>
        </w:rPr>
        <w:t xml:space="preserve">, </w:t>
      </w:r>
      <w:r>
        <w:rPr>
          <w:rtl w:val="true"/>
        </w:rPr>
        <w:t>בין היתר נוכח הדמיון בין המעשים שהם הואשמו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במסגרת הסדר הטיעון בין הצדדים הוסכם כי הם יעתרו במשותף לעונש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 לתועלת הציבור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וכן קנסות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או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המערער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8169/20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CharChar3"/>
          <w:rtl w:val="true"/>
        </w:rPr>
        <w:t xml:space="preserve">מערער </w:t>
      </w:r>
      <w:r>
        <w:rPr>
          <w:rStyle w:val="CharChar3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הוסכם כי המערערים יהיו רשאים לעתור במקביל לתוצאה של 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בסופו של דבר דחה בית משפט קמא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עתירת המערערים לאי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והשית עליהם את העונשים שעליהם הוסכם במסגרת הסדר הטיעון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>
          <w:color w:val="000000"/>
          <w:sz w:val="20"/>
          <w:szCs w:val="20"/>
        </w:rPr>
      </w:pPr>
      <w:r>
        <w:rPr>
          <w:rtl w:val="true"/>
        </w:rPr>
        <w:t>הערעורים שלפנינו עניינם סוגיית ההרשעה</w:t>
      </w:r>
      <w:r>
        <w:rPr>
          <w:rtl w:val="true"/>
        </w:rPr>
        <w:t xml:space="preserve">. </w:t>
      </w:r>
      <w:r>
        <w:rPr>
          <w:rtl w:val="true"/>
        </w:rPr>
        <w:t>כל אחד מן המערערים טוען כי קיימים טעמים מיוחדים שמצדיקים את ביטול ההרשעה</w:t>
      </w:r>
      <w:r>
        <w:rPr>
          <w:rtl w:val="true"/>
        </w:rPr>
        <w:t xml:space="preserve">. </w:t>
      </w:r>
      <w:r>
        <w:rPr>
          <w:rtl w:val="true"/>
        </w:rPr>
        <w:t>כפי שיובהר כעת</w:t>
      </w:r>
      <w:r>
        <w:rPr>
          <w:rtl w:val="true"/>
        </w:rPr>
        <w:t xml:space="preserve">, </w:t>
      </w:r>
      <w:r>
        <w:rPr>
          <w:rtl w:val="true"/>
        </w:rPr>
        <w:t>בנסיבות העניין סבורני כי יש לקבל עמדה זו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יחד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זאת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מכיר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במפורש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</w:t>
      </w:r>
      <w:r>
        <w:rPr>
          <w:rtl w:val="true"/>
        </w:rPr>
        <w:t>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בחריג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לבגירים</w:t>
      </w:r>
      <w:r>
        <w:rPr>
          <w:rFonts w:eastAsia="Times New Roman" w:cs="Times New Roman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hyperlink r:id="rId7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רע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</w:rPr>
          <w:t>8487/11</w:t>
        </w:r>
      </w:hyperlink>
      <w:r>
        <w:rPr>
          <w:rStyle w:val="Style13"/>
          <w:rtl w:val="true"/>
        </w:rPr>
        <w:t xml:space="preserve"> </w:t>
      </w:r>
      <w:r>
        <w:rPr>
          <w:rStyle w:val="CharChar3"/>
          <w:rtl w:val="true"/>
        </w:rPr>
        <w:t>חברת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נמלי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Style w:val="Style13"/>
          <w:rtl w:val="true"/>
        </w:rPr>
        <w:t xml:space="preserve">, </w:t>
      </w:r>
      <w:r>
        <w:rPr>
          <w:rStyle w:val="Style13"/>
          <w:rFonts w:cs="David"/>
          <w:spacing w:val="0"/>
          <w:sz w:val="22"/>
          <w:szCs w:val="24"/>
          <w:rtl w:val="true"/>
        </w:rPr>
        <w:t>[</w:t>
      </w:r>
      <w:r>
        <w:rPr>
          <w:rStyle w:val="Style13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yle13"/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3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yle13"/>
          <w:rFonts w:cs="David"/>
          <w:spacing w:val="0"/>
          <w:sz w:val="22"/>
          <w:szCs w:val="24"/>
          <w:rtl w:val="true"/>
        </w:rPr>
        <w:t xml:space="preserve">] </w:t>
      </w:r>
      <w:r>
        <w:rPr>
          <w:rStyle w:val="Style13"/>
          <w:rtl w:val="true"/>
        </w:rPr>
        <w:t>פסקה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ח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(</w:t>
      </w:r>
      <w:r>
        <w:rPr>
          <w:rStyle w:val="Style13"/>
        </w:rPr>
        <w:t>23.10.2012</w:t>
      </w:r>
      <w:r>
        <w:rPr>
          <w:rStyle w:val="Style13"/>
          <w:rtl w:val="true"/>
        </w:rPr>
        <w:t>))</w:t>
      </w:r>
      <w:r>
        <w:rPr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האפשרות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הרשעה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מותנית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תנאים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מצטברים</w:t>
      </w:r>
      <w:r>
        <w:rPr>
          <w:color w:val="000000"/>
          <w:sz w:val="28"/>
          <w:rtl w:val="true"/>
        </w:rPr>
        <w:t xml:space="preserve">: </w:t>
      </w:r>
      <w:r>
        <w:rPr>
          <w:color w:val="000000"/>
          <w:sz w:val="28"/>
          <w:sz w:val="28"/>
          <w:rtl w:val="true"/>
        </w:rPr>
        <w:t>ראשית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העניין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רלוונטי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כאשר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סוג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שביצע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מאפשר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להרשיעו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מבלי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לפגוע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בשיקולי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הענישה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הרחבים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לשון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אחר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המבט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צריך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מופנה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האינטרס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הציבורי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הרחב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שמתבטא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בצורך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בהרתעת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ולהשפעת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ההרשעה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עליו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שנית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לבחון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עלול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להיפגע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כתוצאה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מעצם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כתב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בפתח יישום הדברים על נסיבות המקרה</w:t>
      </w:r>
      <w:r>
        <w:rPr>
          <w:rtl w:val="true"/>
        </w:rPr>
        <w:t xml:space="preserve">, </w:t>
      </w:r>
      <w:r>
        <w:rPr>
          <w:rtl w:val="true"/>
        </w:rPr>
        <w:t>יש להדגיש את החומרה של עבירת הפרת האמונים</w:t>
      </w:r>
      <w:r>
        <w:rPr>
          <w:rtl w:val="true"/>
        </w:rPr>
        <w:t xml:space="preserve">, </w:t>
      </w:r>
      <w:r>
        <w:rPr>
          <w:rtl w:val="true"/>
        </w:rPr>
        <w:t>שהמערערים סייעו לעובדות הציבור לבצעה</w:t>
      </w:r>
      <w:r>
        <w:rPr>
          <w:rtl w:val="true"/>
        </w:rPr>
        <w:t xml:space="preserve">. </w:t>
      </w:r>
      <w:r>
        <w:rPr>
          <w:rtl w:val="true"/>
        </w:rPr>
        <w:t>עבירה כזו פוגעת באמון הציבור במלאכתם של עובדי הציבור ועלולה להוביל לפגיעה גם בפעולתם של עובדי הציבור עצמם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מלאכת הענישה </w:t>
      </w:r>
      <w:r>
        <w:rPr>
          <w:rtl w:val="true"/>
        </w:rPr>
        <w:t>–</w:t>
      </w:r>
      <w:r>
        <w:rPr>
          <w:rtl w:val="true"/>
        </w:rPr>
        <w:t xml:space="preserve"> ובכלל זאת האפשרות של אי</w:t>
      </w:r>
      <w:r>
        <w:rPr>
          <w:rtl w:val="true"/>
        </w:rPr>
        <w:t>-</w:t>
      </w:r>
      <w:r>
        <w:rPr>
          <w:rtl w:val="true"/>
        </w:rPr>
        <w:t xml:space="preserve">הרשעה </w:t>
      </w:r>
      <w:r>
        <w:rPr>
          <w:rtl w:val="true"/>
        </w:rPr>
        <w:t>–</w:t>
      </w:r>
      <w:r>
        <w:rPr>
          <w:rtl w:val="true"/>
        </w:rPr>
        <w:t xml:space="preserve"> היא אינדיבידואלית ונעוצה בנסיבות המעשה והעושה</w:t>
      </w:r>
      <w:r>
        <w:rPr>
          <w:rtl w:val="true"/>
        </w:rPr>
        <w:t xml:space="preserve">. </w:t>
      </w:r>
      <w:r>
        <w:rPr>
          <w:rtl w:val="true"/>
        </w:rPr>
        <w:t>לא די אפוא להסתפק בכותרת העבירה</w:t>
      </w:r>
      <w:r>
        <w:rPr>
          <w:rtl w:val="true"/>
        </w:rPr>
        <w:t xml:space="preserve">, </w:t>
      </w:r>
      <w:r>
        <w:rPr>
          <w:rtl w:val="true"/>
        </w:rPr>
        <w:t>אלא יש לבחון את העבירה כפי שבוצעה</w:t>
      </w:r>
      <w:r>
        <w:rPr>
          <w:rtl w:val="true"/>
        </w:rPr>
        <w:t xml:space="preserve">. </w:t>
      </w:r>
      <w:r>
        <w:rPr>
          <w:rtl w:val="true"/>
        </w:rPr>
        <w:t xml:space="preserve">ואצלנו </w:t>
      </w:r>
      <w:r>
        <w:rPr>
          <w:rtl w:val="true"/>
        </w:rPr>
        <w:t>–</w:t>
      </w:r>
      <w:r>
        <w:rPr>
          <w:rtl w:val="true"/>
        </w:rPr>
        <w:t xml:space="preserve"> מדובר במי שסייע להעמיד את עובד הציבור בניגוד עניינים</w:t>
      </w:r>
      <w:r>
        <w:rPr>
          <w:rtl w:val="true"/>
        </w:rPr>
        <w:t xml:space="preserve">, </w:t>
      </w:r>
      <w:r>
        <w:rPr>
          <w:rtl w:val="true"/>
        </w:rPr>
        <w:t>בסכומים נמוכים מאוד יחסית</w:t>
      </w:r>
      <w:r>
        <w:rPr>
          <w:rtl w:val="true"/>
        </w:rPr>
        <w:t xml:space="preserve">, </w:t>
      </w:r>
      <w:r>
        <w:rPr>
          <w:rtl w:val="true"/>
        </w:rPr>
        <w:t>בדמות כרטיסי מתנה לפני החגים במספר מקרים</w:t>
      </w:r>
      <w:r>
        <w:rPr>
          <w:rtl w:val="true"/>
        </w:rPr>
        <w:t xml:space="preserve">, </w:t>
      </w:r>
      <w:r>
        <w:rPr>
          <w:rtl w:val="true"/>
        </w:rPr>
        <w:t>מבלי שנקבע כי כתוצאה ממתן המתנות קיבלו המערערים יחס מועדף כלשהו</w:t>
      </w:r>
      <w:r>
        <w:rPr>
          <w:rtl w:val="true"/>
        </w:rPr>
        <w:t xml:space="preserve">. </w:t>
      </w:r>
      <w:r>
        <w:rPr>
          <w:rtl w:val="true"/>
        </w:rPr>
        <w:t>בהקשר זה יש גם משקל לטענת המערערים כי בית משפט קמא הסתמך</w:t>
      </w:r>
      <w:r>
        <w:rPr>
          <w:rtl w:val="true"/>
        </w:rPr>
        <w:t xml:space="preserve">, </w:t>
      </w:r>
      <w:r>
        <w:rPr>
          <w:rtl w:val="true"/>
        </w:rPr>
        <w:t>לפי לשון גזר הדין</w:t>
      </w:r>
      <w:r>
        <w:rPr>
          <w:rtl w:val="true"/>
        </w:rPr>
        <w:t xml:space="preserve">, </w:t>
      </w:r>
      <w:r>
        <w:rPr>
          <w:rtl w:val="true"/>
        </w:rPr>
        <w:t>על כתב האישום המקורי</w:t>
      </w:r>
      <w:r>
        <w:rPr>
          <w:rtl w:val="true"/>
        </w:rPr>
        <w:t xml:space="preserve">, </w:t>
      </w:r>
      <w:r>
        <w:rPr>
          <w:rtl w:val="true"/>
        </w:rPr>
        <w:t>ולא על כתב האישום המתוקן שבו הודו</w:t>
      </w:r>
      <w:r>
        <w:rPr>
          <w:rtl w:val="true"/>
        </w:rPr>
        <w:t xml:space="preserve">. </w:t>
      </w:r>
      <w:r>
        <w:rPr>
          <w:rtl w:val="true"/>
        </w:rPr>
        <w:t xml:space="preserve">בפתח גזר הדין ציין בית המשפט כי הם הורשעו בכך שנתנו את טובות ההנאה לעובדות הציבור </w:t>
      </w:r>
      <w:r>
        <w:rPr>
          <w:rtl w:val="true"/>
        </w:rPr>
        <w:t>"</w:t>
      </w:r>
      <w:r>
        <w:rPr>
          <w:rtl w:val="true"/>
        </w:rPr>
        <w:t>במטרה להטות למשוא פנים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בכתבי האישום המתוקנים לא צוין כי זו הייתה מטרתם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שטענו כי סברו מדובר בנורמה </w:t>
      </w:r>
      <w:r>
        <w:rPr>
          <w:rtl w:val="true"/>
        </w:rPr>
        <w:t>"</w:t>
      </w:r>
      <w:r>
        <w:rPr>
          <w:rtl w:val="true"/>
        </w:rPr>
        <w:t>נימוסית</w:t>
      </w:r>
      <w:r>
        <w:rPr>
          <w:rtl w:val="true"/>
        </w:rPr>
        <w:t xml:space="preserve">" </w:t>
      </w:r>
      <w:r>
        <w:rPr>
          <w:rtl w:val="true"/>
        </w:rPr>
        <w:t>שנוהגת בכגון דא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יש לשלול את הטענה כי סברה כזו יכולה להוביל להקלה עם נאשם</w:t>
      </w:r>
      <w:r>
        <w:rPr>
          <w:rtl w:val="true"/>
        </w:rPr>
        <w:t xml:space="preserve">, </w:t>
      </w:r>
      <w:r>
        <w:rPr>
          <w:rtl w:val="true"/>
        </w:rPr>
        <w:t>שיודע כי עובד הציבור מטפל בעניינו</w:t>
      </w:r>
      <w:r>
        <w:rPr>
          <w:rtl w:val="true"/>
        </w:rPr>
        <w:t xml:space="preserve">, </w:t>
      </w:r>
      <w:r>
        <w:rPr>
          <w:rtl w:val="true"/>
        </w:rPr>
        <w:t>אולם בד בבד אין לצקת לדברים פן של חומרה שהמערערים לא הורשעו בו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הדגש הוא כי מדובר ברף נמוך של הסיוע</w:t>
      </w:r>
      <w:r>
        <w:rPr>
          <w:rtl w:val="true"/>
        </w:rPr>
        <w:t xml:space="preserve">, </w:t>
      </w:r>
      <w:r>
        <w:rPr>
          <w:rtl w:val="true"/>
        </w:rPr>
        <w:t>כך שבאי</w:t>
      </w:r>
      <w:r>
        <w:rPr>
          <w:rtl w:val="true"/>
        </w:rPr>
        <w:t>-</w:t>
      </w:r>
      <w:r>
        <w:rPr>
          <w:rtl w:val="true"/>
        </w:rPr>
        <w:t>ההרשעה במקרה זה ישנו ריכוך בפגיעה באינטרס הציבורי ובשיקולי ההרתעה</w:t>
      </w:r>
      <w:r>
        <w:rPr>
          <w:rtl w:val="true"/>
        </w:rPr>
        <w:t xml:space="preserve">. </w:t>
      </w:r>
      <w:r>
        <w:rPr>
          <w:rtl w:val="true"/>
        </w:rPr>
        <w:t xml:space="preserve">ודוקו </w:t>
      </w:r>
      <w:r>
        <w:rPr>
          <w:rtl w:val="true"/>
        </w:rPr>
        <w:t>–</w:t>
      </w:r>
      <w:r>
        <w:rPr>
          <w:rtl w:val="true"/>
        </w:rPr>
        <w:t xml:space="preserve"> גם סיוע כזה חמור במידה שמצדיקה הרשעה כשלעצמה</w:t>
      </w:r>
      <w:r>
        <w:rPr>
          <w:rtl w:val="true"/>
        </w:rPr>
        <w:t xml:space="preserve">. </w:t>
      </w:r>
      <w:r>
        <w:rPr>
          <w:rtl w:val="true"/>
        </w:rPr>
        <w:t>לפיכך אין די בתנאי זה</w:t>
      </w:r>
      <w:r>
        <w:rPr>
          <w:rtl w:val="true"/>
        </w:rPr>
        <w:t xml:space="preserve">, </w:t>
      </w:r>
      <w:r>
        <w:rPr>
          <w:rtl w:val="true"/>
        </w:rPr>
        <w:t xml:space="preserve">אלא נדרש קיומו של תנאי נוסף </w:t>
      </w:r>
      <w:r>
        <w:rPr>
          <w:rtl w:val="true"/>
        </w:rPr>
        <w:t>–</w:t>
      </w:r>
      <w:r>
        <w:rPr>
          <w:rtl w:val="true"/>
        </w:rPr>
        <w:t xml:space="preserve"> מידת הפגיעה במערערים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המינהלי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הרשיונות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המינהלי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וודאית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בטבורו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ולהתאים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להשלכותיה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Times New Roman"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ומערער</w:t>
      </w:r>
      <w:r>
        <w:rPr>
          <w:rFonts w:eastAsia="Times New Roman"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שהמליצו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הסתבכות</w:t>
      </w:r>
      <w:r>
        <w:rPr>
          <w:rtl w:val="true"/>
        </w:rPr>
        <w:t xml:space="preserve">" </w:t>
      </w:r>
      <w:r>
        <w:rPr>
          <w:rtl w:val="true"/>
        </w:rPr>
        <w:t>יחידה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"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לשלילת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השילוב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העושה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סדק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ברבדים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בהצטרפן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שמלמד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ולבטל את ההרשעה של שני המערערים</w:t>
      </w:r>
      <w:r>
        <w:rPr>
          <w:rtl w:val="true"/>
        </w:rPr>
        <w:t xml:space="preserve">. </w:t>
      </w:r>
      <w:r>
        <w:rPr>
          <w:rtl w:val="true"/>
        </w:rPr>
        <w:t>כתוצאה מכך יש לבטל את העונשים של קנס ומאסר מותנה שהוטלו עליהם</w:t>
      </w:r>
      <w:r>
        <w:rPr>
          <w:rtl w:val="true"/>
        </w:rPr>
        <w:t xml:space="preserve">. </w:t>
      </w:r>
      <w:r>
        <w:rPr>
          <w:rtl w:val="true"/>
        </w:rPr>
        <w:t>יתר ההוראות והעונשים שהוטלו בגזר הדין יישארו בתוקף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 לנשיאה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קראתי את 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ולצערי אין בידי להסכים עימו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האמונים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האיסור הפלילי הקבוע בעבירה זו נועד להגן על שלושה ערכים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כפי שנקבע ב</w:t>
      </w:r>
      <w:hyperlink r:id="rId1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שבס</w:t>
      </w:r>
      <w:r>
        <w:rPr>
          <w:rtl w:val="true"/>
        </w:rPr>
        <w:t xml:space="preserve"> פ</w:t>
      </w:r>
      <w:r>
        <w:rPr>
          <w:rtl w:val="true"/>
        </w:rPr>
        <w:t>"</w:t>
      </w:r>
      <w:r>
        <w:rPr>
          <w:rtl w:val="true"/>
        </w:rPr>
        <w:t>ד 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"</w:t>
      </w:r>
      <w:r>
        <w:rPr>
          <w:rtl w:val="true"/>
        </w:rPr>
        <w:t>נוגעים לרמה המוסרית של החברה כולה ולתחושת הלכידות והמחויבות של הפרטים החברים בה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;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; </w:t>
      </w:r>
      <w:r>
        <w:rPr>
          <w:rtl w:val="true"/>
        </w:rPr>
        <w:t>והערך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12-11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חברי סבור כי טובות ההנאה שהעניקו המערערים למהנדסות מזון בשירות המזון הארצי של משרד הבריאות הן </w:t>
      </w:r>
      <w:r>
        <w:rPr>
          <w:rtl w:val="true"/>
        </w:rPr>
        <w:t>"</w:t>
      </w:r>
      <w:r>
        <w:rPr>
          <w:rtl w:val="true"/>
        </w:rPr>
        <w:t>בסכומים נמוכים מאוד יחסית</w:t>
      </w:r>
      <w:r>
        <w:rPr>
          <w:rtl w:val="true"/>
        </w:rPr>
        <w:t xml:space="preserve">", </w:t>
      </w:r>
      <w:r>
        <w:rPr>
          <w:rtl w:val="true"/>
        </w:rPr>
        <w:t>ועל כן הפגיעה באינטרס הציבורי פחותה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 פי כתבי האישום המתוקנים</w:t>
      </w:r>
      <w:r>
        <w:rPr>
          <w:rtl w:val="true"/>
        </w:rPr>
        <w:t xml:space="preserve">, </w:t>
      </w:r>
      <w:r>
        <w:rPr>
          <w:rtl w:val="true"/>
        </w:rPr>
        <w:t>שני המערערים נתנו לשתי מהנדסות מזון בשירות הציבורי טובות הנאה בשווי של אלפי שקלים לכל אחת מהן</w:t>
      </w:r>
      <w:r>
        <w:rPr>
          <w:rtl w:val="true"/>
        </w:rPr>
        <w:t xml:space="preserve">, </w:t>
      </w:r>
      <w:r>
        <w:rPr>
          <w:rtl w:val="true"/>
        </w:rPr>
        <w:t>על פני מספר שנים</w:t>
      </w:r>
      <w:r>
        <w:rPr>
          <w:rtl w:val="true"/>
        </w:rPr>
        <w:t xml:space="preserve">, </w:t>
      </w:r>
      <w:r>
        <w:rPr>
          <w:rtl w:val="true"/>
        </w:rPr>
        <w:t xml:space="preserve">תוך שהציבו אותן במצב של </w:t>
      </w:r>
      <w:r>
        <w:rPr>
          <w:rtl w:val="true"/>
        </w:rPr>
        <w:t>"</w:t>
      </w:r>
      <w:r>
        <w:rPr>
          <w:rtl w:val="true"/>
        </w:rPr>
        <w:t>ניגוד עניינים מהותי</w:t>
      </w:r>
      <w:r>
        <w:rPr>
          <w:rtl w:val="true"/>
        </w:rPr>
        <w:t xml:space="preserve">". </w:t>
      </w:r>
      <w:r>
        <w:rPr>
          <w:rtl w:val="true"/>
        </w:rPr>
        <w:t>בתקופה הרלוונטית המשיכו המהנדסות להעניק למערערים שירות במסגרת תפקידן כמהנדסות מזון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לכרטיסי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המהנדסות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מהנדסת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שהתאפשר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לצורך ביטול הרשעה נדרש קיומם של שני תנאים מצטברים</w:t>
      </w:r>
      <w:r>
        <w:rPr>
          <w:rtl w:val="true"/>
        </w:rPr>
        <w:t xml:space="preserve">: </w:t>
      </w:r>
      <w:r>
        <w:rPr>
          <w:rtl w:val="true"/>
        </w:rPr>
        <w:t xml:space="preserve">כי הרשעה תפגע פגיעה </w:t>
      </w:r>
      <w:r>
        <w:rPr>
          <w:rtl w:val="true"/>
        </w:rPr>
        <w:t>"</w:t>
      </w:r>
      <w:r>
        <w:rPr>
          <w:rtl w:val="true"/>
        </w:rPr>
        <w:t>מוחשית וקונקרטית</w:t>
      </w:r>
      <w:r>
        <w:rPr>
          <w:rtl w:val="true"/>
        </w:rPr>
        <w:t xml:space="preserve">" </w:t>
      </w:r>
      <w:r>
        <w:rPr>
          <w:rtl w:val="true"/>
        </w:rPr>
        <w:t>בשיקום הנאשם</w:t>
      </w:r>
      <w:r>
        <w:rPr>
          <w:rtl w:val="true"/>
        </w:rPr>
        <w:t xml:space="preserve">; </w:t>
      </w:r>
      <w:r>
        <w:rPr>
          <w:rtl w:val="true"/>
        </w:rPr>
        <w:t xml:space="preserve">וכי הימנעות מהרשעה לא תפגע מהותית בשיקולי ענישה אחרים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מרככת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דעתי שונה</w:t>
      </w:r>
      <w:r>
        <w:rPr>
          <w:rtl w:val="true"/>
        </w:rPr>
        <w:t xml:space="preserve">. 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12.8.2021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במעשה הפרת אמונים גלומה</w:t>
      </w:r>
      <w:r>
        <w:rPr>
          <w:rtl w:val="true"/>
        </w:rPr>
        <w:t xml:space="preserve">, </w:t>
      </w:r>
      <w:r>
        <w:rPr>
          <w:rtl w:val="true"/>
        </w:rPr>
        <w:t>מעצם טיבו וטבעו</w:t>
      </w:r>
      <w:r>
        <w:rPr>
          <w:rtl w:val="true"/>
        </w:rPr>
        <w:t xml:space="preserve">, </w:t>
      </w:r>
      <w:r>
        <w:rPr>
          <w:rtl w:val="true"/>
        </w:rPr>
        <w:t>פגיעה בציבור</w:t>
      </w:r>
      <w:r>
        <w:rPr>
          <w:rtl w:val="true"/>
        </w:rPr>
        <w:t xml:space="preserve">, </w:t>
      </w:r>
      <w:r>
        <w:rPr>
          <w:rtl w:val="true"/>
        </w:rPr>
        <w:t>ותכליתה של העבירה היא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קידום הסוגיה החשובה של מאבק בשחיתות השלטונית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 סבור כי שיקולי הענישה וההרתעה הרחבים במקרה דנן</w:t>
      </w:r>
      <w:r>
        <w:rPr>
          <w:rtl w:val="true"/>
        </w:rPr>
        <w:t xml:space="preserve">, </w:t>
      </w:r>
      <w:r>
        <w:rPr>
          <w:rtl w:val="true"/>
        </w:rPr>
        <w:t>וכן הפגיעה באינטרס הציבורי</w:t>
      </w:r>
      <w:r>
        <w:rPr>
          <w:rtl w:val="true"/>
        </w:rPr>
        <w:t xml:space="preserve">, </w:t>
      </w:r>
      <w:r>
        <w:rPr>
          <w:rtl w:val="true"/>
        </w:rPr>
        <w:t>אינם תומכים באי הרשעה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יושפעו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מהרשעתם</w:t>
      </w:r>
      <w:r>
        <w:rPr>
          <w:rtl w:val="true"/>
        </w:rPr>
        <w:t xml:space="preserve">, </w:t>
      </w:r>
      <w:r>
        <w:rPr>
          <w:rtl w:val="true"/>
        </w:rPr>
        <w:t>כשמה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המינהליים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רוקחות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שיתקיים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דין שני הערעורים להידחות</w:t>
      </w:r>
      <w:r>
        <w:rPr>
          <w:rtl w:val="true"/>
        </w:rPr>
        <w:t>.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Fonts w:eastAsia="Garamond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 ו פ ט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ואוסיף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שהוברר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בחגים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ובפסח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300-200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מהנדסות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8447/20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הומאופתיים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שעלותם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שבהענקת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לחגים</w:t>
      </w:r>
      <w:r>
        <w:rPr>
          <w:rtl w:val="true"/>
        </w:rPr>
        <w:t xml:space="preserve">, </w:t>
      </w:r>
      <w:r>
        <w:rPr>
          <w:rtl w:val="true"/>
        </w:rPr>
        <w:t>והטיפולים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הומניטרי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; </w:t>
      </w:r>
      <w:r>
        <w:rPr>
          <w:rtl w:val="true"/>
        </w:rPr>
        <w:t>והכוונה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לשרשה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ובמה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ומטיעוניהם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מתכתבת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ויובהר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כהוויתן</w:t>
      </w:r>
      <w:r>
        <w:rPr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;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8169/20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;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        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 כי בנסיבות הייחודיות של המקרה</w:t>
      </w:r>
      <w:r>
        <w:rPr>
          <w:rtl w:val="true"/>
        </w:rPr>
        <w:t xml:space="preserve">, </w:t>
      </w:r>
      <w:r>
        <w:rPr>
          <w:rtl w:val="true"/>
        </w:rPr>
        <w:t>הנזק שעלול להיגרם לכל אחד מהמערערים מהותרת ההרשעה על כנה הוא קשה ועולה במידה ניכרת על הנזק שייגרם לאינטרנס הציבורי אם תבוטל ההרשעה</w:t>
      </w:r>
      <w:r>
        <w:rPr>
          <w:rtl w:val="true"/>
        </w:rPr>
        <w:t xml:space="preserve">. </w:t>
      </w:r>
      <w:r>
        <w:rPr>
          <w:rtl w:val="true"/>
        </w:rPr>
        <w:t xml:space="preserve">ויצוין שעל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 עונש של של</w:t>
      </w:r>
      <w:r>
        <w:rPr>
          <w:rtl w:val="true"/>
        </w:rPr>
        <w:t>"</w:t>
      </w:r>
      <w:r>
        <w:rPr>
          <w:rtl w:val="true"/>
        </w:rPr>
        <w:t xml:space="preserve">צ ועל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הוטל צו מבחן למשך שנה </w:t>
      </w:r>
      <w:r>
        <w:rPr>
          <w:rtl w:val="true"/>
        </w:rPr>
        <w:t>(</w:t>
      </w:r>
      <w:r>
        <w:rPr>
          <w:rtl w:val="true"/>
        </w:rPr>
        <w:t>משהוברר שבשל מצבו הרפואי אינו כשיר לבצע עבודות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). </w:t>
      </w: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מסכימה עם חברי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לנשיאה</w:t>
      </w:r>
      <w:r>
        <w:rPr>
          <w:rtl w:val="true"/>
        </w:rPr>
        <w:t xml:space="preserve"> שיש לבטל את ההרשעה של כל אחד משני המערערים</w:t>
      </w:r>
      <w:r>
        <w:rPr>
          <w:rtl w:val="true"/>
        </w:rPr>
        <w:t xml:space="preserve">. 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Fonts w:eastAsia="Garamond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 xml:space="preserve">ש ו פ ט ת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26.8.2021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20081690</w:t>
      </w:r>
      <w:r>
        <w:rPr>
          <w:sz w:val="16"/>
          <w:rtl w:val="true"/>
        </w:rPr>
        <w:t>_</w:t>
      </w:r>
      <w:r>
        <w:rPr>
          <w:sz w:val="16"/>
        </w:rPr>
        <w:t>Z05.docx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54678313-8169/20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8169/20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חיים שלום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i w:val="false"/>
        <w:shadow w:val="false"/>
        <w:u w:val="none"/>
        <w:b w:val="false"/>
        <w:kern w:val="0"/>
        <w:szCs w:val="22"/>
        <w:iCs w:val="false"/>
        <w:bCs w:val="false"/>
        <w:em w:val="none"/>
        <w:vanish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eastAsia="Calibri" w:cs="Miriam"/>
      <w:b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18"/>
      <w:sz w:val="18"/>
      <w:szCs w:val="22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eastAsia="Calibri" w:cs="Miriam"/>
      <w:b/>
      <w:sz w:val="28"/>
      <w:szCs w:val="24"/>
    </w:rPr>
  </w:style>
  <w:style w:type="character" w:styleId="Style13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1">
    <w:name w:val="סגנון1 תו"/>
    <w:qFormat/>
    <w:rPr>
      <w:rFonts w:ascii="Calibri" w:hAnsi="Calibri" w:eastAsia="Calibri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11">
    <w:name w:val="סגנון1"/>
    <w:basedOn w:val="Style14"/>
    <w:qFormat/>
    <w:pPr>
      <w:numPr>
        <w:ilvl w:val="0"/>
        <w:numId w:val="2"/>
      </w:numPr>
      <w:ind w:firstLine="720" w:start="0" w:end="0"/>
    </w:pPr>
    <w:rPr>
      <w:rFonts w:ascii="Calibri" w:hAnsi="Calibri" w:cs="Calibri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661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1a.b" TargetMode="External"/><Relationship Id="rId5" Type="http://schemas.openxmlformats.org/officeDocument/2006/relationships/hyperlink" Target="http://www.nevo.co.il/law/70301/71a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605692" TargetMode="External"/><Relationship Id="rId8" Type="http://schemas.openxmlformats.org/officeDocument/2006/relationships/hyperlink" Target="http://www.nevo.co.il/case/5810781" TargetMode="External"/><Relationship Id="rId9" Type="http://schemas.openxmlformats.org/officeDocument/2006/relationships/hyperlink" Target="http://www.nevo.co.il/case/24263082" TargetMode="External"/><Relationship Id="rId10" Type="http://schemas.openxmlformats.org/officeDocument/2006/relationships/hyperlink" Target="http://www.nevo.co.il/case/5699105" TargetMode="External"/><Relationship Id="rId11" Type="http://schemas.openxmlformats.org/officeDocument/2006/relationships/hyperlink" Target="http://www.nevo.co.il/case/5810781" TargetMode="External"/><Relationship Id="rId12" Type="http://schemas.openxmlformats.org/officeDocument/2006/relationships/hyperlink" Target="http://www.nevo.co.il/case/27525981" TargetMode="External"/><Relationship Id="rId13" Type="http://schemas.openxmlformats.org/officeDocument/2006/relationships/hyperlink" Target="https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2021-08-29T10:52:00Z</dcterms:created>
  <dc:creator>h4</dc:creator>
  <dc:description/>
  <cp:keywords/>
  <dc:language>en-IL</dc:language>
  <cp:lastModifiedBy>orly</cp:lastModifiedBy>
  <cp:lastPrinted>2021-08-26T09:02:00Z</cp:lastPrinted>
  <dcterms:modified xsi:type="dcterms:W3CDTF">2021-08-29T10:52:00Z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שלום;דביר גיורא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26066125;5605692;5810781:2;24263082;5699105;27525981</vt:lpwstr>
  </property>
  <property fmtid="{D5CDD505-2E9C-101B-9397-08002B2CF9AE}" pid="9" name="CITY">
    <vt:lpwstr/>
  </property>
  <property fmtid="{D5CDD505-2E9C-101B-9397-08002B2CF9AE}" pid="10" name="DATE">
    <vt:lpwstr>20210826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70301/071a.b</vt:lpwstr>
  </property>
  <property fmtid="{D5CDD505-2E9C-101B-9397-08002B2CF9AE}" pid="15" name="LAWYER">
    <vt:lpwstr>אלעד אשכנזי;טל פרג'ון;ליאור אחרק;בן ציון קבלר;יפית וייסבוך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הרשעה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465;1443</vt:lpwstr>
  </property>
  <property fmtid="{D5CDD505-2E9C-101B-9397-08002B2CF9AE}" pid="48" name="NOSE31">
    <vt:lpwstr>הימנעות מהרשעה</vt:lpwstr>
  </property>
  <property fmtid="{D5CDD505-2E9C-101B-9397-08002B2CF9AE}" pid="49" name="NOSE310">
    <vt:lpwstr/>
  </property>
  <property fmtid="{D5CDD505-2E9C-101B-9397-08002B2CF9AE}" pid="50" name="NOSE32">
    <vt:lpwstr>מירמה והפרת אמונים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3634;8848</vt:lpwstr>
  </property>
  <property fmtid="{D5CDD505-2E9C-101B-9397-08002B2CF9AE}" pid="59" name="PADIDATE">
    <vt:lpwstr>20210829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8169;8447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410120210826</vt:lpwstr>
  </property>
  <property fmtid="{D5CDD505-2E9C-101B-9397-08002B2CF9AE}" pid="69" name="TYPE_N_DATE">
    <vt:lpwstr>41020210826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