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atLeast"/>
        </w:trPr>
        <w:tc>
          <w:tcPr>
            <w:tcW w:w="8307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ascii="Tahoma" w:hAnsi="Tahoma" w:cs="Tahoma"/>
                <w:b/>
                <w:bCs/>
                <w:sz w:val="34"/>
                <w:szCs w:val="3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34"/>
                <w:sz w:val="34"/>
                <w:szCs w:val="30"/>
                <w:rtl w:val="true"/>
                <w:lang w:val="en-IL" w:eastAsia="en-IL"/>
              </w:rPr>
              <w:t>בבית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  <w:lang w:val="en-IL" w:eastAsia="en-IL"/>
        </w:rPr>
      </w:pPr>
      <w:r>
        <w:rPr>
          <w:rFonts w:cs="David" w:ascii="David" w:hAnsi="David"/>
          <w:sz w:val="26"/>
          <w:szCs w:val="26"/>
          <w:rtl w:val="true"/>
          <w:lang w:val="en-IL" w:eastAsia="en-IL"/>
        </w:rPr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rtl w:val="true"/>
          <w:lang w:val="en-IL" w:eastAsia="en-IL"/>
        </w:rPr>
        <w:t>ע</w:t>
      </w:r>
      <w:r>
        <w:rPr>
          <w:rFonts w:cs="David" w:ascii="David" w:hAnsi="David"/>
          <w:b/>
          <w:bCs/>
          <w:sz w:val="28"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sz w:val="28"/>
          <w:sz w:val="28"/>
          <w:rtl w:val="true"/>
          <w:lang w:val="en-IL" w:eastAsia="en-IL"/>
        </w:rPr>
        <w:t>פ</w:t>
      </w:r>
      <w:r>
        <w:rPr>
          <w:rFonts w:ascii="David" w:hAnsi="David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David" w:hAnsi="David"/>
          <w:b/>
          <w:bCs/>
          <w:sz w:val="28"/>
          <w:lang w:val="en-IL" w:eastAsia="en-IL"/>
        </w:rPr>
        <w:t>8175/22</w:t>
      </w:r>
      <w:r>
        <w:rPr>
          <w:rFonts w:cs="David" w:ascii="David" w:hAnsi="David"/>
          <w:b/>
          <w:bCs/>
          <w:sz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rtl w:val="true"/>
          <w:lang w:val="en-IL" w:eastAsia="en-IL"/>
        </w:rPr>
        <w:t>ע</w:t>
      </w:r>
      <w:r>
        <w:rPr>
          <w:rFonts w:cs="David" w:ascii="David" w:hAnsi="David"/>
          <w:b/>
          <w:bCs/>
          <w:sz w:val="28"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sz w:val="28"/>
          <w:sz w:val="28"/>
          <w:rtl w:val="true"/>
          <w:lang w:val="en-IL" w:eastAsia="en-IL"/>
        </w:rPr>
        <w:t>פ</w:t>
      </w:r>
      <w:r>
        <w:rPr>
          <w:rFonts w:ascii="David" w:hAnsi="David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David" w:hAnsi="David"/>
          <w:b/>
          <w:bCs/>
          <w:sz w:val="28"/>
          <w:lang w:val="en-IL" w:eastAsia="en-IL"/>
        </w:rPr>
        <w:t>8273/22</w:t>
      </w:r>
      <w:r>
        <w:rPr>
          <w:rtl w:val="true"/>
          <w:lang w:val="en-IL" w:eastAsia="en-IL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tbl>
      <w:tblPr>
        <w:bidiVisual w:val="true"/>
        <w:tblW w:w="84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00"/>
        <w:gridCol w:w="6"/>
        <w:gridCol w:w="5379"/>
      </w:tblGrid>
      <w:tr>
        <w:trPr>
          <w:trHeight w:val="295" w:hRule="atLeast"/>
        </w:trPr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לפני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כבוד השופט יוסף אלרון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כבוד השופט חאלד כבוב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כבוד השופט יחיאל כשר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המערער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8175/22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והמשיב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8273/22</w:t>
            </w:r>
            <w:r>
              <w:rPr>
                <w:rFonts w:cs="David" w:ascii="David" w:hAnsi="David"/>
                <w:sz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rtl w:val="true"/>
              </w:rPr>
              <w:t>נאדר דאעגלה</w:t>
            </w:r>
          </w:p>
        </w:tc>
      </w:tr>
      <w:tr>
        <w:trPr/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both"/>
              <w:rPr>
                <w:rFonts w:ascii="David" w:hAnsi="David" w:cs="David"/>
                <w:spacing w:val="40"/>
                <w:sz w:val="28"/>
              </w:rPr>
            </w:pPr>
            <w:r>
              <w:rPr>
                <w:rFonts w:eastAsia="David" w:cs="David" w:ascii="David" w:hAnsi="David"/>
                <w:spacing w:val="40"/>
                <w:sz w:val="28"/>
                <w:rtl w:val="true"/>
              </w:rPr>
              <w:t xml:space="preserve">      </w:t>
            </w:r>
            <w:r>
              <w:rPr>
                <w:rFonts w:ascii="David" w:hAnsi="David"/>
                <w:spacing w:val="40"/>
                <w:sz w:val="28"/>
                <w:sz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pacing w:val="40"/>
                <w:sz w:val="28"/>
              </w:rPr>
            </w:pPr>
            <w:r>
              <w:rPr>
                <w:rFonts w:cs="David" w:ascii="David" w:hAnsi="David"/>
                <w:spacing w:val="40"/>
                <w:sz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המשיבה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8175/22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והמערערת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8273/22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rtl w:val="true"/>
              </w:rPr>
              <w:t>מדינת ישראל</w:t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Miriam" w:hAnsi="Miriam" w:cs="Miriam"/>
                <w:sz w:val="28"/>
              </w:rPr>
            </w:pPr>
            <w:r>
              <w:rPr>
                <w:rFonts w:cs="Miriam" w:ascii="Miriam" w:hAnsi="Miriam"/>
                <w:sz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David" w:hAnsi="David"/>
                <w:rtl w:val="true"/>
              </w:rPr>
              <w:t xml:space="preserve">ערעורים על גזר דינו של בית המשפט המחוזי בחיפה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השופט הבכיר א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טובי</w:t>
            </w:r>
            <w:r>
              <w:rPr>
                <w:rFonts w:cs="David" w:ascii="David" w:hAnsi="David"/>
                <w:rtl w:val="true"/>
              </w:rPr>
              <w:t xml:space="preserve">),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59617-11-21</w:t>
              </w:r>
            </w:hyperlink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cs="David" w:ascii="David" w:hAnsi="David"/>
                <w:rtl w:val="true"/>
              </w:rPr>
              <w:t>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18.10.2022</w:t>
            </w:r>
            <w:r>
              <w:rPr>
                <w:rFonts w:cs="David" w:ascii="David" w:hAnsi="David"/>
                <w:rtl w:val="true"/>
              </w:rPr>
              <w:t>.</w:t>
            </w:r>
            <w:r>
              <w:rPr>
                <w:rFonts w:cs="Miriam" w:ascii="Miriam" w:hAnsi="Miriam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3100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בשם המערער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8175/22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והמשיב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8273/22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עו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ד מיכל קורן לוין </w:t>
            </w:r>
          </w:p>
        </w:tc>
      </w:tr>
      <w:tr>
        <w:trPr/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</w:r>
          </w:p>
        </w:tc>
      </w:tr>
      <w:tr>
        <w:trPr/>
        <w:tc>
          <w:tcPr>
            <w:tcW w:w="3100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בשם המשיבה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8175/22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והמערערת ב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-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פ </w:t>
            </w:r>
            <w:r>
              <w:rPr>
                <w:rFonts w:cs="David" w:ascii="David" w:hAnsi="David"/>
                <w:sz w:val="28"/>
                <w:lang w:val="en-IL" w:eastAsia="en-IL"/>
              </w:rPr>
              <w:t>8273/22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sz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>עו</w:t>
            </w:r>
            <w:r>
              <w:rPr>
                <w:rFonts w:cs="David" w:ascii="David" w:hAnsi="David"/>
                <w:sz w:val="28"/>
                <w:rtl w:val="true"/>
                <w:lang w:val="en-IL" w:eastAsia="en-IL"/>
              </w:rPr>
              <w:t>"</w:t>
            </w:r>
            <w:r>
              <w:rPr>
                <w:rFonts w:ascii="David" w:hAnsi="David"/>
                <w:sz w:val="28"/>
                <w:sz w:val="28"/>
                <w:rtl w:val="true"/>
                <w:lang w:val="en-IL" w:eastAsia="en-IL"/>
              </w:rPr>
              <w:t xml:space="preserve">ד מוחמד סראחנה </w:t>
            </w:r>
          </w:p>
        </w:tc>
      </w:tr>
    </w:tbl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IL" w:eastAsia="en-IL"/>
        </w:rPr>
      </w:pPr>
      <w:r>
        <w:rPr>
          <w:rFonts w:cs="FrankRuehl" w:ascii="FrankRuehl" w:hAnsi="FrankRuehl"/>
          <w:rtl w:val="true"/>
          <w:lang w:val="en-IL" w:eastAsia="en-IL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IL" w:eastAsia="en-IL"/>
        </w:rPr>
      </w:pPr>
      <w:r>
        <w:rPr>
          <w:rFonts w:ascii="FrankRuehl" w:hAnsi="FrankRuehl" w:cs="FrankRuehl"/>
          <w:rtl w:val="true"/>
          <w:lang w:val="en-IL" w:eastAsia="en-IL"/>
        </w:rPr>
        <w:t>חקיקה שאוזכרה</w:t>
      </w:r>
      <w:r>
        <w:rPr>
          <w:rFonts w:cs="FrankRuehl" w:ascii="FrankRuehl" w:hAnsi="FrankRuehl"/>
          <w:rtl w:val="true"/>
          <w:lang w:val="en-IL" w:eastAsia="en-IL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: 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סע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א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ב</w:t>
      </w:r>
      <w:r>
        <w:rPr>
          <w:rFonts w:cs="FrankRuehl" w:ascii="FrankRuehl" w:hAnsi="FrankRuehl"/>
          <w:color w:val="0000FF"/>
          <w:lang w:val="en-IL" w:eastAsia="en-IL"/>
        </w:rPr>
        <w:t>2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ג</w:t>
      </w:r>
      <w:r>
        <w:rPr>
          <w:rFonts w:cs="FrankRuehl" w:ascii="FrankRuehl" w:hAnsi="FrankRuehl"/>
          <w:color w:val="0000FF"/>
          <w:lang w:val="en-IL" w:eastAsia="en-IL"/>
        </w:rPr>
        <w:t>1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ז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א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  <w:lang w:val="en-IL" w:eastAsia="en-IL"/>
        </w:rPr>
      </w:pPr>
      <w:r>
        <w:rPr>
          <w:rFonts w:cs="David" w:ascii="David" w:hAnsi="David"/>
          <w:color w:val="0000FF"/>
          <w:rtl w:val="true"/>
          <w:lang w:val="en-IL" w:eastAsia="en-IL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_Hlk175660111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בשורה של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פרשייה רחבת היקף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שהושת עליו חורג לקולה ויש להחמירו כך שעונש המאסר בפועל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חלף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עונשין – ענישה – תסקיר שירות מבחן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פרשייה רחבת היקף הצליחה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הפעלת סוכן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 מספר כתבי אישום נגד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 מעורבותם בעסקאות סחר בנשק ועבירות נשק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רקע זה הורשע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הודאתו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בארבע עבירות סחר בנשק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בעבירה אחת של החזקת נשק ובעבירה של סיוע לעבירות בנשק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 עליו עונש 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בתוספת הפעלת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שהוטלו עליו כמאסר מותנה בעבר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וקנס בסך </w:t>
      </w:r>
      <w:r>
        <w:rPr>
          <w:rFonts w:cs="Times New Roman" w:ascii="Times New Roman" w:hAnsi="Times New Roman"/>
          <w:spacing w:val="0"/>
          <w:sz w:val="24"/>
          <w:szCs w:val="26"/>
        </w:rPr>
        <w:t>60,000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נאדר מערער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 מערערת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ערעור המשיבה ודחה את ערעור נאדר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של ערעור ייטה שלא להתערב בעונש שהושת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 אלא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הינו אחד מאותם מקרים יוצאי דופן 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 משנמצא כי בנסיבות דנן העונש שהושת על נאדר חורג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טענתו הראשונה של נאדר הינה כי היה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לקבוע מתחמי ענישה נפרדים לעבירות בהן הורשע בגין אישום הראשון ובגין האישום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ולעבירות בהן הורשע בגין האישום השלישי ובגין האישום הרביעי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דין טענה זו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השלב הראשון בגזירת הדין בגין ביצוע מספר עבירות הוא בחינה אם עבירות אלה מהוות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כמה 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שאז ייקבעו מתחמי ענישה נפרדים לכל אחד מאירועים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 האם מדובר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שאז ייקבע מתחם ענישה כולל לכל העבירות שבאירוע האחד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הבחנה בין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כמה 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נעשית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הקשר ההדוק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הנדון מצא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יישום המבחנים שנקבעו בפסיקה לעניין זה מוביל למסקנה כי מדובר באירוע עברייני אחד בגינו יש לקבוע מתחם ענישה אחד 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באותן עבירות שנעשו מול אותו סוכן משטרתי בהפרש זמנים לא רב האחד מהשני ובהם היו מעורבים אותם נאשמים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סיווגן של שלל העסקאות כאירועים נפרדים ונבדלים תהא מלאכותית ותתעלם מהקשר הענייני ההדוק המתקיים ביניהן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ציין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גם אם נניח לטובת נאדר כי הנשקים מושא האישומים השלישי והרביעי לא יצאו מידיו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להקהות מחומרת מעשיו ומחלקו הדומיננטי אף באותן עסקאות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לדברים אלו אין אלא להסכים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טענה נוספת שהעלה נאדר הינה כי שגה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עת דחה את בקשתו כי ייערך תסקיר שירות המבחן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לא ניתן משקל מספק לנסיבותיו האישיות בגזר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דינה של טענה זו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לנאשם שמלאו לו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זכות קנויה כי ייערך תסקיר שירות המבחן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מחויב להורות על קבלת תסקיר כאמור בטרם יגזור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ההחלטה האם להפנות את הנאשם לקבלת תסקיר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מסורה אפוא לשק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דחה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בקשתו של נאדר כי ייערך בעניינו תסקיר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שציין כי עברו הפלילי עומד לו לרועץ וכי את טענותיו בעניין נסיבותיו האישיות יוכל בא כוחו להעלות בטיעונים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ציין כי נוכח חומרת העבירות בהן הואשם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צפוי נאדר לרצות עונש מאסר בפועל וככל שיבחר לעבור הליך 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יוכל לעשות כן בין כותלי 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נימוקיה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נראית נכונה ולא נמצא מקום להתערב בה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לטענתו של נאדר לפיה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לא נתן משקל מספק לנסיבותיו האישיות בקביעת עונשו בתוך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זו נוגעת ללב המחלוקת בין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 – האם חרג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לקולה או לחומרה בקביעת מתחם הענישה וגזירת עונשו של נאדר בתוכו –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בשנים האחרונות 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הצורך לנקוט בגישה מחמירה בכל הנוגע לעבירות נשק מהסוג בהן הורשע נאדר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בטיפול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בעבירות מסוג זה ובמבצעיהן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להרתעת היחיד והרבים ולהרחקת עברייני הנשק מהחברה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השמתם בין כותלי הכלא לתקופות ממושכות יש מעמד בכורה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לאחרונה אף המחוקק אמר דברו בעניין מדיניות הענישה הראויה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עת שחוקק את </w:t>
      </w:r>
      <w:hyperlink r:id="rId11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144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ז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תיקון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Cs w:val="26"/>
        </w:rPr>
        <w:t>140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הוראת 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הקובע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מינימום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 טעמים מיוחדים שיירשמו להקל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אמנם תיקון </w:t>
      </w:r>
      <w:r>
        <w:rPr>
          <w:rFonts w:cs="Times New Roman" w:ascii="Times New Roman" w:hAnsi="Times New Roman"/>
          <w:spacing w:val="0"/>
          <w:szCs w:val="26"/>
        </w:rPr>
        <w:t>140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חל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יש בחקיקתו כדי לשקף את רצון המחוקק להחמיר בענישת עברייני הנשק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רקע מגמה זו של החמרה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לעונשים שנגזרו במקרים בהם נעברו עבירות דומות בנסיבות קרובות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נראה כי קביעת מתחם ענישה העומד על </w:t>
      </w:r>
      <w:r>
        <w:rPr>
          <w:rFonts w:cs="Times New Roman" w:ascii="Times New Roman" w:hAnsi="Times New Roman"/>
          <w:spacing w:val="0"/>
          <w:szCs w:val="26"/>
        </w:rPr>
        <w:t>10-7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מחמיר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שציינה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ריבוי העבירות בהן הורשע נאדר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זמינותו הרבה לכלי נשק שונים המשתקפת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 של נאדר גורם מרכזי ודומיננטי בכל אחת מהעסקאות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והתוצאות הקטלניות שיכולות לנבוע מהשימוש בכלי הנשק שנמכרו – מתחם הענישה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אף מצוי על הצד המקל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נראה כי גם בקביעת העונש בתוך המתחם הקל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עם נאדר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לכך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הציב את מתחם הענישה בעניינו של נאדר כעומד על בין </w:t>
      </w:r>
      <w:r>
        <w:rPr>
          <w:rFonts w:cs="Times New Roman" w:ascii="Times New Roman" w:hAnsi="Times New Roman"/>
          <w:spacing w:val="0"/>
          <w:szCs w:val="26"/>
        </w:rPr>
        <w:t>10-7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גזירת עונש של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להן התווספה שנת מאסר נוספת כתוצאה מהפעלת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מציבה את עונשו של נאדר בחציו התחתון של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לנאדר עבר פלילי מכביד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כשאת העבירות דנן ביצע כשהוא אסיר ברישיון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בנסיבות אישיות חריגות בחומרתן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בהן כדי ללמד כי לא היה די בעונשים שהושתו על נאדר בעבר כדי להרתיעו ממעורבות פלילית 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וממעורבות בעבירות נשק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היה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להציב את עונשו של נאדר בחציו העליון של מתחם הענישה שנקבע על ידו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לטענת נאדר כי נסיבותיו המשפחתיות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ובייחוד מותו הפתאומי של בנו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בהן כדי להצדיק 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משפחתיות קשות עשויות להוות שיקול בעל משמעות בעת קביעת עונשו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מדובר בעבריין סדרתי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שאמנם טוען כי גמר אומר לצאת ממעגל העבריינות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משקל 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קלוש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ב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וש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ר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19404-01-19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הליך בו ביקשה המשיבה להפקיע את רישיון האסיר של נאדר בקשר להרשעה קודמת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טען נאדר כי בעקבות רציחת בנו הוא לוקח אחריות על מעשיו ומבין את חומרת מצבו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ועדת השחרורים קבעה כי אין להסתמך על הצהרתו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משהוצגו בפניה מידעים מודיעיניים לפיהם הוא המשיך לעסוק בפלילים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לאחר אזהרות ועדת השחרורים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פגם בכך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נתן משקל מועט להצהרת נאדר לפיה החליט לצאת ממעגל העבריינות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לא נעלמה מעיני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טענת נאדר כי משום שעם הרשעתו הפקיעה ועדת השחרורים את הרישיון שניתן לו להתהלך חופשי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להשקיף על העונש שנגזר עליו כעונש מאסר למשך </w:t>
      </w:r>
      <w:r>
        <w:rPr>
          <w:rFonts w:cs="Times New Roman" w:ascii="Times New Roman" w:hAnsi="Times New Roman"/>
          <w:spacing w:val="0"/>
          <w:szCs w:val="26"/>
        </w:rPr>
        <w:t>10.5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בשונה מההחלטה בעניין הפעלת המאסר על תנאי שהוטל עליו 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21657-12-15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המהווה חלק מגזר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ההחלטה בעניין הפקעת מלוא תקופת התנאי שהוקנתה נאדר 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וש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ר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19404-01-19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ניתנה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ועדת השחרורים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 מתן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למען הסר 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שנאדר ביצע שורת עבירות חמורות בהיותו אסיר ברישיון לא היה בה כדי להקל עמו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להיפך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חרג באופן קיצוני לקולה בעת שגזר את עונשו של נאדר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נמצא להורות עונשו של נאדר יועמד על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יתרת רכיבי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לעניין הפעלת המאסר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יוותרו על מכונם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bookmarkEnd w:id="8"/>
    </w:p>
    <w:p>
      <w:pPr>
        <w:pStyle w:val="Normal"/>
        <w:suppressLineNumbers/>
        <w:ind w:end="0"/>
        <w:jc w:val="start"/>
        <w:rPr>
          <w:rFonts w:ascii="David" w:hAnsi="David" w:cs="David"/>
          <w:spacing w:val="0"/>
          <w:szCs w:val="26"/>
          <w:lang w:val="en-IL" w:eastAsia="en-IL"/>
        </w:rPr>
      </w:pPr>
      <w:r>
        <w:rPr>
          <w:rFonts w:cs="David" w:ascii="David" w:hAnsi="David"/>
          <w:spacing w:val="0"/>
          <w:szCs w:val="26"/>
          <w:rtl w:val="true"/>
          <w:lang w:val="en-IL" w:eastAsia="en-IL"/>
        </w:rPr>
      </w:r>
      <w:bookmarkStart w:id="9" w:name="ABSTRACT_END"/>
      <w:bookmarkStart w:id="10" w:name="ABSTRACT_END"/>
      <w:bookmarkEnd w:id="10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Cs/>
                <w:spacing w:val="40"/>
                <w:sz w:val="28"/>
                <w:u w:val="single"/>
              </w:rPr>
            </w:pPr>
            <w:bookmarkStart w:id="11" w:name="PsakDin"/>
            <w:bookmarkEnd w:id="11"/>
            <w:r>
              <w:rPr>
                <w:rFonts w:ascii="David" w:hAnsi="David"/>
                <w:bCs/>
                <w:spacing w:val="40"/>
                <w:sz w:val="28"/>
                <w:sz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Cs/>
                <w:spacing w:val="40"/>
                <w:sz w:val="28"/>
                <w:u w:val="single"/>
                <w:rtl w:val="true"/>
              </w:rPr>
              <w:t>-</w:t>
            </w:r>
            <w:r>
              <w:rPr>
                <w:rFonts w:ascii="David" w:hAnsi="David"/>
                <w:bCs/>
                <w:spacing w:val="40"/>
                <w:sz w:val="28"/>
                <w:sz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u w:val="single"/>
              </w:rPr>
            </w:r>
            <w:bookmarkStart w:id="12" w:name="PsakDin"/>
            <w:bookmarkStart w:id="13" w:name="PsakDin"/>
            <w:bookmarkEnd w:id="13"/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יחיאל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8175/22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8273/22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נאדר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בעבירה אחת של החזקת נשק לפי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בעבירה של סיוע לעבירות בנשק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החזקה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לפי </w:t>
      </w:r>
      <w:hyperlink r:id="rId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22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18.10.2022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ניתן גזר דינו של בית המשפט המחוזי בחיפה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הבכיר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59617-11-21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במסגרתו הושת על נאדר עונש מאסר בפועל למשך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בתוספת הפעלת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שהוטלו עליו כמאסר מותנה בעבר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במצטבר</w:t>
      </w:r>
      <w:r>
        <w:rPr>
          <w:rFonts w:cs="Century" w:ascii="Century" w:hAnsi="Century"/>
          <w:rtl w:val="true"/>
        </w:rPr>
        <w:t xml:space="preserve">),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כמפורט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וקנס בסך של 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או שלושה חודשי מאסר תמורתו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לפנינו ערעורים על גזר הדין – ערעורו של נאדר על חומרת העונש 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וערעורה של המשיבה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המערערת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</w:t>
      </w:r>
      <w:r>
        <w:rPr>
          <w:rFonts w:cs="Century" w:ascii="Century" w:hAnsi="Century"/>
        </w:rPr>
        <w:t>8273/22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קולת העונש מזה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למען שלמות התמונה יצוין כי יחד עם ערעורו של נאדר וערעור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נשמעו בפנינו גם ערעורים של שני מעורבים נוספים בעסקאות הנשק בגינן הורשע נאדר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ואשר גזר דינו של בית המשפט המחוזי ניתן ביחס לשלושתם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בתום הדיון ובהתאם להמלצתנו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בהם המערערים הנוספים מערעוריהם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והם נדחו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8215/22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11.3.2024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במסגרת פרשייה רחבת היקף</w:t>
      </w:r>
      <w:r>
        <w:rPr>
          <w:rtl w:val="true"/>
        </w:rPr>
        <w:t xml:space="preserve">, </w:t>
      </w:r>
      <w:r>
        <w:rPr>
          <w:rtl w:val="true"/>
        </w:rPr>
        <w:t>הצליחה המשיבה</w:t>
      </w:r>
      <w:r>
        <w:rPr>
          <w:rtl w:val="true"/>
        </w:rPr>
        <w:t xml:space="preserve">, </w:t>
      </w:r>
      <w:r>
        <w:rPr>
          <w:rtl w:val="true"/>
        </w:rPr>
        <w:t>על ידי הפעלת סוכן</w:t>
      </w:r>
      <w:r>
        <w:rPr>
          <w:rtl w:val="true"/>
        </w:rPr>
        <w:t xml:space="preserve">, </w:t>
      </w:r>
      <w:r>
        <w:rPr>
          <w:rtl w:val="true"/>
        </w:rPr>
        <w:t>להגיש מספר כתבי אישום נגד 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עקב מעורבותם בעסקאות סחר בנשק ועבירות נשק נוספות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13.7.2022</w:t>
      </w:r>
      <w:r>
        <w:rPr>
          <w:rtl w:val="true"/>
        </w:rPr>
        <w:t xml:space="preserve"> </w:t>
      </w:r>
      <w:r>
        <w:rPr>
          <w:rtl w:val="true"/>
        </w:rPr>
        <w:t>הורשע נאדר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בארבעה אישומים שנכללו בכתב אישום מתוקן שהוגש כנגדו</w:t>
      </w:r>
      <w:r>
        <w:rPr>
          <w:rtl w:val="true"/>
        </w:rPr>
        <w:t xml:space="preserve">, </w:t>
      </w:r>
      <w:r>
        <w:rPr>
          <w:rtl w:val="true"/>
        </w:rPr>
        <w:t>שאלו פרטיהם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שהינו האישום השני בכתב האישום המתוקן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16.7.2021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פנה הסוכן המשטרתי אל אדם בשם אמיר סידאווי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לבקשת הסוכן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אמיר התקשר לנאדר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הזמין את אמיר ואת הסוכן לביתו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אמיר והסוכן נסעו לביתו של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שם מסר נאדר לסוכן את מספר הטלפון הנייד שלו והשניים סיכמו להיפגש לאחר חג הקורבן לצורך ביצוע עסקת נשק במסגרתה ימכור נאדר לסוכן נשק מסוג </w:t>
      </w:r>
      <w:r>
        <w:rPr>
          <w:rFonts w:cs="Century" w:ascii="Century" w:hAnsi="Century"/>
          <w:sz w:val="22"/>
        </w:rPr>
        <w:t>M16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3.8.2021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שוחחו הסוכן ונאדר וסיכמו כי הסוכן יגיע לביתו של נאדר ביום </w:t>
      </w:r>
      <w:r>
        <w:rPr>
          <w:rFonts w:cs="Century" w:ascii="Century" w:hAnsi="Century"/>
          <w:sz w:val="22"/>
        </w:rPr>
        <w:t>6.8.2021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לצורך רכישת נשק מסוג </w:t>
      </w:r>
      <w:r>
        <w:rPr>
          <w:rFonts w:cs="Century" w:ascii="Century" w:hAnsi="Century"/>
          <w:sz w:val="22"/>
        </w:rPr>
        <w:t>M16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6.8.2021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הגיע הסוכן ברכבו לביתו של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והשניים נסעו יחד לביתו של אחד הנאשמים הנוספים שהואשמו יחד עם נאדר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פארס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גאסי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אבו נאב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פארס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בכפר 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ראם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בהגיעם לשם נפגשו הסוכן ונאדר עם פארס ואדם אחר שזהותו אינה ידועה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אותו אחר יצא מביתו של פארס ורכב על קטנוע למקום שאינו 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ממנו שב לאחר מספר דקות כשהוא מחזיק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נושא ומוביל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בתוך שקית ניילון שחורה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רובה </w:t>
      </w:r>
      <w:r>
        <w:rPr>
          <w:rFonts w:cs="Century" w:ascii="Century" w:hAnsi="Century"/>
          <w:sz w:val="22"/>
        </w:rPr>
        <w:t>M16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שהיה מפורק לשני חלקים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ומחסנית תואמת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שהשקית נמסרה לסוכן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הסוכן הוציא את חלקי הנשק מהשקית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הרכיב אותו ודרך אותו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בשלב זה אמר נאדר לסוכן כי מחיר הנשק הוא </w:t>
      </w:r>
      <w:r>
        <w:rPr>
          <w:rFonts w:cs="Century" w:ascii="Century" w:hAnsi="Century"/>
          <w:sz w:val="22"/>
        </w:rPr>
        <w:t>85,000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והסוכן ניגש לרכב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הוציא את הסכום האמור במזומן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ומסר אותו לידיו של נאדר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נאדר הציע לסוכן לבדוק את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הכניס למחסנית הנשק שלושה כדורים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וירה מפתח הבית את שלושת הכדורים לאוויר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הירי פירק פארס את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ומסר אותו ואת המחסנית לידי הסוכן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יצא מהבית והכניס את הנשק והמחסנית לתא המטען של הרכב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בגין עסקה זו הואשם נאדר בעבירה של סחר בנשק שלא כדין ובסיוע לעבירת החזקה בנשק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שהינו האישום השלישי בכתב האישום המתוקן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אגב אירועי האישום הראשון דלעיל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הציע נאדר לסוכן כי ימכור לו כלי נשק נוסף מסוג </w:t>
      </w:r>
      <w:r>
        <w:rPr>
          <w:rFonts w:cs="Century" w:ascii="Century" w:hAnsi="Century"/>
          <w:sz w:val="22"/>
        </w:rPr>
        <w:t>M16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עסקה זו לא יצאה אל הפועל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מאחר שהסוכן ביקש לרכוש נשק מסוג 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M16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מקוצר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ונשק מסוג זה לא היה זמין לנאדר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חלף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11.8.2021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מכר נאדר לסוכן רובה סער מסוג </w:t>
      </w:r>
      <w:r>
        <w:rPr>
          <w:rFonts w:cs="Century" w:ascii="Century" w:hAnsi="Century"/>
          <w:sz w:val="22"/>
        </w:rPr>
        <w:t>FN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מתוצרת בלגיה יחד עם מחסנית ותחמושת מתאימים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בתמורה לנשק זה ולאמצעים הנלווים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קיבל לידיו נאדר תשלום בסך </w:t>
      </w:r>
      <w:r>
        <w:rPr>
          <w:rFonts w:cs="Century" w:ascii="Century" w:hAnsi="Century"/>
          <w:sz w:val="22"/>
        </w:rPr>
        <w:t>80,000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ומסר לידי הסוכן את הנשק האמור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בגין עסקה זו הואשם נאדר בעבירה של סחר בנשק שלא כדין ובעבירת החזקה בנשק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שהינו האישום הרביעי בכתב האישום המתוקן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אגב אירועי האישום הראשון והאישום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נאדר הציע לסוכן כי ימכור לו נשק 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מסוג </w:t>
      </w:r>
      <w:r>
        <w:rPr>
          <w:rFonts w:cs="Century" w:ascii="Century" w:hAnsi="Century"/>
          <w:sz w:val="22"/>
        </w:rPr>
        <w:t>M16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מקוצר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בתמורה לסכום של </w:t>
      </w:r>
      <w:r>
        <w:rPr>
          <w:rFonts w:cs="Century" w:ascii="Century" w:hAnsi="Century"/>
          <w:sz w:val="22"/>
        </w:rPr>
        <w:t>90,000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נאדר יצר קשר עם הסוכן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11.8.2021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ואמר לסוכן שיספק לו כלי נשק כאמור באמצעות אחר שיפעל כשליחו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13.8.2021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יצאה העסקה לפועל באמצעות השליח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סיפק לסוכן רובה מסוג </w:t>
      </w:r>
      <w:r>
        <w:rPr>
          <w:rFonts w:cs="Century" w:ascii="Century" w:hAnsi="Century"/>
          <w:sz w:val="22"/>
        </w:rPr>
        <w:t>M16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בתוספת מחסנית מתאימה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בתמורה לכך העביר הסוכן סכום של </w:t>
      </w:r>
      <w:r>
        <w:rPr>
          <w:rFonts w:cs="Century" w:ascii="Century" w:hAnsi="Century"/>
          <w:sz w:val="22"/>
        </w:rPr>
        <w:t>89,500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לשליח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למחרת התקשר נאדר לסוכן בטענה כי חסר סכום של </w:t>
      </w:r>
      <w:r>
        <w:rPr>
          <w:rFonts w:cs="Century" w:ascii="Century" w:hAnsi="Century"/>
          <w:sz w:val="22"/>
        </w:rPr>
        <w:t>500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בתשלום שהועבר על ידו לשליח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והסוכן השיב שישלים את הסכום החסר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שאכן עשה במועד מאוחר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כן באמצעות שליח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בגין עסקה זו הואשם נאדר בעבירה של סחר בנשק שלא כדין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שהינו האישום החמישי בכתב האישום המתוקן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בתאריך </w:t>
      </w:r>
      <w:r>
        <w:rPr>
          <w:rFonts w:cs="Century" w:ascii="Century" w:hAnsi="Century"/>
          <w:sz w:val="22"/>
        </w:rPr>
        <w:t>17.8.2021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פנה נאדר לסוכן באמצעות יישומון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טלגרם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ואמר לו כי ברשותו נשק מסוג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תבור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למכירה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השניים סיכמו כי הסוכן ירכוש את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יועבר אליו באמצעות שליח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בתאריך </w:t>
      </w:r>
      <w:r>
        <w:rPr>
          <w:rFonts w:cs="Century" w:ascii="Century" w:hAnsi="Century"/>
          <w:sz w:val="22"/>
        </w:rPr>
        <w:t>20.8.2021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סיפק שליחו של נאדר לסוכן נשק מסוג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תבור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יחד עם מחסנית מתאימה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בתמורה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העביר הסוכן לשליח סך של </w:t>
      </w:r>
      <w:r>
        <w:rPr>
          <w:rFonts w:cs="Century" w:ascii="Century" w:hAnsi="Century"/>
          <w:sz w:val="22"/>
        </w:rPr>
        <w:t>130,000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ח וכן סך של </w:t>
      </w:r>
      <w:r>
        <w:rPr>
          <w:rFonts w:cs="Century" w:ascii="Century" w:hAnsi="Century"/>
          <w:sz w:val="22"/>
        </w:rPr>
        <w:t>500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להשלמת התשלום בעסקה נשוא האישום השלישי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בגין עסקה זו הואשם נאדר בעבירת סחר בנשק שלא כדין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13.7.2022</w:t>
      </w:r>
      <w:r>
        <w:rPr>
          <w:rtl w:val="true"/>
        </w:rPr>
        <w:t xml:space="preserve"> </w:t>
      </w:r>
      <w:r>
        <w:rPr>
          <w:rtl w:val="true"/>
        </w:rPr>
        <w:t>הורשע נאדר</w:t>
      </w:r>
      <w:r>
        <w:rPr>
          <w:rtl w:val="true"/>
        </w:rPr>
        <w:t xml:space="preserve">, </w:t>
      </w:r>
      <w:r>
        <w:rPr>
          <w:rtl w:val="true"/>
        </w:rPr>
        <w:t>לצד נאשמים נוספים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באישומים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. </w:t>
      </w:r>
      <w:r>
        <w:rPr>
          <w:rtl w:val="true"/>
        </w:rPr>
        <w:t>הסדר הטיעון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והוסכם כי לעניין זה יטען כל צד את טענותיו באופן חופשי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בהסדר הטיעון הוסכם כי לגבי העסקאות מושא האישום השלישי והאישום הרביעי </w:t>
      </w:r>
      <w:r>
        <w:rPr>
          <w:rtl w:val="true"/>
        </w:rPr>
        <w:t>(</w:t>
      </w:r>
      <w:r>
        <w:rPr>
          <w:rtl w:val="true"/>
        </w:rPr>
        <w:t>האישומים הרביעי והחמישי בכתב האישום המתוקן</w:t>
      </w:r>
      <w:r>
        <w:rPr>
          <w:rtl w:val="true"/>
        </w:rPr>
        <w:t xml:space="preserve">), </w:t>
      </w:r>
      <w:r>
        <w:rPr>
          <w:rtl w:val="true"/>
        </w:rPr>
        <w:t>תוכל באת כוחו של נאדר לטעון כי הנשק לא יצא מידיו של נאדר</w:t>
      </w:r>
      <w:r>
        <w:rPr>
          <w:rtl w:val="true"/>
        </w:rPr>
        <w:t xml:space="preserve">, </w:t>
      </w:r>
      <w:r>
        <w:rPr>
          <w:rtl w:val="true"/>
        </w:rPr>
        <w:t>והמשיבה לא תטען כי בידיה לסתור טענה זו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הוסכם כי באת כוחו של נאדר תהא רשאית להוסיף את אמירותיו של נאדר בפני הסוכן על כך שאין לו רווח מעסקאות הנשק מושא האישומים השלישי והרביעי דלעיל </w:t>
      </w:r>
      <w:r>
        <w:rPr>
          <w:rtl w:val="true"/>
        </w:rPr>
        <w:t>(</w:t>
      </w:r>
      <w:r>
        <w:rPr>
          <w:rtl w:val="true"/>
        </w:rPr>
        <w:t>הרביעי והחמישי בכתב האישום המתוקן</w:t>
      </w:r>
      <w:r>
        <w:rPr>
          <w:rtl w:val="true"/>
        </w:rPr>
        <w:t xml:space="preserve">), </w:t>
      </w:r>
      <w:r>
        <w:rPr>
          <w:rtl w:val="true"/>
        </w:rPr>
        <w:t>ואילו המשיבה הצהירה כי היא אינה חולקת על עצם אמירת דברים אלו</w:t>
      </w:r>
      <w:r>
        <w:rPr>
          <w:rtl w:val="true"/>
        </w:rPr>
        <w:t xml:space="preserve">, </w:t>
      </w:r>
      <w:r>
        <w:rPr>
          <w:rtl w:val="true"/>
        </w:rPr>
        <w:t>אך עמדה על כך שהם לא ישמשו כראיה לאמיתות תכנם אלא לעצם אמירתם בלבד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לאחר שנשמעו טיעוני הצדדים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18.10.2022</w:t>
      </w:r>
      <w:r>
        <w:rPr>
          <w:rtl w:val="true"/>
        </w:rPr>
        <w:t xml:space="preserve"> </w:t>
      </w:r>
      <w:r>
        <w:rPr>
          <w:rtl w:val="true"/>
        </w:rPr>
        <w:t xml:space="preserve">ניתן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 הבכיר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טובי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59617-11-21</w:t>
        </w:r>
      </w:hyperlink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].</w:t>
      </w:r>
      <w:r>
        <w:rPr>
          <w:rtl w:val="true"/>
        </w:rPr>
        <w:t xml:space="preserve"> </w:t>
      </w:r>
      <w:r>
        <w:rPr>
          <w:rtl w:val="true"/>
        </w:rPr>
        <w:t>לאחר שסקר את טענות הצדדים ואת הראיות שהוצגו בפניו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</w:t>
      </w:r>
      <w:r>
        <w:rPr>
          <w:rtl w:val="true"/>
        </w:rPr>
        <w:t xml:space="preserve">, </w:t>
      </w:r>
      <w:r>
        <w:rPr>
          <w:rtl w:val="true"/>
        </w:rPr>
        <w:t>בפסק דינו</w:t>
      </w:r>
      <w:r>
        <w:rPr>
          <w:rtl w:val="true"/>
        </w:rPr>
        <w:t xml:space="preserve">, </w:t>
      </w:r>
      <w:r>
        <w:rPr>
          <w:rtl w:val="true"/>
        </w:rPr>
        <w:t>על חומרתן של עבירות הנשק בהן הורשע נאדר</w:t>
      </w:r>
      <w:r>
        <w:rPr>
          <w:rtl w:val="true"/>
        </w:rPr>
        <w:t xml:space="preserve">, </w:t>
      </w:r>
      <w:r>
        <w:rPr>
          <w:rtl w:val="true"/>
        </w:rPr>
        <w:t>ועל מגמת הפסיקה להחמיר בענישה בגין עבירות אלו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בבחינת הנסיבות הקשורות בביצוע העבירות בהן הורשע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מנת לקבוע את מתחם הענישה ההולם למעשיו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הביא בית משפט המחוזי בחשבון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לחובתו של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התכנון שהיה כרוך בביצוע כל אחת מעסקאות הנשק מושא העבירות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את התיאום המקדים עם הסוכן באמצעים שונים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את כמות הנשק הרבה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והעובדה שנמכרו ארבעה רובי סער מסוגים שונים בתוספת מחסניות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הביא בית המשפט בחשבון את פוטנציאל הנזק הרב שעלול היה להיגרם כתוצאה מהעבירות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FrankRuehl" w:hAnsi="FrankRuehl" w:cs="FrankRuehl"/>
          <w:sz w:val="22"/>
          <w:sz w:val="22"/>
          <w:rtl w:val="true"/>
        </w:rPr>
        <w:t>וּ</w:t>
      </w:r>
      <w:r>
        <w:rPr>
          <w:rFonts w:ascii="Century" w:hAnsi="Century" w:cs="Century"/>
          <w:sz w:val="22"/>
          <w:sz w:val="22"/>
          <w:rtl w:val="true"/>
        </w:rPr>
        <w:t xml:space="preserve"> נעשה שימוש בנשקים שנמכרו על ידי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ואת היותו של נאדר הדמות הדומיננטית והרוח החיה בעסקאות הנשק מושא העבירות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בית המשפט המחוזי הוסיף וציין כי מבין כלל הנאשמים שהורשעו בפרשה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חלקו של נאדר הוא הגדול ביותר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בשל כך שהיה מעורב בארבע עסקות נשק ומשום שעולה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הוא היה הדמות הדומיננטית והרוח החיה באותן עסקאות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עוד הוסיף בית המשפט המחוזי כי גם אם יונח לטובת נאדר כי הנשקים מושא האישומים השלישי והרביעי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הם האישומים הרביעי והחמישי בכתב האישום המתוקן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לא יצאו מידיו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שהוא שימש אך כגורם מתווך בעסקאות נשוא אישומים אלו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טענה שהמשיבה חלקה עליה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אין בכך כדי להקהות מחומרת 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עובדות האישומים השלישי והרביעי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 מעלות כי גם במסגרת העסקאות המתוארות באישומים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 היה נאדר הגורם הדומיננטי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לנוכח הנסיבות דלעיל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שסקר את הפסיקה הנוהגת בעבירות בהן הורשע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הציב בית המשפט המחוזי את מתחם הענישה עבור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בטווח של </w:t>
      </w:r>
      <w:r>
        <w:rPr>
          <w:rFonts w:cs="Century" w:ascii="Century" w:hAnsi="Century"/>
          <w:sz w:val="22"/>
        </w:rPr>
        <w:t>10-7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לריצוי בפועל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עונש מאסר בפועל למשך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בתוספת הפעלת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שהוטלו על נאדר כמאסר מותנה בעבר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במצטבר</w:t>
      </w:r>
      <w:r>
        <w:rPr>
          <w:rFonts w:cs="Century" w:ascii="Century" w:hAnsi="Century"/>
          <w:rtl w:val="true"/>
        </w:rPr>
        <w:t xml:space="preserve">),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לבל יעבור עבירת פשע במשך שלוש שנים ממועד שחרורו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וקנס בסך של 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או שלושה חודשי מאסר תמורתו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טוען נאדר כי העונש שהושת עליו הינו חמור מזה שמוצדק היה לגזור עליו בנסיבות העניין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נאדר טוען כי שגה בית המשפט המחוזי בכך שקבע </w:t>
      </w:r>
      <w:r>
        <w:rPr>
          <w:rFonts w:ascii="Century" w:hAnsi="Century" w:cs="Century"/>
          <w:sz w:val="22"/>
          <w:sz w:val="22"/>
          <w:rtl w:val="true"/>
        </w:rPr>
        <w:t>מתחם ענישה אחד לכלל האישומים בהם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שקיים שוני גדול בחלקו ובאחריותו של נאדר בין האישומים הראשון והשני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לבין האישומים השלישי והרביעי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בהם התמצה חלקו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בתיווך בלבד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נאדר מוסיף וטוען כי העונש שהושת עליו </w:t>
      </w:r>
      <w:r>
        <w:rPr>
          <w:rFonts w:ascii="Century" w:hAnsi="Century" w:cs="Century"/>
          <w:sz w:val="22"/>
          <w:sz w:val="22"/>
          <w:rtl w:val="true"/>
        </w:rPr>
        <w:t>הינו חמור בהשוואה לעונשים שהושתו על נאשמים בעבירות דומות לאלו בהן הורשע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נאדר מפנה לשורת גזרי 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חלקם ניתנו לפני כניסתו של תיקון </w:t>
      </w:r>
      <w:r>
        <w:rPr>
          <w:rFonts w:cs="Century" w:ascii="Century" w:hAnsi="Century"/>
          <w:sz w:val="22"/>
        </w:rPr>
        <w:t>140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לתוקף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וחלקם 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בהם נגזרו עונשים קלים יותר מהעונש שנגזר עליו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נאדר טוען כי בית המשפט המחוזי שגה בכך שסירב לבקשתו לערוך תסקיר שירות המבחן בעניינו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נאדר מטעים כי נסיבותיו האישיות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הליך גמילה שעבר בשנים האחרונות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התמודדות עם מחלה קשה ובעיקר התמודדות עם מותו הפתאומי של בנו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מצדיקות כי עונשו ייגזר בחלק התחתון של המתחם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בקשתו כי ייערך בעניינו תסקיר מבחן אשר יאפשר לבית המשפט לשקול את נסיבותיו האישיות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נדחתה על ידי בית המשפט המחוזי בנימוק כי פניו של נאדר אינן מועדות להליך שיקומי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לטענתו של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בקביעה זו פגע בית המשפט המחוזי בזכותו להליך הוגן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טוען נאדר כי אף ללא תסקיר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נסיבותיו האישיות לא מצאו ביטוי בגזר דינו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יש מקום להתערבות בו מטעם זה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בערעור מטעמה</w:t>
      </w:r>
      <w:r>
        <w:rPr>
          <w:rtl w:val="true"/>
        </w:rPr>
        <w:t xml:space="preserve">, </w:t>
      </w:r>
      <w:r>
        <w:rPr>
          <w:rtl w:val="true"/>
        </w:rPr>
        <w:t>טוענת המשיבה כי</w:t>
      </w:r>
      <w:r>
        <w:rPr>
          <w:sz w:val="22"/>
          <w:sz w:val="22"/>
          <w:rtl w:val="true"/>
        </w:rPr>
        <w:t xml:space="preserve"> עונשו של נאדר אינו הולם</w:t>
      </w:r>
      <w:r>
        <w:rPr>
          <w:rFonts w:ascii="Century" w:hAnsi="Century" w:cs="Century"/>
          <w:sz w:val="22"/>
          <w:sz w:val="22"/>
          <w:rtl w:val="true"/>
        </w:rPr>
        <w:t xml:space="preserve"> לחומרת העבירות בהן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ואינו מבטא את הכמות ואת סוגי כלי הנשק שבמכירתם היה מעורב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ואת היותו חוליה מרכזית בקשר העברייני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המשיבה טוענת כי המתחם שקבע בית המשפט המחוזי בעניינו של נאדר סוטה לקולה מהמתחם הראוי לנוכח חומרת מעשיו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ריבוי העבירות שביצע ונסיבות ביצוען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כתוצאה מקביעת מתחם מקל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הושת על נאדר עונש שאינו עולה בקנה אחד עם מדיניות הענישה הנוהגת בעבירות נשק ועם מדיניות ההחמרה בענישה בעבירות אלו העולות הן מפסיקתו של בית משפט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והן מרצון המחוקק המשתקף מתיקון </w:t>
      </w:r>
      <w:r>
        <w:rPr>
          <w:rFonts w:cs="Century" w:ascii="Century" w:hAnsi="Century"/>
          <w:sz w:val="22"/>
        </w:rPr>
        <w:t>140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טוענת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</w:t>
      </w:r>
      <w:r>
        <w:rPr>
          <w:rFonts w:ascii="FrankRuehl" w:hAnsi="FrankRuehl" w:cs="FrankRuehl"/>
          <w:sz w:val="22"/>
          <w:sz w:val="22"/>
          <w:rtl w:val="true"/>
        </w:rPr>
        <w:t>וּ</w:t>
      </w:r>
      <w:r>
        <w:rPr>
          <w:rFonts w:ascii="Century" w:hAnsi="Century" w:cs="Century"/>
          <w:sz w:val="22"/>
          <w:sz w:val="22"/>
          <w:rtl w:val="true"/>
        </w:rPr>
        <w:t xml:space="preserve"> היה חל על המשיב תיקון </w:t>
      </w:r>
      <w:r>
        <w:rPr>
          <w:rFonts w:cs="Century" w:ascii="Century" w:hAnsi="Century"/>
          <w:sz w:val="22"/>
        </w:rPr>
        <w:t>140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העונש המינימלי לגזירת דינו של המשיב היה שלוש שנים ותשעה חודשים בגין כל אחת מעבירות הסחר שביצע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עובדה אשר יש 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להשפיע על העונש הראוי בנסיבות דנן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המשיבה מוסיפה וטוענת כי העונש שהושת על נאדר חורג לקולה מעונשים שהוטלו על נאשמים נוספים בפרשה בה נאדר היה מעורב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המשיבה מבקשת להדגיש את ייחודה של עסקת הנשק שבבסיס האישום הרביעי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שכללה סחר בנשק מסוג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תבור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אשר לסחר בו שמורה חומרה מיוחדת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לקביעת עונשו של נאדר בתוך מתחם הענישה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המשיבה טוענת כי בית המשפט המחוזי שגה בכך שקבע את עונשו של המשיב בחלקו התחתון של המתחם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הצורך הממשי בהרתעתו האישית של נאדר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הצורך בהגנה על שלום הציבור מפניו ותכלית הרתעת הרבים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טוענת המשיבה כי היה נדרש להציב את עונשו של נאדר בחלקו העליון של המתחם נוכח עברו הפלילי המכביד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והעובדה שביצע את העבירות בעודו אסיר ברישיון – נסיבות המוכיחות כי מדובר באדם פורע חוק ומסוכן לציבור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אימת הדין אינה מרתיעה אותו</w:t>
      </w:r>
      <w:r>
        <w:rPr>
          <w:rFonts w:cs="Century" w:ascii="Century" w:hAnsi="Century"/>
          <w:sz w:val="22"/>
          <w:rtl w:val="true"/>
        </w:rPr>
        <w:t>.</w:t>
        <w:tab/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keepNext w:val="true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keepNext w:val="true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 היא כי בית המשפט של ערעור ייטה שלא להתערב בעונש שהושת על ידי הערכאה הדיונית אלא במקרים שבהם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או כאשר נפלה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טעות מהותית ובולטת בגזר הדין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2880/23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עיסא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25.4.2023</w:t>
      </w:r>
      <w:r>
        <w:rPr>
          <w:rtl w:val="true"/>
        </w:rPr>
        <w:t>))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עיסא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22.10.2023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6753/23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1.4.2024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ששקלתי את נימוקי הצדדים</w:t>
      </w:r>
      <w:r>
        <w:rPr>
          <w:rtl w:val="true"/>
        </w:rPr>
        <w:t xml:space="preserve">, </w:t>
      </w:r>
      <w:r>
        <w:rPr>
          <w:rtl w:val="true"/>
        </w:rPr>
        <w:t>ושמעתי את טיעוניהם בעל פה בפנינו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מקרה זה הינו אחד מאותם מקרים יוצאי דופן המצדיקים את התערבותנו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ששוכנעתי כי בנסיבות דנן העונש שהושת על נאדר חורג לקולה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 לחבריי כי נקבל את ערעור המשיבה</w:t>
      </w:r>
      <w:r>
        <w:rPr>
          <w:rtl w:val="true"/>
        </w:rPr>
        <w:t xml:space="preserve">, </w:t>
      </w:r>
      <w:r>
        <w:rPr>
          <w:rtl w:val="true"/>
        </w:rPr>
        <w:t>ונדחה את ערעורו של נאדר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בטרם שאעמוד על הטעמים המצדיקים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את קבלת ערעור המשיבה</w:t>
      </w:r>
      <w:r>
        <w:rPr>
          <w:rtl w:val="true"/>
        </w:rPr>
        <w:t xml:space="preserve">; </w:t>
      </w:r>
      <w:r>
        <w:rPr>
          <w:rtl w:val="true"/>
        </w:rPr>
        <w:t>אפרט מדוע לא מצאתי לקבל את טענותיו של נאדר ואת ערעורו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טענתו הראשונה של נאדר הינה כי היה על בית המשפט המחוזי לקבוע מתחמי ענישה נפרדים לעבירות בהן הורשע בגין אישום הראשון ובגין האישום השני</w:t>
      </w:r>
      <w:r>
        <w:rPr>
          <w:rtl w:val="true"/>
        </w:rPr>
        <w:t xml:space="preserve">, </w:t>
      </w:r>
      <w:r>
        <w:rPr>
          <w:rtl w:val="true"/>
        </w:rPr>
        <w:t>ולעבירות בהן הורשע בגין האישום השלישי ובגין האישום הרביעי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דין טענה זו להידחות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keepNext w:val="true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השלב הראשון בגזירת הדין בגין ביצוע מספר 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בחינה אם עבירות אלה מהוות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כמה אירועים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שאז ייקבעו מתחמי ענישה נפרדים לכל אחד מאירועים אלה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או האם מדובר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אירוע אחד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שאז ייקבע מתחם ענישה כולל לכל העבירות שבאירוע האחד </w:t>
      </w:r>
      <w:r>
        <w:rPr>
          <w:rFonts w:cs="Century" w:ascii="Century" w:hAnsi="Century"/>
          <w:sz w:val="22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יג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2240/21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8.11.2021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8641/12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סו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772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790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2013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הבחנה בין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אירוע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-"</w:t>
      </w:r>
      <w:r>
        <w:rPr>
          <w:rFonts w:ascii="Century" w:hAnsi="Century" w:cs="Century"/>
          <w:sz w:val="22"/>
          <w:sz w:val="22"/>
          <w:rtl w:val="true"/>
        </w:rPr>
        <w:t>כמה אירועים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נעשית על פי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מבחן הקשר ההדוק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לפיו עבירות שיש ביניהן קשר הדוק תיחשבנה לאירוע אחד </w:t>
      </w:r>
      <w:r>
        <w:rPr>
          <w:rFonts w:cs="Century" w:ascii="Century" w:hAnsi="Century"/>
          <w:sz w:val="22"/>
          <w:rtl w:val="true"/>
        </w:rPr>
        <w:t>(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4910/13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29.10.2014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על המשתנים אותם נדרש בית המשפט לקחת בחשבון במסגרת בחינת התקיימותו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קשר הדוק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בין 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 בית משפט זה בציינו כי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2"/>
        <w:keepNext w:val="true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בבחינה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'.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המתאימות</w:t>
      </w:r>
      <w:r>
        <w:rPr>
          <w:rtl w:val="true"/>
        </w:rPr>
        <w:t xml:space="preserve">, </w:t>
      </w:r>
      <w:r>
        <w:rPr>
          <w:rtl w:val="true"/>
        </w:rPr>
        <w:t>הנטייה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ונפגע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כהווייתו</w:t>
      </w:r>
      <w:r>
        <w:rPr>
          <w:rtl w:val="true"/>
        </w:rPr>
        <w:t>'"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; </w:t>
      </w:r>
      <w:r>
        <w:rPr>
          <w:rtl w:val="true"/>
        </w:rPr>
        <w:t>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2"/>
        <w:keepNext w:val="true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לאחר שעמד על ההלכה הנוהגת בעניין זה</w:t>
      </w:r>
      <w:r>
        <w:rPr>
          <w:rtl w:val="true"/>
        </w:rPr>
        <w:t xml:space="preserve">, </w:t>
      </w:r>
      <w:r>
        <w:rPr>
          <w:rtl w:val="true"/>
        </w:rPr>
        <w:t>ציין בית המשפט המחוזי כי</w:t>
      </w:r>
      <w:r>
        <w:rPr>
          <w:rtl w:val="true"/>
        </w:rPr>
        <w:t>:</w:t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</w:t>
      </w:r>
      <w:r>
        <w:rPr>
          <w:rFonts w:ascii="FrankRuehl" w:hAnsi="FrankRuehl"/>
          <w:rtl w:val="true"/>
        </w:rPr>
        <w:t>וּ</w:t>
      </w:r>
      <w:r>
        <w:rPr>
          <w:rtl w:val="true"/>
        </w:rPr>
        <w:t>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נאדר</w:t>
      </w:r>
      <w:r>
        <w:rPr>
          <w:rtl w:val="true"/>
        </w:rPr>
        <w:t xml:space="preserve">]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[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מוסכמת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[</w:t>
      </w:r>
      <w:r>
        <w:rPr>
          <w:rtl w:val="true"/>
        </w:rPr>
        <w:t>שלישי</w:t>
      </w:r>
      <w:r>
        <w:rPr>
          <w:rtl w:val="true"/>
        </w:rPr>
        <w:t xml:space="preserve">]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נאדר</w:t>
      </w:r>
      <w:r>
        <w:rPr>
          <w:rtl w:val="true"/>
        </w:rPr>
        <w:t xml:space="preserve">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</w:rPr>
        <w:t>M16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₪. [</w:t>
      </w:r>
      <w:r>
        <w:rPr>
          <w:rtl w:val="true"/>
        </w:rPr>
        <w:t>נאדר</w:t>
      </w:r>
      <w:r>
        <w:rPr>
          <w:rtl w:val="true"/>
        </w:rPr>
        <w:t xml:space="preserve">] </w:t>
      </w:r>
      <w:r>
        <w:rPr>
          <w:rtl w:val="true"/>
        </w:rPr>
        <w:t>תיאם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נאדר</w:t>
      </w:r>
      <w:r>
        <w:rPr>
          <w:rtl w:val="true"/>
        </w:rPr>
        <w:t xml:space="preserve">]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[</w:t>
      </w:r>
      <w:r>
        <w:rPr>
          <w:rtl w:val="true"/>
        </w:rPr>
        <w:t>רביעי</w:t>
      </w:r>
      <w:r>
        <w:rPr>
          <w:rtl w:val="true"/>
        </w:rPr>
        <w:t xml:space="preserve">].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נאדר</w:t>
      </w:r>
      <w:r>
        <w:rPr>
          <w:rtl w:val="true"/>
        </w:rPr>
        <w:t xml:space="preserve">]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נאדר</w:t>
      </w:r>
      <w:r>
        <w:rPr>
          <w:rtl w:val="true"/>
        </w:rPr>
        <w:t xml:space="preserve">]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נאדר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טענה נוספת שהעלה נאדר הינה כי שגה בית המשפט המחוזי עת שדחה את בקשתו כי ייערך תסקיר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וכי לא ניתן משקל מספק לנסיבותיו האישיות בגזר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גם דינה של טענה זו להידחות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28.2.2024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בסטי</w:t>
      </w:r>
      <w:r>
        <w:rPr>
          <w:rFonts w:cs="Century" w:ascii="Century" w:hAnsi="Century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2.5.2022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תבנאס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21.12.2015</w:t>
      </w:r>
      <w:r>
        <w:rPr>
          <w:rtl w:val="true"/>
        </w:rPr>
        <w:t xml:space="preserve">)).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בסטי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2.8.2015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8884/13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11.6.2014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24.7.2022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נימוקיה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. </w:t>
      </w:r>
      <w:r>
        <w:rPr>
          <w:rtl w:val="true"/>
        </w:rPr>
        <w:t>למחלוקת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בשנים האחרונות עמד בית משפט זה</w:t>
      </w:r>
      <w:r>
        <w:rPr>
          <w:rtl w:val="true"/>
        </w:rPr>
        <w:t xml:space="preserve">, </w:t>
      </w:r>
      <w:r>
        <w:rPr>
          <w:rtl w:val="true"/>
        </w:rPr>
        <w:t>לא פעם ולא פעמיים</w:t>
      </w:r>
      <w:r>
        <w:rPr>
          <w:rtl w:val="true"/>
        </w:rPr>
        <w:t xml:space="preserve">, </w:t>
      </w:r>
      <w:r>
        <w:rPr>
          <w:rtl w:val="true"/>
        </w:rPr>
        <w:t>על הצורך לנקוט בגישה מחמירה בכל הנוגע לעבירות נשק מהסוג בהן הורשע נאדר</w:t>
      </w:r>
      <w:r>
        <w:rPr>
          <w:rtl w:val="true"/>
        </w:rPr>
        <w:t xml:space="preserve">. </w:t>
      </w:r>
      <w:r>
        <w:rPr>
          <w:rtl w:val="true"/>
        </w:rPr>
        <w:t>עמד על הדברים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בציינו 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ושאחריהן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במכירה</w:t>
      </w:r>
      <w:r>
        <w:rPr>
          <w:rtl w:val="true"/>
        </w:rPr>
        <w:t xml:space="preserve">,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בטיפולנו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ובמבצעיהן</w:t>
      </w:r>
      <w:r>
        <w:rPr>
          <w:rtl w:val="true"/>
        </w:rPr>
        <w:t xml:space="preserve">, </w:t>
      </w:r>
      <w:r>
        <w:rPr>
          <w:rtl w:val="true"/>
        </w:rPr>
        <w:t>להרתעת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בכורה</w:t>
      </w:r>
      <w:r>
        <w:rPr>
          <w:rtl w:val="true"/>
        </w:rPr>
        <w:t>" 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28.7.2022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4103/22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6.11.2022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אמון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),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"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7971/23</w:t>
        </w:r>
      </w:hyperlink>
      <w:r>
        <w:rPr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אגבאריה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26.5.2024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על רקע מגמה זו של החמרה בענישה</w:t>
      </w:r>
      <w:r>
        <w:rPr>
          <w:rtl w:val="true"/>
        </w:rPr>
        <w:t xml:space="preserve">, </w:t>
      </w:r>
      <w:r>
        <w:rPr>
          <w:rtl w:val="true"/>
        </w:rPr>
        <w:t>ובשים לב לעונשים שנגזרו במקרים בהם נעברו עבירות דומות בנסיבות קרובות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קביעת מתחם ענישה העומד על </w:t>
      </w:r>
      <w:r>
        <w:rPr/>
        <w:t>10-7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אינו מחמיר בנסיבות העניין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הורשע המשיב על פי הודאתו בשלוש עבירות של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והושת עליו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הורשע המשיב על פי הודאתו בעבירת נשק אחת</w:t>
      </w:r>
      <w:r>
        <w:rPr>
          <w:rtl w:val="true"/>
        </w:rPr>
        <w:t xml:space="preserve">, </w:t>
      </w:r>
      <w:r>
        <w:rPr>
          <w:rtl w:val="true"/>
        </w:rPr>
        <w:t xml:space="preserve">והושת עליו עונש מאסר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15.5.2022</w:t>
      </w:r>
      <w:r>
        <w:rPr>
          <w:rtl w:val="true"/>
        </w:rPr>
        <w:t xml:space="preserve">), </w:t>
      </w:r>
      <w:r>
        <w:rPr>
          <w:rtl w:val="true"/>
        </w:rPr>
        <w:t>שם הורשע המערער בעבירה אחת של ניסיון סחר בנשק</w:t>
      </w:r>
      <w:r>
        <w:rPr>
          <w:rtl w:val="true"/>
        </w:rPr>
        <w:t xml:space="preserve">, </w:t>
      </w:r>
      <w:r>
        <w:rPr>
          <w:rtl w:val="true"/>
        </w:rPr>
        <w:t>עבירה אחת של סחר בנשק</w:t>
      </w:r>
      <w:r>
        <w:rPr>
          <w:rtl w:val="true"/>
        </w:rPr>
        <w:t xml:space="preserve">, </w:t>
      </w:r>
      <w:r>
        <w:rPr>
          <w:rtl w:val="true"/>
        </w:rPr>
        <w:t>ועבירה אחת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ובגין כך הושת עליו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טחאינה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), </w:t>
      </w:r>
      <w:r>
        <w:rPr>
          <w:rtl w:val="true"/>
        </w:rPr>
        <w:t xml:space="preserve">שם הושתו על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שהורשע בגין מעורבותו בשלוש עסקאות נשק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ועל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שהיה מעורב בשתי עסקאות נשק</w:t>
      </w:r>
      <w:r>
        <w:rPr>
          <w:rtl w:val="true"/>
        </w:rPr>
        <w:t xml:space="preserve">, </w:t>
      </w:r>
      <w:r>
        <w:rPr>
          <w:rtl w:val="true"/>
        </w:rPr>
        <w:t>ונטל באחת מהן חלק שולי בלבד</w:t>
      </w:r>
      <w:r>
        <w:rPr>
          <w:rtl w:val="true"/>
        </w:rPr>
        <w:t xml:space="preserve">, </w:t>
      </w:r>
      <w:r>
        <w:rPr>
          <w:rtl w:val="true"/>
        </w:rPr>
        <w:t xml:space="preserve">הושת עונש מאסר בפועל של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tl w:val="true"/>
        </w:rPr>
        <w:t xml:space="preserve">; </w:t>
      </w:r>
      <w:r>
        <w:rPr>
          <w:rtl w:val="true"/>
        </w:rPr>
        <w:t>זמינותו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 xml:space="preserve">";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; </w:t>
      </w:r>
      <w:r>
        <w:rPr>
          <w:rtl w:val="true"/>
        </w:rPr>
        <w:t>והתוצאות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10-7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28.7.2022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סבורני כי גם בקביעת העונש בתוך המתחם הקל בית המשפט עם נאדר</w:t>
      </w:r>
      <w:r>
        <w:rPr>
          <w:rtl w:val="true"/>
        </w:rPr>
        <w:t xml:space="preserve">. </w:t>
      </w:r>
      <w:r>
        <w:rPr>
          <w:rtl w:val="true"/>
        </w:rPr>
        <w:t xml:space="preserve">בשים לב לכך שבית המשפט המחוזי הציב את מתחם הענישה בעניינו של נאדר כעומד על בין </w:t>
      </w:r>
      <w:r>
        <w:rPr/>
        <w:t>10-7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גזירת 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להן התווספה שנת מאסר נוספת כתוצאה מהפעלת עונש מאסר על תנאי</w:t>
      </w:r>
      <w:r>
        <w:rPr>
          <w:rtl w:val="true"/>
        </w:rPr>
        <w:t xml:space="preserve">), </w:t>
      </w:r>
      <w:r>
        <w:rPr>
          <w:rtl w:val="true"/>
        </w:rPr>
        <w:t>מציבה את עונשו של נאדר בחציו התחתון של המתחם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לנאדר עבר פלילי מכביד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המונה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הרשעות בשלל 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שתי האחרונות מהן בעבירות נשק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בגין הרשעתו האחרונה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עובר להרשעה 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נגזרו עליו </w:t>
      </w:r>
      <w:r>
        <w:rPr>
          <w:rFonts w:cs="Century" w:ascii="Century" w:hAnsi="Century"/>
          <w:sz w:val="22"/>
        </w:rPr>
        <w:t>65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כך שאת העבירות מושא ערעור זה ביצע נאדר כאשר הוא אסיר ברישיון הנושא מאסר על תנאי לתקופה של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מדובר בנסיבות אישיות חריגות בחומרתן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יש בהן כדי ללמד כי לא היה די בעונשים שהושתו על נאדר בעבר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להרתיעו ממעורבות פלילית ככלל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וממעורבות בעבירות נשק בפרט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כי בנסיבות העניין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 על בית המשפט המחוזי להציב את עונשו של נאדר בחציו העליון של מתחם הענישה שנקבע על ידו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לטענתו של נאדר כי נסיבותיו המשפחתיות</w:t>
      </w:r>
      <w:r>
        <w:rPr>
          <w:rtl w:val="true"/>
        </w:rPr>
        <w:t xml:space="preserve">, </w:t>
      </w:r>
      <w:r>
        <w:rPr>
          <w:rtl w:val="true"/>
        </w:rPr>
        <w:t>ובייחוד מותו הפתאומי של בנו</w:t>
      </w:r>
      <w:r>
        <w:rPr>
          <w:rtl w:val="true"/>
        </w:rPr>
        <w:t xml:space="preserve">, </w:t>
      </w:r>
      <w:r>
        <w:rPr>
          <w:rtl w:val="true"/>
        </w:rPr>
        <w:t>יש בהן כדי להצדיק הקלה בעונשו – אכן</w:t>
      </w:r>
      <w:r>
        <w:rPr>
          <w:rtl w:val="true"/>
        </w:rPr>
        <w:t xml:space="preserve">, </w:t>
      </w:r>
      <w:r>
        <w:rPr>
          <w:rtl w:val="true"/>
        </w:rPr>
        <w:t>נסיבות משפחתיות קשות עשויות להוות שיקול בעל משמעות בעת קביעת עונשו של נאשם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בעבריין סדרתי</w:t>
      </w:r>
      <w:r>
        <w:rPr>
          <w:rtl w:val="true"/>
        </w:rPr>
        <w:t xml:space="preserve">, </w:t>
      </w:r>
      <w:r>
        <w:rPr>
          <w:rtl w:val="true"/>
        </w:rPr>
        <w:t>אשר אמנם טוען כי גמר אומר לצאת ממעגל העבריינות</w:t>
      </w:r>
      <w:r>
        <w:rPr>
          <w:rtl w:val="true"/>
        </w:rPr>
        <w:t xml:space="preserve">, </w:t>
      </w:r>
      <w:r>
        <w:rPr>
          <w:rtl w:val="true"/>
        </w:rPr>
        <w:t>אולם משקלה של טענה זו</w:t>
      </w:r>
      <w:r>
        <w:rPr>
          <w:rtl w:val="true"/>
        </w:rPr>
        <w:t xml:space="preserve">, </w:t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>קלוש</w:t>
      </w:r>
      <w:r>
        <w:rPr>
          <w:rtl w:val="true"/>
        </w:rPr>
        <w:t xml:space="preserve">: </w:t>
      </w:r>
      <w:r>
        <w:rPr>
          <w:rtl w:val="true"/>
        </w:rPr>
        <w:t>גם ב</w:t>
      </w:r>
      <w:r>
        <w:rPr>
          <w:rtl w:val="true"/>
        </w:rPr>
        <w:t>-</w:t>
      </w:r>
      <w:hyperlink r:id="rId51">
        <w:r>
          <w:rPr>
            <w:rStyle w:val="Hyperlink"/>
            <w:color w:val="0000FF"/>
            <w:u w:val="single"/>
            <w:rtl w:val="true"/>
          </w:rPr>
          <w:t>וש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19404-01-19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דעאגלה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9.2.2023</w:t>
      </w:r>
      <w:r>
        <w:rPr>
          <w:rtl w:val="true"/>
        </w:rPr>
        <w:t xml:space="preserve">), </w:t>
      </w:r>
      <w:r>
        <w:rPr>
          <w:rtl w:val="true"/>
        </w:rPr>
        <w:t>הליך בו ביקשה המשיבה להפקיע את רישיון האסיר של נאדר בקשר להרשעה קודמת</w:t>
      </w:r>
      <w:r>
        <w:rPr>
          <w:rtl w:val="true"/>
        </w:rPr>
        <w:t xml:space="preserve">, </w:t>
      </w:r>
      <w:r>
        <w:rPr>
          <w:rtl w:val="true"/>
        </w:rPr>
        <w:t>טען נאדר כי בעקבות רציחתו של בנו הוא לוקח אחריות על מעשיו ומבין את חומרת מצבו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ועדת השחרורים קבעה כי אין להסתמך על הצהרתו בעניין זה</w:t>
      </w:r>
      <w:r>
        <w:rPr>
          <w:rtl w:val="true"/>
        </w:rPr>
        <w:t xml:space="preserve">, </w:t>
      </w:r>
      <w:r>
        <w:rPr>
          <w:rtl w:val="true"/>
        </w:rPr>
        <w:t>משהוצגו בפניה מידעים מודיעיניים לפיהם נאדר המשיך לעסוק בפלילים</w:t>
      </w:r>
      <w:r>
        <w:rPr>
          <w:rtl w:val="true"/>
        </w:rPr>
        <w:t xml:space="preserve">, </w:t>
      </w:r>
      <w:r>
        <w:rPr>
          <w:rtl w:val="true"/>
        </w:rPr>
        <w:t>סמוך לשחרורו האחרון מבית הסוהר</w:t>
      </w:r>
      <w:r>
        <w:rPr>
          <w:rtl w:val="true"/>
        </w:rPr>
        <w:t xml:space="preserve">, </w:t>
      </w:r>
      <w:r>
        <w:rPr>
          <w:rtl w:val="true"/>
        </w:rPr>
        <w:t>וזאת גם לאחר אזהרות ועדת השחרורים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כל פגם בכך שבית המשפט המחוזי נהג באופן דומה</w:t>
      </w:r>
      <w:r>
        <w:rPr>
          <w:rtl w:val="true"/>
        </w:rPr>
        <w:t xml:space="preserve">, </w:t>
      </w:r>
      <w:r>
        <w:rPr>
          <w:rtl w:val="true"/>
        </w:rPr>
        <w:t>עת שנתן משקל מועט להצהרת נאדר לפיה החליט לצאת ממעגל העבריינות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והערה אחרונה</w:t>
      </w:r>
      <w:r>
        <w:rPr>
          <w:rtl w:val="true"/>
        </w:rPr>
        <w:t xml:space="preserve">, </w:t>
      </w:r>
      <w:r>
        <w:rPr>
          <w:rtl w:val="true"/>
        </w:rPr>
        <w:t>לפני סיום</w:t>
      </w:r>
      <w:r>
        <w:rPr>
          <w:rtl w:val="true"/>
        </w:rPr>
        <w:t xml:space="preserve">: </w:t>
      </w:r>
      <w:r>
        <w:rPr>
          <w:rtl w:val="true"/>
        </w:rPr>
        <w:t>לא נעלמה מעיני טענתו של נאדר כי משום שעם הרשעתו הפקיעה ועדת השחרורים את הרישיון שניתן לו להתהלך חופשי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6.4.2020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18.1.2021</w:t>
      </w:r>
      <w:r>
        <w:rPr>
          <w:rtl w:val="true"/>
        </w:rPr>
        <w:t xml:space="preserve">, </w:t>
      </w:r>
      <w:r>
        <w:rPr>
          <w:rtl w:val="true"/>
        </w:rPr>
        <w:t xml:space="preserve">יש להשקיף על העונש שנגזר עליו כעונש מאסר למשך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שנת מאסר נוספת כתוצאה מהפעלת מאסר על תנאי שהוטל עליו בעבר ב</w:t>
      </w:r>
      <w:r>
        <w:rPr>
          <w:rtl w:val="true"/>
        </w:rPr>
        <w:t>-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21657-12-15</w:t>
        </w:r>
      </w:hyperlink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 xml:space="preserve">]; </w:t>
      </w:r>
      <w:r>
        <w:rPr>
          <w:rtl w:val="true"/>
        </w:rPr>
        <w:t>ותקופה של כשנה וחצי שהושתה עליו כתוצאה מהחלטת ועדת השחרורים להפקיע את מלוא תקופת התנאי</w:t>
      </w:r>
      <w:r>
        <w:rPr>
          <w:rtl w:val="true"/>
        </w:rPr>
        <w:t xml:space="preserve">, </w:t>
      </w:r>
      <w:r>
        <w:rPr>
          <w:rtl w:val="true"/>
        </w:rPr>
        <w:t>כפי שנקבע ב</w:t>
      </w:r>
      <w:r>
        <w:rPr>
          <w:rtl w:val="true"/>
        </w:rPr>
        <w:t>-</w:t>
      </w:r>
      <w:hyperlink r:id="rId53">
        <w:r>
          <w:rPr>
            <w:rStyle w:val="Hyperlink"/>
            <w:color w:val="0000FF"/>
            <w:u w:val="single"/>
            <w:rtl w:val="true"/>
          </w:rPr>
          <w:t>וש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19404-01-19</w:t>
        </w:r>
      </w:hyperlink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בשונה מההחלטה בעניין הפעלת המאסר על תנאי שהוטל עליו בעבר ב</w:t>
      </w:r>
      <w:r>
        <w:rPr>
          <w:rtl w:val="true"/>
        </w:rPr>
        <w:t>-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21657-12-15</w:t>
        </w:r>
      </w:hyperlink>
      <w:r>
        <w:rPr>
          <w:rtl w:val="true"/>
        </w:rPr>
        <w:t xml:space="preserve">,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>המהווה חלק מגזר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ההחלטה בעניין הפקעת מלוא תקופת התנאי שהוקנתה נאדר ב</w:t>
      </w:r>
      <w:r>
        <w:rPr>
          <w:rtl w:val="true"/>
        </w:rPr>
        <w:t>-</w:t>
      </w:r>
      <w:hyperlink r:id="rId55">
        <w:r>
          <w:rPr>
            <w:rStyle w:val="Hyperlink"/>
            <w:color w:val="0000FF"/>
            <w:u w:val="single"/>
            <w:rtl w:val="true"/>
          </w:rPr>
          <w:t>וש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19404-01-19</w:t>
        </w:r>
      </w:hyperlink>
      <w:r>
        <w:rPr>
          <w:rtl w:val="true"/>
        </w:rPr>
        <w:t xml:space="preserve">,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>ניתנה על ידי ועדת השחרורים</w:t>
      </w:r>
      <w:r>
        <w:rPr>
          <w:rtl w:val="true"/>
        </w:rPr>
        <w:t xml:space="preserve">, </w:t>
      </w:r>
      <w:r>
        <w:rPr>
          <w:rtl w:val="true"/>
        </w:rPr>
        <w:t>אחרי מתן גזר דינו של בית המשפט קמא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להשקפתי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לדעתי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בית המשפט קמא חרג באופן קיצוני לקולה בעת שגזר את עונשו של נאדר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 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ובשים לב לעקרון לפיו ערכאת הערעור אינה נוהגת למצות את 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אציע לחבריי כי נקבל את ערעור המשיבה ונקבע כי עונשו של נאדר יועמד על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 מאסר לריצוי 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 יתרת רכיבי גזר 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 לעניין הפעלת המאסר על 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יוותרו על מכונם</w:t>
      </w:r>
      <w:r>
        <w:rPr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tblpPr w:vertAnchor="text" w:horzAnchor="margin" w:tblpXSpec="left" w:rightFromText="180" w:tblpY="204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  <w:tab/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חאלד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  <w:tab/>
        <w:tab/>
        <w:tab/>
        <w:tab/>
        <w:tab/>
        <w:tab/>
      </w:r>
    </w:p>
    <w:tbl>
      <w:tblPr>
        <w:bidiVisual w:val="true"/>
        <w:tblW w:w="2551" w:type="dxa"/>
        <w:jc w:val="start"/>
        <w:tblInd w:w="20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bookmarkStart w:id="14" w:name="Nitan"/>
      <w:r>
        <w:rPr>
          <w:rFonts w:ascii="FrankRuehl" w:hAnsi="FrankRuehl"/>
          <w:sz w:val="28"/>
          <w:sz w:val="28"/>
          <w:rtl w:val="true"/>
        </w:rPr>
        <w:t>ניתן היום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ג אב תשפ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ד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אוגוסט </w:t>
      </w:r>
      <w:r>
        <w:rPr>
          <w:rFonts w:cs="FrankRuehl" w:ascii="FrankRuehl" w:hAnsi="FrankRuehl"/>
          <w:sz w:val="28"/>
        </w:rPr>
        <w:t>2024</w:t>
      </w:r>
      <w:r>
        <w:rPr>
          <w:rFonts w:cs="FrankRuehl" w:ascii="FrankRuehl" w:hAnsi="FrankRuehl"/>
          <w:sz w:val="28"/>
          <w:rtl w:val="true"/>
        </w:rPr>
        <w:t>).</w:t>
      </w:r>
      <w:bookmarkEnd w:id="14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tblpPr w:vertAnchor="text" w:horzAnchor="margin" w:tblpXSpec="center" w:leftFromText="180" w:rightFromText="180" w:tblpY="27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/>
      <w:r>
        <w:rPr>
          <w:rFonts w:cs="FrankRuehl" w:ascii="FrankRuehl" w:hAnsi="FrankRuehl"/>
          <w:color w:val="FFFFFF"/>
          <w:sz w:val="2"/>
          <w:szCs w:val="2"/>
        </w:rPr>
        <w:t>51293715129371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</w:r>
    </w:p>
    <w:tbl>
      <w:tblPr>
        <w:tblpPr w:vertAnchor="text" w:horzAnchor="margin" w:tblpXSpec="left" w:rightFromText="180" w:tblpY="-9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color w:val="FFFFFF"/>
                <w:sz w:val="2"/>
                <w:szCs w:val="2"/>
              </w:rPr>
              <w:t>5467831354678313</w:t>
              <w:drawing>
                <wp:anchor behindDoc="1" distT="0" distB="0" distL="114935" distR="114935" simplePos="0" locked="0" layoutInCell="1" allowOverlap="1" relativeHeight="25">
                  <wp:simplePos x="0" y="0"/>
                  <wp:positionH relativeFrom="column">
                    <wp:posOffset>3935730</wp:posOffset>
                  </wp:positionH>
                  <wp:positionV relativeFrom="paragraph">
                    <wp:posOffset>73660</wp:posOffset>
                  </wp:positionV>
                  <wp:extent cx="1468120" cy="1228090"/>
                  <wp:effectExtent l="0" t="0" r="0" b="0"/>
                  <wp:wrapNone/>
                  <wp:docPr id="1" name="תמונה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19" t="-23" r="-19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120" cy="1228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tblpPr w:vertAnchor="text" w:horzAnchor="margin" w:tblpXSpec="right" w:leftFromText="180" w:tblpY="-9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54678313-8175/22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8"/>
          <w:u w:val="single"/>
        </w:rPr>
      </w:pPr>
      <w:r>
        <w:rPr>
          <w:rFonts w:ascii="FrankRuehl" w:hAnsi="FrankRuehl" w:cs="FrankRuehl"/>
          <w:color w:val="000000"/>
          <w:sz w:val="28"/>
          <w:sz w:val="28"/>
          <w:u w:val="single"/>
          <w:rtl w:val="true"/>
        </w:rPr>
        <w:t>נוסח מסמך זה כפוף לשינויי ניסוח ועריכה</w:t>
      </w:r>
    </w:p>
    <w:sectPr>
      <w:headerReference w:type="default" r:id="rId58"/>
      <w:footerReference w:type="default" r:id="rId59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8175/22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נאדר דאעגלה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18151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18151&amp;lt;/CaseID&amp;gt;&#10;        &amp;lt;CaseMonth&amp;gt;11&amp;lt;/CaseMonth&amp;gt;&#10;        &amp;lt;CaseYear&amp;gt;2022&amp;lt;/CaseYear&amp;gt;&#10;        &amp;lt;CaseNumber&amp;gt;71284&amp;lt;/CaseNumber&amp;gt;&#10;        &amp;lt;NumeratorGroupID&amp;gt;1&amp;lt;/NumeratorGroupID&amp;gt;&#10;        &amp;lt;CaseName&amp;gt;דאעגלה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3&amp;lt;/CaseLinkTypeID&amp;gt;&#10;        &amp;lt;ProcedureID&amp;gt;2&amp;lt;/ProcedureID&amp;gt;&#10;        &amp;lt;PreviousCaseYear&amp;gt;2022&amp;lt;/PreviousCaseYear&amp;gt;&#10;        &amp;lt;PreviousCaseNumber&amp;gt;817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8175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2-11-30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ערעור המדינה נדחה לעיון; ביתר הערעורים ניתן פסק-דין&#10;התיק, כולל הכריכות והנלווים הועברו ללשכת כשר&#10;&amp;lt;/CaseDesc&amp;gt;&#10;        &amp;lt;isExistMinorSide&amp;gt;false&amp;lt;/isExistMinorSide&amp;gt;&#10;        &amp;lt;isExistMinorWitness&amp;gt;false&amp;lt;/isExistMinorWitness&amp;gt;&#10;        &amp;lt;PreviousCaseIdentifier&amp;gt;2022008175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18151&amp;lt;/CaseID&amp;gt;&#10;        &amp;lt;CaseMonth&amp;gt;11&amp;lt;/CaseMonth&amp;gt;&#10;        &amp;lt;CaseYear&amp;gt;2022&amp;lt;/CaseYear&amp;gt;&#10;        &amp;lt;CaseNumber&amp;gt;71284&amp;lt;/CaseNumber&amp;gt;&#10;        &amp;lt;NumeratorGroupID&amp;gt;1&amp;lt;/NumeratorGroupID&amp;gt;&#10;        &amp;lt;CaseName&amp;gt;דאעגלה (אסיר) נ&amp;#39; מדינת ישראל 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3&amp;lt;/CaseLinkTypeID&amp;gt;&#10;        &amp;lt;ProcedureID&amp;gt;2&amp;lt;/ProcedureID&amp;gt;&#10;        &amp;lt;PreviousCaseYear&amp;gt;2022&amp;lt;/PreviousCaseYear&amp;gt;&#10;        &amp;lt;PreviousCaseNumber&amp;gt;817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8175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2-11-30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false&amp;lt;/IsMainCase&amp;gt;&#10;        &amp;lt;PreviousCourtID&amp;gt;1&amp;lt;/PreviousCourtID&amp;gt;&#10;        &amp;lt;PreviousCaseTypeID&amp;gt;69&amp;lt;/PreviousCaseTypeID&amp;gt;&#10;        &amp;lt;CaseDesc&amp;gt;ערעור המדינה נדחה לעיון; ביתר הערעורים ניתן פסק-דין&#10;התיק, כולל הכריכות והנלווים הועברו ללשכת כשר&#10;&amp;lt;/CaseDesc&amp;gt;&#10;        &amp;lt;PreviousCaseIdentifier&amp;gt;2022008175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561983&amp;lt;/DecisionID&amp;gt;&#10;        &amp;lt;DecisionName&amp;gt;פסק דין  שניתנה ע&amp;quot;י  יחיאל כשר&amp;lt;/DecisionName&amp;gt;&#10;        &amp;lt;DecisionStatusID&amp;gt;1&amp;lt;/DecisionStatusID&amp;gt;&#10;        &amp;lt;DecisionStatusChangeDate&amp;gt;2024-08-27T09:52:03.28+03:00&amp;lt;/DecisionStatusChangeDate&amp;gt;&#10;        &amp;lt;DecisionSignatureDate&amp;gt;2024-08-27T09:52:01.15+03:00&amp;lt;/DecisionSignatureDate&amp;gt;&#10;        &amp;lt;DecisionSignatureUserID&amp;gt;057199333@GOV.IL&amp;lt;/DecisionSignatureUserID&amp;gt;&#10;        &amp;lt;DecisionCreateDate&amp;gt;2024-08-25T15:26:04.383+03:00&amp;lt;/DecisionCreateDate&amp;gt;&#10;        &amp;lt;DecisionChangeDate&amp;gt;2024-08-27T09:52:03.4+03:00&amp;lt;/DecisionChangeDate&amp;gt;&#10;        &amp;lt;DecisionChangeUserID&amp;gt;059210229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3448199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719933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02901541@GOV.IL&amp;lt;/DecisionCreationUserID&amp;gt;&#10;        &amp;lt;DecisionDisplayName&amp;gt;פסק דין  שניתנה ע&amp;quot;י  יחיאל כשר&amp;lt;/DecisionDisplayName&amp;gt;&#10;        &amp;lt;IsScanned&amp;gt;false&amp;lt;/IsScanned&amp;gt;&#10;        &amp;lt;DecisionSignatureUserName&amp;gt;יחיאל כשר&amp;lt;/DecisionSignatureUserName&amp;gt;&#10;        &amp;lt;PublishInWebUserID&amp;gt;057199333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5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8-25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4561983&amp;lt;/DecisionID&amp;gt;&#10;        &amp;lt;CaseID&amp;gt;81818151&amp;lt;/CaseID&amp;gt;&#10;        &amp;lt;IsOriginal&amp;gt;true&amp;lt;/IsOriginal&amp;gt;&#10;        &amp;lt;IsDeleted&amp;gt;false&amp;lt;/IsDeleted&amp;gt;&#10;        &amp;lt;CaseName&amp;gt;דאעגלה (אסיר) נ&amp;#39; מדינת ישראל &amp;lt;/CaseName&amp;gt;&#10;        &amp;lt;CaseDisplayIdentifier&amp;gt;ע&amp;quot;פ 8175/22&amp;lt;/CaseDisplayIdentifier&amp;gt;&#10;      &amp;lt;/dt_DecisionCase&amp;gt;&#10;    &amp;lt;/DecisionDS&amp;gt;&#10;  &amp;lt;/diffgr:diffgram&amp;gt;&#10;&amp;lt;/DecisionDS&amp;gt;"/>
    <w:docVar w:name="DecisionID" w:val="154561983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32">
    <w:name w:val=" Char Char32"/>
    <w:qFormat/>
    <w:rPr>
      <w:rFonts w:cs="David"/>
      <w:b/>
      <w:bCs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12255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1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144.g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5301256" TargetMode="External"/><Relationship Id="rId14" Type="http://schemas.openxmlformats.org/officeDocument/2006/relationships/hyperlink" Target="http://www.nevo.co.il/case/20786171" TargetMode="External"/><Relationship Id="rId15" Type="http://schemas.openxmlformats.org/officeDocument/2006/relationships/hyperlink" Target="http://www.nevo.co.il/case/25301256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c1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case/28122554" TargetMode="External"/><Relationship Id="rId24" Type="http://schemas.openxmlformats.org/officeDocument/2006/relationships/hyperlink" Target="http://www.nevo.co.il/case/29181761" TargetMode="External"/><Relationship Id="rId25" Type="http://schemas.openxmlformats.org/officeDocument/2006/relationships/hyperlink" Target="http://www.nevo.co.il/case/2812255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9564821" TargetMode="External"/><Relationship Id="rId30" Type="http://schemas.openxmlformats.org/officeDocument/2006/relationships/hyperlink" Target="http://www.nevo.co.il/case/29814894" TargetMode="External"/><Relationship Id="rId31" Type="http://schemas.openxmlformats.org/officeDocument/2006/relationships/hyperlink" Target="http://www.nevo.co.il/case/30019073" TargetMode="External"/><Relationship Id="rId32" Type="http://schemas.openxmlformats.org/officeDocument/2006/relationships/hyperlink" Target="http://www.nevo.co.il/law/70301/40jc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7513365" TargetMode="External"/><Relationship Id="rId35" Type="http://schemas.openxmlformats.org/officeDocument/2006/relationships/hyperlink" Target="http://www.nevo.co.il/case/5573417" TargetMode="External"/><Relationship Id="rId36" Type="http://schemas.openxmlformats.org/officeDocument/2006/relationships/hyperlink" Target="http://www.nevo.co.il/case/13093721" TargetMode="External"/><Relationship Id="rId37" Type="http://schemas.openxmlformats.org/officeDocument/2006/relationships/hyperlink" Target="http://www.nevo.co.il/case/29478290" TargetMode="External"/><Relationship Id="rId38" Type="http://schemas.openxmlformats.org/officeDocument/2006/relationships/hyperlink" Target="http://www.nevo.co.il/case/28558163" TargetMode="External"/><Relationship Id="rId39" Type="http://schemas.openxmlformats.org/officeDocument/2006/relationships/hyperlink" Target="http://www.nevo.co.il/case/20806292" TargetMode="External"/><Relationship Id="rId40" Type="http://schemas.openxmlformats.org/officeDocument/2006/relationships/hyperlink" Target="http://www.nevo.co.il/case/17954253" TargetMode="External"/><Relationship Id="rId41" Type="http://schemas.openxmlformats.org/officeDocument/2006/relationships/hyperlink" Target="http://www.nevo.co.il/case/11269856" TargetMode="External"/><Relationship Id="rId42" Type="http://schemas.openxmlformats.org/officeDocument/2006/relationships/hyperlink" Target="http://www.nevo.co.il/case/28697227" TargetMode="External"/><Relationship Id="rId43" Type="http://schemas.openxmlformats.org/officeDocument/2006/relationships/hyperlink" Target="http://www.nevo.co.il/case/28697218" TargetMode="External"/><Relationship Id="rId44" Type="http://schemas.openxmlformats.org/officeDocument/2006/relationships/hyperlink" Target="http://www.nevo.co.il/law/70301/144.g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30168342" TargetMode="External"/><Relationship Id="rId47" Type="http://schemas.openxmlformats.org/officeDocument/2006/relationships/hyperlink" Target="http://www.nevo.co.il/case/28513828" TargetMode="External"/><Relationship Id="rId48" Type="http://schemas.openxmlformats.org/officeDocument/2006/relationships/hyperlink" Target="http://www.nevo.co.il/case/27912651" TargetMode="External"/><Relationship Id="rId49" Type="http://schemas.openxmlformats.org/officeDocument/2006/relationships/hyperlink" Target="http://www.nevo.co.il/case/28266138" TargetMode="External"/><Relationship Id="rId50" Type="http://schemas.openxmlformats.org/officeDocument/2006/relationships/hyperlink" Target="http://www.nevo.co.il/case/28697227" TargetMode="External"/><Relationship Id="rId51" Type="http://schemas.openxmlformats.org/officeDocument/2006/relationships/hyperlink" Target="http://www.nevo.co.il/case/25301256" TargetMode="External"/><Relationship Id="rId52" Type="http://schemas.openxmlformats.org/officeDocument/2006/relationships/hyperlink" Target="http://www.nevo.co.il/case/20786171" TargetMode="External"/><Relationship Id="rId53" Type="http://schemas.openxmlformats.org/officeDocument/2006/relationships/hyperlink" Target="http://www.nevo.co.il/case/25301256" TargetMode="External"/><Relationship Id="rId54" Type="http://schemas.openxmlformats.org/officeDocument/2006/relationships/hyperlink" Target="http://www.nevo.co.il/case/20786171" TargetMode="External"/><Relationship Id="rId55" Type="http://schemas.openxmlformats.org/officeDocument/2006/relationships/hyperlink" Target="http://www.nevo.co.il/case/25301256" TargetMode="External"/><Relationship Id="rId56" Type="http://schemas.openxmlformats.org/officeDocument/2006/relationships/image" Target="media/image1.png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2024-08-28T06:10:00Z</dcterms:created>
  <dc:creator>h4</dc:creator>
  <dc:description/>
  <cp:keywords/>
  <dc:language>en-IL</dc:language>
  <cp:lastModifiedBy>orly</cp:lastModifiedBy>
  <dcterms:modified xsi:type="dcterms:W3CDTF">2024-08-28T06:10:00Z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נאדר דאעגלה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28122554:3;29181761;29564821;29814894;30019073;27513365;5573417;13093721;29478290;28558163;20806292;17954253;11269856;28697227:2;28697218;30168342;28513828;27912651;28266138;25301256:3;20786171:2</vt:lpwstr>
  </property>
  <property fmtid="{D5CDD505-2E9C-101B-9397-08002B2CF9AE}" pid="9" name="CITY">
    <vt:lpwstr/>
  </property>
  <property fmtid="{D5CDD505-2E9C-101B-9397-08002B2CF9AE}" pid="10" name="DATE">
    <vt:lpwstr>20240827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אלרון;חאלד כבוב;יחיאל כשר</vt:lpwstr>
  </property>
  <property fmtid="{D5CDD505-2E9C-101B-9397-08002B2CF9AE}" pid="14" name="LAWLISTTMP1">
    <vt:lpwstr>70301/144.b2;144.c1;029;144.a:2;031;40jc.a;144.g</vt:lpwstr>
  </property>
  <property fmtid="{D5CDD505-2E9C-101B-9397-08002B2CF9AE}" pid="15" name="LAWYER">
    <vt:lpwstr>מוחמד סראחנה;מיכל קורן לוין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</vt:lpwstr>
  </property>
  <property fmtid="{D5CDD505-2E9C-101B-9397-08002B2CF9AE}" pid="48" name="NOSE31">
    <vt:lpwstr>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>מתחם הענישה</vt:lpwstr>
  </property>
  <property fmtid="{D5CDD505-2E9C-101B-9397-08002B2CF9AE}" pid="52" name="NOSE34">
    <vt:lpwstr>תסקיר שירות מבחן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15230;13800;14985;13182</vt:lpwstr>
  </property>
  <property fmtid="{D5CDD505-2E9C-101B-9397-08002B2CF9AE}" pid="59" name="PADIDATE">
    <vt:lpwstr>20240828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8175;8273</vt:lpwstr>
  </property>
  <property fmtid="{D5CDD505-2E9C-101B-9397-08002B2CF9AE}" pid="65" name="PROCYEAR">
    <vt:lpwstr>22;22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410120240827</vt:lpwstr>
  </property>
  <property fmtid="{D5CDD505-2E9C-101B-9397-08002B2CF9AE}" pid="69" name="TYPE_N_DATE">
    <vt:lpwstr>41020240827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