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8189/17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10.9.2017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36313-01-16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פרידמן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05.02.2018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הולנדר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במזיד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תחבורה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והמסוכנות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שיפור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ענישה – מדיניות 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במזיד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בנתיב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לשוטר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תפקידו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ציות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לרמזור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מנהיגה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למשך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שחרורו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הנשיאה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גולדברג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מסוכנותו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וחומרתם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בבירור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ברישיון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בצהרי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זורע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מותיר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מבוטלים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ללעג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ומתעלם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במופגן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המבקשים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להגן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ולהביא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המסוכן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לקיצו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מבעיות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רפואיות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הבריאות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ליקוייו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הרפואיים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שוקללו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הניכר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להציב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בקצהו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איזן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ובראשן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ההיקף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שיפור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bookmarkStart w:id="15" w:name="Start_Write"/>
      <w:bookmarkEnd w:id="15"/>
      <w:r>
        <w:rPr>
          <w:rtl w:val="true"/>
        </w:rPr>
        <w:t xml:space="preserve">ערעור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36313-01-16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10.9.2017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נגזרו על המערער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>שמונה חודשי מאסר על תנאי למשך שלוש שנים שלא יעבור עבירת סיכון חיי אדם בנתיב תעבורה</w:t>
      </w:r>
      <w:r>
        <w:rPr>
          <w:rtl w:val="true"/>
        </w:rPr>
        <w:t xml:space="preserve">; </w:t>
      </w:r>
      <w:r>
        <w:rPr>
          <w:rtl w:val="true"/>
        </w:rPr>
        <w:t>ופסילה מנהיגה ומקבלת רישיון נהיגה למשך חמש שנים</w:t>
      </w:r>
      <w:r>
        <w:rPr>
          <w:rtl w:val="true"/>
        </w:rPr>
        <w:t xml:space="preserve">, </w:t>
      </w:r>
      <w:r>
        <w:rPr>
          <w:rtl w:val="true"/>
        </w:rPr>
        <w:t>אשר יימנו החל מיום שחרורו ממאסר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בעבירות סיכון חיי אדם במזיד בנתיב תחבורה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נהיגה בלי רישיון נהיגה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];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ציות לרמזור אדום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להשלמת התמונה</w:t>
      </w:r>
      <w:r>
        <w:rPr>
          <w:rtl w:val="true"/>
        </w:rPr>
        <w:t xml:space="preserve">, </w:t>
      </w:r>
      <w:r>
        <w:rPr>
          <w:rtl w:val="true"/>
        </w:rPr>
        <w:t>כי המערער זוכה מעבירת נהיגה תחת השפעת סמים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11.1.2016</w:t>
      </w:r>
      <w:r>
        <w:rPr>
          <w:rtl w:val="true"/>
        </w:rPr>
        <w:t xml:space="preserve"> </w:t>
      </w:r>
      <w:r>
        <w:rPr>
          <w:rtl w:val="true"/>
        </w:rPr>
        <w:t xml:space="preserve">נצפה המערער בירושלים על ידי שוטר התנועה ארז הרוש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הרוש</w:t>
      </w:r>
      <w:r>
        <w:rPr>
          <w:rtl w:val="true"/>
        </w:rPr>
        <w:t xml:space="preserve">) </w:t>
      </w:r>
      <w:r>
        <w:rPr>
          <w:rtl w:val="true"/>
        </w:rPr>
        <w:t>בעודו נוהג ברכב</w:t>
      </w:r>
      <w:r>
        <w:rPr>
          <w:rtl w:val="true"/>
        </w:rPr>
        <w:t xml:space="preserve">.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אשר הכיר את המערער מתוקף תפקידו</w:t>
      </w:r>
      <w:r>
        <w:rPr>
          <w:rtl w:val="true"/>
        </w:rPr>
        <w:t xml:space="preserve">, </w:t>
      </w:r>
      <w:r>
        <w:rPr>
          <w:rtl w:val="true"/>
        </w:rPr>
        <w:t>הורה לאחרון לעצור בצד הדרך באמצעות ידיו ובעזרת מערכת כריזה</w:t>
      </w:r>
      <w:r>
        <w:rPr>
          <w:rtl w:val="true"/>
        </w:rPr>
        <w:t xml:space="preserve">. </w:t>
      </w:r>
      <w:r>
        <w:rPr>
          <w:rtl w:val="true"/>
        </w:rPr>
        <w:t>המערער לא שעה להוראה זו</w:t>
      </w:r>
      <w:r>
        <w:rPr>
          <w:rtl w:val="true"/>
        </w:rPr>
        <w:t xml:space="preserve">, </w:t>
      </w:r>
      <w:r>
        <w:rPr>
          <w:rtl w:val="true"/>
        </w:rPr>
        <w:t>והמשיך בנסיעתו</w:t>
      </w:r>
      <w:r>
        <w:rPr>
          <w:rtl w:val="true"/>
        </w:rPr>
        <w:t xml:space="preserve">. </w:t>
      </w:r>
      <w:r>
        <w:rPr>
          <w:rtl w:val="true"/>
        </w:rPr>
        <w:t>משנאלץ לעצור באחד מצמתי העיר</w:t>
      </w:r>
      <w:r>
        <w:rPr>
          <w:rtl w:val="true"/>
        </w:rPr>
        <w:t xml:space="preserve">, </w:t>
      </w:r>
      <w:r>
        <w:rPr>
          <w:rtl w:val="true"/>
        </w:rPr>
        <w:t>הורה לו הרוש בשנית לעצור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פנה המערער ימינה מנתיב בו מותרת הנסיעה ישר בלבד</w:t>
      </w:r>
      <w:r>
        <w:rPr>
          <w:rtl w:val="true"/>
        </w:rPr>
        <w:t xml:space="preserve">, </w:t>
      </w:r>
      <w:r>
        <w:rPr>
          <w:rtl w:val="true"/>
        </w:rPr>
        <w:t>תוך שהוא נוסע במהירות בין שני כלי רכב שנסעו במקום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דלקו אחר המערער הן הרוש</w:t>
      </w:r>
      <w:r>
        <w:rPr>
          <w:rtl w:val="true"/>
        </w:rPr>
        <w:t xml:space="preserve">, </w:t>
      </w:r>
      <w:r>
        <w:rPr>
          <w:rtl w:val="true"/>
        </w:rPr>
        <w:t>באמצעות אופנוע משטרה</w:t>
      </w:r>
      <w:r>
        <w:rPr>
          <w:rtl w:val="true"/>
        </w:rPr>
        <w:t xml:space="preserve">, </w:t>
      </w:r>
      <w:r>
        <w:rPr>
          <w:rtl w:val="true"/>
        </w:rPr>
        <w:t xml:space="preserve">הן ניידת משטרה ובה השוטר שלומי דהן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דהן</w:t>
      </w:r>
      <w:r>
        <w:rPr>
          <w:rtl w:val="true"/>
        </w:rPr>
        <w:t xml:space="preserve">) </w:t>
      </w:r>
      <w:r>
        <w:rPr>
          <w:rtl w:val="true"/>
        </w:rPr>
        <w:t>ופקח משרד התחבורה</w:t>
      </w:r>
      <w:r>
        <w:rPr>
          <w:rtl w:val="true"/>
        </w:rPr>
        <w:t xml:space="preserve">, </w:t>
      </w:r>
      <w:r>
        <w:rPr>
          <w:rtl w:val="true"/>
        </w:rPr>
        <w:t>תוך שאורותיה מהבהבים ובכריזתה נשמעות קריאות המורות למערער לעצור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המשיך בנסיעתו</w:t>
      </w:r>
      <w:r>
        <w:rPr>
          <w:rtl w:val="true"/>
        </w:rPr>
        <w:t xml:space="preserve">, </w:t>
      </w:r>
      <w:r>
        <w:rPr>
          <w:rtl w:val="true"/>
        </w:rPr>
        <w:t>תוך שהוא חוצה כיכר בניגוד לכיוון התנועה וגורם לכלי רכב אחרים לסטות ימינה ולבלום</w:t>
      </w:r>
      <w:r>
        <w:rPr>
          <w:rtl w:val="true"/>
        </w:rPr>
        <w:t xml:space="preserve">. </w:t>
      </w:r>
      <w:r>
        <w:rPr>
          <w:rtl w:val="true"/>
        </w:rPr>
        <w:t>כאשר עצר ברמזור אדום</w:t>
      </w:r>
      <w:r>
        <w:rPr>
          <w:rtl w:val="true"/>
        </w:rPr>
        <w:t xml:space="preserve">, </w:t>
      </w:r>
      <w:r>
        <w:rPr>
          <w:rtl w:val="true"/>
        </w:rPr>
        <w:t>יצא דהן מניידת המשטרה</w:t>
      </w:r>
      <w:r>
        <w:rPr>
          <w:rtl w:val="true"/>
        </w:rPr>
        <w:t xml:space="preserve">, </w:t>
      </w:r>
      <w:r>
        <w:rPr>
          <w:rtl w:val="true"/>
        </w:rPr>
        <w:t>קרא למערער לעצור ואף ניסה לפתוח את דלתות רכבו</w:t>
      </w:r>
      <w:r>
        <w:rPr>
          <w:rtl w:val="true"/>
        </w:rPr>
        <w:t xml:space="preserve">. </w:t>
      </w:r>
      <w:r>
        <w:rPr>
          <w:rtl w:val="true"/>
        </w:rPr>
        <w:t>המערער התעלם מקריאות אלו</w:t>
      </w:r>
      <w:r>
        <w:rPr>
          <w:rtl w:val="true"/>
        </w:rPr>
        <w:t xml:space="preserve">, </w:t>
      </w:r>
      <w:r>
        <w:rPr>
          <w:rtl w:val="true"/>
        </w:rPr>
        <w:t>והמשיך בנסיעה מהירה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נסע המערער בנתיב הנגדי וגרם לכלי רכב שנסעו במקום לסטות לצדדים</w:t>
      </w:r>
      <w:r>
        <w:rPr>
          <w:rtl w:val="true"/>
        </w:rPr>
        <w:t xml:space="preserve">. </w:t>
      </w:r>
      <w:r>
        <w:rPr>
          <w:rtl w:val="true"/>
        </w:rPr>
        <w:t>משראה כי ניידת המשטרה נוסעת במקביל אליו</w:t>
      </w:r>
      <w:r>
        <w:rPr>
          <w:rtl w:val="true"/>
        </w:rPr>
        <w:t xml:space="preserve">, </w:t>
      </w:r>
      <w:r>
        <w:rPr>
          <w:rtl w:val="true"/>
        </w:rPr>
        <w:t>סטה המערער ממסלולו ונגח בניידת המשטרה באמצעות רכבו</w:t>
      </w:r>
      <w:r>
        <w:rPr>
          <w:rtl w:val="true"/>
        </w:rPr>
        <w:t xml:space="preserve">. </w:t>
      </w:r>
      <w:r>
        <w:rPr>
          <w:rtl w:val="true"/>
        </w:rPr>
        <w:t>המערער חזר בהמשך לנתיב הנסיעה החוקי</w:t>
      </w:r>
      <w:r>
        <w:rPr>
          <w:rtl w:val="true"/>
        </w:rPr>
        <w:t xml:space="preserve">, </w:t>
      </w:r>
      <w:r>
        <w:rPr>
          <w:rtl w:val="true"/>
        </w:rPr>
        <w:t>אך בתגובה לניסיונה של ניידת המשטרה לחסום את דרכו</w:t>
      </w:r>
      <w:r>
        <w:rPr>
          <w:rtl w:val="true"/>
        </w:rPr>
        <w:t xml:space="preserve">, </w:t>
      </w:r>
      <w:r>
        <w:rPr>
          <w:rtl w:val="true"/>
        </w:rPr>
        <w:t>סטה לכיוונה תוך שהוא חוסם את כיוון נסיעתה</w:t>
      </w:r>
      <w:r>
        <w:rPr>
          <w:rtl w:val="true"/>
        </w:rPr>
        <w:t xml:space="preserve">. </w:t>
      </w:r>
      <w:r>
        <w:rPr>
          <w:rtl w:val="true"/>
        </w:rPr>
        <w:t>כתוצאה מכך אירעה התנגשות בין שני הרכבים</w:t>
      </w:r>
      <w:r>
        <w:rPr>
          <w:rtl w:val="true"/>
        </w:rPr>
        <w:t xml:space="preserve">, </w:t>
      </w:r>
      <w:r>
        <w:rPr>
          <w:rtl w:val="true"/>
        </w:rPr>
        <w:t>ובעקבותיה איבד המערער שליטה ברכבו ועלה על אי תנועה</w:t>
      </w:r>
      <w:r>
        <w:rPr>
          <w:rtl w:val="true"/>
        </w:rPr>
        <w:t xml:space="preserve">. </w:t>
      </w:r>
      <w:r>
        <w:rPr>
          <w:rtl w:val="true"/>
        </w:rPr>
        <w:t>התאונה גרמה נזק כבד לניידת המשטרה ואף הביאה להשבתתה</w:t>
      </w:r>
      <w:r>
        <w:rPr>
          <w:rtl w:val="true"/>
        </w:rPr>
        <w:t xml:space="preserve">, </w:t>
      </w:r>
      <w:r>
        <w:rPr>
          <w:rtl w:val="true"/>
        </w:rPr>
        <w:t>וכן פצעה את הפקח שישב בתוכה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שאליו הצטרפו שוטרי יס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ניגש לעבר רכבו של המערער</w:t>
      </w:r>
      <w:r>
        <w:rPr>
          <w:rtl w:val="true"/>
        </w:rPr>
        <w:t xml:space="preserve">, </w:t>
      </w:r>
      <w:r>
        <w:rPr>
          <w:rtl w:val="true"/>
        </w:rPr>
        <w:t>או אז החל האחרון שוב בנסיעה מהירה בניגוד לכיוון התנועה</w:t>
      </w:r>
      <w:r>
        <w:rPr>
          <w:rtl w:val="true"/>
        </w:rPr>
        <w:t xml:space="preserve">. </w:t>
      </w:r>
      <w:r>
        <w:rPr>
          <w:rtl w:val="true"/>
        </w:rPr>
        <w:t>כעבור מרחק קצר</w:t>
      </w:r>
      <w:r>
        <w:rPr>
          <w:rtl w:val="true"/>
        </w:rPr>
        <w:t xml:space="preserve">, </w:t>
      </w:r>
      <w:r>
        <w:rPr>
          <w:rtl w:val="true"/>
        </w:rPr>
        <w:t>מצא המערער כי אינו יכול להמשיך בשל עומסי תנועה</w:t>
      </w:r>
      <w:r>
        <w:rPr>
          <w:rtl w:val="true"/>
        </w:rPr>
        <w:t xml:space="preserve">, </w:t>
      </w:r>
      <w:r>
        <w:rPr>
          <w:rtl w:val="true"/>
        </w:rPr>
        <w:t>ועל כן החל בנסיעה אחורנית תוך שהוא עולה על מדרכה</w:t>
      </w:r>
      <w:r>
        <w:rPr>
          <w:rtl w:val="true"/>
        </w:rPr>
        <w:t xml:space="preserve">, </w:t>
      </w:r>
      <w:r>
        <w:rPr>
          <w:rtl w:val="true"/>
        </w:rPr>
        <w:t>ובהמשך נסע במהירות קדימה</w:t>
      </w:r>
      <w:r>
        <w:rPr>
          <w:rtl w:val="true"/>
        </w:rPr>
        <w:t xml:space="preserve">. </w:t>
      </w:r>
      <w:r>
        <w:rPr>
          <w:rtl w:val="true"/>
        </w:rPr>
        <w:t>במהלך תמרון זה נאלץ הרוש לסטות למדרכה הימנית על מנת שלא להיפגע מהמערער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בהמשך דרכו פגע המערער ברכב אשר עמד באותה העת ברמזור</w:t>
      </w:r>
      <w:r>
        <w:rPr>
          <w:rtl w:val="true"/>
        </w:rPr>
        <w:t xml:space="preserve">. </w:t>
      </w:r>
      <w:r>
        <w:rPr>
          <w:rtl w:val="true"/>
        </w:rPr>
        <w:t>נהג הרכב</w:t>
      </w:r>
      <w:r>
        <w:rPr>
          <w:rtl w:val="true"/>
        </w:rPr>
        <w:t xml:space="preserve">, </w:t>
      </w:r>
      <w:r>
        <w:rPr>
          <w:rtl w:val="true"/>
        </w:rPr>
        <w:t xml:space="preserve">אשר אוחיון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tl w:val="true"/>
        </w:rPr>
        <w:t xml:space="preserve">), </w:t>
      </w:r>
      <w:r>
        <w:rPr>
          <w:rtl w:val="true"/>
        </w:rPr>
        <w:t>שהבחין במערער ובשוטרי המשטרה הדולקים אחריו</w:t>
      </w:r>
      <w:r>
        <w:rPr>
          <w:rtl w:val="true"/>
        </w:rPr>
        <w:t xml:space="preserve">, </w:t>
      </w:r>
      <w:r>
        <w:rPr>
          <w:rtl w:val="true"/>
        </w:rPr>
        <w:t>הצטרף למרדף</w:t>
      </w:r>
      <w:r>
        <w:rPr>
          <w:rtl w:val="true"/>
        </w:rPr>
        <w:t xml:space="preserve">, </w:t>
      </w:r>
      <w:r>
        <w:rPr>
          <w:rtl w:val="true"/>
        </w:rPr>
        <w:t>בסוברו כי מדובר במפגע</w:t>
      </w:r>
      <w:r>
        <w:rPr>
          <w:rtl w:val="true"/>
        </w:rPr>
        <w:t xml:space="preserve">. </w:t>
      </w:r>
      <w:r>
        <w:rPr>
          <w:rtl w:val="true"/>
        </w:rPr>
        <w:t>המערער הוסיף לעבור את אחד הצמתים הבאים ברמזור אדום</w:t>
      </w:r>
      <w:r>
        <w:rPr>
          <w:rtl w:val="true"/>
        </w:rPr>
        <w:t xml:space="preserve">, </w:t>
      </w:r>
      <w:r>
        <w:rPr>
          <w:rtl w:val="true"/>
        </w:rPr>
        <w:t>תוך שהוא נכנס בין כלי רכב ופוגע בהם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עלה בידו של אוחיון לעקוף את המערער ולעצור את רכבו באופן אשר חסם את נתיב נסיעתו של האחרון</w:t>
      </w:r>
      <w:r>
        <w:rPr>
          <w:rtl w:val="true"/>
        </w:rPr>
        <w:t xml:space="preserve">. </w:t>
      </w:r>
      <w:r>
        <w:rPr>
          <w:rtl w:val="true"/>
        </w:rPr>
        <w:t>המערער התנגש במהירות ברכבו של אוחיון</w:t>
      </w:r>
      <w:r>
        <w:rPr>
          <w:rtl w:val="true"/>
        </w:rPr>
        <w:t xml:space="preserve">, </w:t>
      </w:r>
      <w:r>
        <w:rPr>
          <w:rtl w:val="true"/>
        </w:rPr>
        <w:t>וגרם לו נזק</w:t>
      </w:r>
      <w:r>
        <w:rPr>
          <w:rtl w:val="true"/>
        </w:rPr>
        <w:t xml:space="preserve">. </w:t>
      </w:r>
      <w:r>
        <w:rPr>
          <w:rtl w:val="true"/>
        </w:rPr>
        <w:t>אנשי המשטרה שהגיעו למקום הוציאו את המערער מרכבו</w:t>
      </w:r>
      <w:r>
        <w:rPr>
          <w:rtl w:val="true"/>
        </w:rPr>
        <w:t xml:space="preserve">, </w:t>
      </w:r>
      <w:r>
        <w:rPr>
          <w:rtl w:val="true"/>
        </w:rPr>
        <w:t>ובכך בא האירוע לקיצו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עמד בית משפט קמא על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על הערכים החברתיים המוגנים שנפגעו מביצוע העבירות ועל הנסיבות הקשורות בביצוען</w:t>
      </w:r>
      <w:r>
        <w:rPr>
          <w:rtl w:val="true"/>
        </w:rPr>
        <w:t xml:space="preserve">. </w:t>
      </w:r>
      <w:r>
        <w:rPr>
          <w:rtl w:val="true"/>
        </w:rPr>
        <w:t>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סקר בית משפט קמא את גזרי הדין שהגישו הצדדים</w:t>
      </w:r>
      <w:r>
        <w:rPr>
          <w:rtl w:val="true"/>
        </w:rPr>
        <w:t xml:space="preserve">, </w:t>
      </w:r>
      <w:r>
        <w:rPr>
          <w:rtl w:val="true"/>
        </w:rPr>
        <w:t>ועמד על העונשים אשר הושתו במסגרתם</w:t>
      </w:r>
      <w:r>
        <w:rPr>
          <w:rtl w:val="true"/>
        </w:rPr>
        <w:t xml:space="preserve">. </w:t>
      </w:r>
      <w:r>
        <w:rPr>
          <w:rtl w:val="true"/>
        </w:rPr>
        <w:t>אשר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ציין בית משפט קמא את ההגנה על חיי אדם</w:t>
      </w:r>
      <w:r>
        <w:rPr>
          <w:rtl w:val="true"/>
        </w:rPr>
        <w:t xml:space="preserve">, </w:t>
      </w:r>
      <w:r>
        <w:rPr>
          <w:rtl w:val="true"/>
        </w:rPr>
        <w:t>את ביטחון העוברים בדרך ואת ההגנה על הרכוש</w:t>
      </w:r>
      <w:r>
        <w:rPr>
          <w:rtl w:val="true"/>
        </w:rPr>
        <w:t xml:space="preserve">. </w:t>
      </w:r>
      <w:r>
        <w:rPr>
          <w:rtl w:val="true"/>
        </w:rPr>
        <w:t>אשר לנסיבות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הדגיש בית משפט קמא כי המערער נהג באופן פראי בכבישים ראשיים בצהרי היום</w:t>
      </w:r>
      <w:r>
        <w:rPr>
          <w:rtl w:val="true"/>
        </w:rPr>
        <w:t xml:space="preserve">, </w:t>
      </w:r>
      <w:r>
        <w:rPr>
          <w:rtl w:val="true"/>
        </w:rPr>
        <w:t>על אף שמעולם לא קיבל רישיון נהיגה</w:t>
      </w:r>
      <w:r>
        <w:rPr>
          <w:rtl w:val="true"/>
        </w:rPr>
        <w:t xml:space="preserve">; </w:t>
      </w:r>
      <w:r>
        <w:rPr>
          <w:rtl w:val="true"/>
        </w:rPr>
        <w:t>כי סיכן את הנוסעים בדרך ואת הולכי הרגל</w:t>
      </w:r>
      <w:r>
        <w:rPr>
          <w:rtl w:val="true"/>
        </w:rPr>
        <w:t xml:space="preserve">; </w:t>
      </w:r>
      <w:r>
        <w:rPr>
          <w:rtl w:val="true"/>
        </w:rPr>
        <w:t>כי התעלם מהוראות השוטרים ונמלט מהם</w:t>
      </w:r>
      <w:r>
        <w:rPr>
          <w:rtl w:val="true"/>
        </w:rPr>
        <w:t xml:space="preserve">; </w:t>
      </w:r>
      <w:r>
        <w:rPr>
          <w:rtl w:val="true"/>
        </w:rPr>
        <w:t>כי פגע באחד השוטרים וגרם נזק למכוניות</w:t>
      </w:r>
      <w:r>
        <w:rPr>
          <w:rtl w:val="true"/>
        </w:rPr>
        <w:t xml:space="preserve">; </w:t>
      </w:r>
      <w:r>
        <w:rPr>
          <w:rtl w:val="true"/>
        </w:rPr>
        <w:t>וכי אלמלא נעצר הודות לתושייתו של אזרח</w:t>
      </w:r>
      <w:r>
        <w:rPr>
          <w:rtl w:val="true"/>
        </w:rPr>
        <w:t xml:space="preserve">, </w:t>
      </w:r>
      <w:r>
        <w:rPr>
          <w:rtl w:val="true"/>
        </w:rPr>
        <w:t>אפשר שהיה גורם לנזקים חמורים יותר</w:t>
      </w:r>
      <w:r>
        <w:rPr>
          <w:rtl w:val="true"/>
        </w:rPr>
        <w:t xml:space="preserve">. </w:t>
      </w:r>
      <w:r>
        <w:rPr>
          <w:rtl w:val="true"/>
        </w:rPr>
        <w:t>בנסיבות האמורות לעיל</w:t>
      </w:r>
      <w:r>
        <w:rPr>
          <w:rtl w:val="true"/>
        </w:rPr>
        <w:t xml:space="preserve">, </w:t>
      </w:r>
      <w:r>
        <w:rPr>
          <w:rtl w:val="true"/>
        </w:rPr>
        <w:t>הציב בית משפט קמא מתחם ענישה הולם הנע בין שתי שנות מאסר בפועל לבין חמש 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קבע בית המשפט קמא את העונש המתאים למערער בתוך מתחם הענישה</w:t>
      </w:r>
      <w:r>
        <w:rPr>
          <w:rtl w:val="true"/>
        </w:rPr>
        <w:t xml:space="preserve">, </w:t>
      </w:r>
      <w:r>
        <w:rPr>
          <w:rtl w:val="true"/>
        </w:rPr>
        <w:t>על פי נסיבותיו האישיות</w:t>
      </w:r>
      <w:r>
        <w:rPr>
          <w:rtl w:val="true"/>
        </w:rPr>
        <w:t xml:space="preserve">. </w:t>
      </w:r>
      <w:r>
        <w:rPr>
          <w:rtl w:val="true"/>
        </w:rPr>
        <w:t>כשיקולים לחומרה</w:t>
      </w:r>
      <w:r>
        <w:rPr>
          <w:rtl w:val="true"/>
        </w:rPr>
        <w:t xml:space="preserve">, </w:t>
      </w:r>
      <w:r>
        <w:rPr>
          <w:rtl w:val="true"/>
        </w:rPr>
        <w:t>התייחס בית משפט קמא לעברו הפלילי המכביד של המערער ולעונשי המאסר הרבים שריצה עד כה</w:t>
      </w:r>
      <w:r>
        <w:rPr>
          <w:rtl w:val="true"/>
        </w:rPr>
        <w:t xml:space="preserve">. </w:t>
      </w:r>
      <w:r>
        <w:rPr>
          <w:rtl w:val="true"/>
        </w:rPr>
        <w:t>כשיקולים לקולה</w:t>
      </w:r>
      <w:r>
        <w:rPr>
          <w:rtl w:val="true"/>
        </w:rPr>
        <w:t xml:space="preserve">, </w:t>
      </w:r>
      <w:r>
        <w:rPr>
          <w:rtl w:val="true"/>
        </w:rPr>
        <w:t>ציין בית המשפט את מצבו הרפואי הקשה של המערער</w:t>
      </w:r>
      <w:r>
        <w:rPr>
          <w:rtl w:val="true"/>
        </w:rPr>
        <w:t xml:space="preserve">, </w:t>
      </w:r>
      <w:r>
        <w:rPr>
          <w:rtl w:val="true"/>
        </w:rPr>
        <w:t>על פי מסמכים שהוצגו בפניו</w:t>
      </w:r>
      <w:r>
        <w:rPr>
          <w:rtl w:val="true"/>
        </w:rPr>
        <w:t xml:space="preserve">; </w:t>
      </w:r>
      <w:r>
        <w:rPr>
          <w:rtl w:val="true"/>
        </w:rPr>
        <w:t>ואת המאמץ שעשה על מנת להביא את כלל התיקים שנפתחו נגדו לסיומם</w:t>
      </w:r>
      <w:r>
        <w:rPr>
          <w:rtl w:val="true"/>
        </w:rPr>
        <w:t xml:space="preserve">, </w:t>
      </w:r>
      <w:r>
        <w:rPr>
          <w:rtl w:val="true"/>
        </w:rPr>
        <w:t>ובכלל זה את הודאתו באישומים שיוחסו לו במספר תיקים אחרים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בסיכומם של דברים</w:t>
      </w:r>
      <w:r>
        <w:rPr>
          <w:rtl w:val="true"/>
        </w:rPr>
        <w:t xml:space="preserve">, </w:t>
      </w:r>
      <w:r>
        <w:rPr>
          <w:rtl w:val="true"/>
        </w:rPr>
        <w:t>הבהיר בית משפט קמא כי תכליתה העיקרית של ענישת המערער היא הרחקתו מהציבור</w:t>
      </w:r>
      <w:r>
        <w:rPr>
          <w:rtl w:val="true"/>
        </w:rPr>
        <w:t xml:space="preserve">, </w:t>
      </w:r>
      <w:r>
        <w:rPr>
          <w:rtl w:val="true"/>
        </w:rPr>
        <w:t>על מנת למנוע את הסכנה הנשקפת ממנו</w:t>
      </w:r>
      <w:r>
        <w:rPr>
          <w:rtl w:val="true"/>
        </w:rPr>
        <w:t xml:space="preserve">. </w:t>
      </w:r>
      <w:r>
        <w:rPr>
          <w:rtl w:val="true"/>
        </w:rPr>
        <w:t>אף שסבר כי נסיבות אלו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מצדיקות לגזור את דינו של המערער ברף העליון של מתחם הענישה</w:t>
      </w:r>
      <w:r>
        <w:rPr>
          <w:rtl w:val="true"/>
        </w:rPr>
        <w:t xml:space="preserve">, </w:t>
      </w:r>
      <w:r>
        <w:rPr>
          <w:rtl w:val="true"/>
        </w:rPr>
        <w:t>מצא לבסוף בית משפט קמא כי יש להעמיד את עונשו באמצע המתחם</w:t>
      </w:r>
      <w:r>
        <w:rPr>
          <w:rtl w:val="true"/>
        </w:rPr>
        <w:t xml:space="preserve">, </w:t>
      </w:r>
      <w:r>
        <w:rPr>
          <w:rtl w:val="true"/>
        </w:rPr>
        <w:t>בשל מצבו הרפואי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נקבע עונשו של המערער כפי שפורט בפסקה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מכאן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 xml:space="preserve">טוען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מ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ומבקש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סבור המערער כי יש להתחשב במצבו הבריאותי הקשה</w:t>
      </w:r>
      <w:r>
        <w:rPr>
          <w:rtl w:val="true"/>
        </w:rPr>
        <w:t xml:space="preserve">, </w:t>
      </w:r>
      <w:r>
        <w:rPr>
          <w:rtl w:val="true"/>
        </w:rPr>
        <w:t>בסבל שאותו הוא חווה במאסר בשל מחלתו חשוכת המרפא</w:t>
      </w:r>
      <w:r>
        <w:rPr>
          <w:rtl w:val="true"/>
        </w:rPr>
        <w:t xml:space="preserve">, </w:t>
      </w:r>
      <w:r>
        <w:rPr>
          <w:rtl w:val="true"/>
        </w:rPr>
        <w:t>ובסכנה הנשקפת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לחייו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יש לקצר את עונשו </w:t>
      </w:r>
      <w:r>
        <w:rPr>
          <w:rtl w:val="true"/>
        </w:rPr>
        <w:t>"</w:t>
      </w:r>
      <w:r>
        <w:rPr>
          <w:rtl w:val="true"/>
        </w:rPr>
        <w:t>מטעמי צדק והומניות</w:t>
      </w:r>
      <w:r>
        <w:rPr>
          <w:rtl w:val="true"/>
        </w:rPr>
        <w:t xml:space="preserve">", </w:t>
      </w:r>
      <w:r>
        <w:rPr>
          <w:rtl w:val="true"/>
        </w:rPr>
        <w:t>וזאת על מנת להקל עליו לשקם את חייו על ידי קבלת טיפולים רפואיים מתאימים בסיוע משפחתו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המשיבה מדגישה את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ועומדת על כך שבית משפט קמא נתן דעתו למצבו הרפואי ולאורו גזר את עונשו באמצע מתחם הענישה</w:t>
      </w:r>
      <w:r>
        <w:rPr>
          <w:rtl w:val="true"/>
        </w:rPr>
        <w:t xml:space="preserve">. </w:t>
      </w:r>
      <w:r>
        <w:rPr>
          <w:rtl w:val="true"/>
        </w:rPr>
        <w:t xml:space="preserve">בהסתמך על חוות דעת מיום </w:t>
      </w:r>
      <w:r>
        <w:rPr/>
        <w:t>28.1.2018</w:t>
      </w:r>
      <w:r>
        <w:rPr>
          <w:rtl w:val="true"/>
        </w:rPr>
        <w:t xml:space="preserve"> </w:t>
      </w:r>
      <w:r>
        <w:rPr>
          <w:rtl w:val="true"/>
        </w:rPr>
        <w:t>שאותה הגישה במהלך הדיון שקיימנו לפנינו</w:t>
      </w:r>
      <w:r>
        <w:rPr>
          <w:rtl w:val="true"/>
        </w:rPr>
        <w:t xml:space="preserve">, </w:t>
      </w:r>
      <w:r>
        <w:rPr>
          <w:rtl w:val="true"/>
        </w:rPr>
        <w:t>ציינה המשיבה כי דומה שחל שיפור במצבו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>ולפיכך הטילה ספק בהנחה שבריאותו תידרדר בשל מאסרו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הפנתה המשיבה לתדפיס המידע הפלילי </w:t>
      </w:r>
      <w:r>
        <w:rPr>
          <w:rtl w:val="true"/>
        </w:rPr>
        <w:t>"</w:t>
      </w:r>
      <w:r>
        <w:rPr>
          <w:rtl w:val="true"/>
        </w:rPr>
        <w:t>עב הכרס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>של המערער</w:t>
      </w:r>
      <w:r>
        <w:rPr>
          <w:rtl w:val="true"/>
        </w:rPr>
        <w:t xml:space="preserve">. </w:t>
      </w:r>
      <w:r>
        <w:rPr>
          <w:rtl w:val="true"/>
        </w:rPr>
        <w:t>המשיבה הדגישה כי לחובת המערער עומדות הרשעות רבות</w:t>
      </w:r>
      <w:r>
        <w:rPr>
          <w:rtl w:val="true"/>
        </w:rPr>
        <w:t xml:space="preserve">, </w:t>
      </w:r>
      <w:r>
        <w:rPr>
          <w:rtl w:val="true"/>
        </w:rPr>
        <w:t>שבגינן ריצה למעלה מ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חודשי מאסר באופן מצטבר</w:t>
      </w:r>
      <w:r>
        <w:rPr>
          <w:rtl w:val="true"/>
        </w:rPr>
        <w:t xml:space="preserve">. </w:t>
      </w:r>
      <w:r>
        <w:rPr>
          <w:rtl w:val="true"/>
        </w:rPr>
        <w:t>בפרט הוער כי המערער מעולם לא הוציא רישיון נהיגה</w:t>
      </w:r>
      <w:r>
        <w:rPr>
          <w:rtl w:val="true"/>
        </w:rPr>
        <w:t xml:space="preserve">, </w:t>
      </w:r>
      <w:r>
        <w:rPr>
          <w:rtl w:val="true"/>
        </w:rPr>
        <w:t>ואף על פי כן נתפס מספר פעמים בעודו נוהג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בגזר דינו של בית משפט קמא ולאחר שמיעת הצדדים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מתערבת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9821/16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30</w:t>
      </w:r>
      <w:r>
        <w:rPr/>
        <w:t>.1</w:t>
      </w:r>
      <w:r>
        <w:rPr/>
        <w:t>1</w:t>
      </w:r>
      <w:r>
        <w:rPr/>
        <w:t>.2017</w:t>
      </w:r>
      <w:r>
        <w:rPr>
          <w:rtl w:val="true"/>
        </w:rPr>
        <w:t xml:space="preserve">)). </w:t>
      </w:r>
      <w:r>
        <w:rPr>
          <w:rtl w:val="true"/>
        </w:rPr>
        <w:t>לעמדתנו</w:t>
      </w:r>
      <w:r>
        <w:rPr>
          <w:rtl w:val="true"/>
        </w:rPr>
        <w:t xml:space="preserve">, </w:t>
      </w:r>
      <w:r>
        <w:rPr>
          <w:rtl w:val="true"/>
        </w:rPr>
        <w:t>עניינו של המערער אינו נמנה עם אותם המקרים החריגים המצדיקים התערבות</w:t>
      </w:r>
      <w:r>
        <w:rPr>
          <w:rtl w:val="true"/>
        </w:rPr>
        <w:t xml:space="preserve">, </w:t>
      </w:r>
      <w:r>
        <w:rPr>
          <w:rtl w:val="true"/>
        </w:rPr>
        <w:t>מן הטעמים שיפורטו להלן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מסוכנותו הרבה של המערער וחומרתם הניכרת של מעשיו נשקפים בבירור למקרא כתב האישום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 כאמור מעולם לא אחז ברישיון נהיגה חוקי</w:t>
      </w:r>
      <w:r>
        <w:rPr>
          <w:rtl w:val="true"/>
        </w:rPr>
        <w:t xml:space="preserve">, </w:t>
      </w:r>
      <w:r>
        <w:rPr>
          <w:rtl w:val="true"/>
        </w:rPr>
        <w:t>נהג בפראות בלב העיר ירושלים בצהרי היום תוך שהוא זורע בהלה</w:t>
      </w:r>
      <w:r>
        <w:rPr>
          <w:rtl w:val="true"/>
        </w:rPr>
        <w:t xml:space="preserve">, </w:t>
      </w:r>
      <w:r>
        <w:rPr>
          <w:rtl w:val="true"/>
        </w:rPr>
        <w:t>מותיר אחריו נזקים בלתי מבוטלים לגוף ולרכוש</w:t>
      </w:r>
      <w:r>
        <w:rPr>
          <w:rtl w:val="true"/>
        </w:rPr>
        <w:t xml:space="preserve">, </w:t>
      </w:r>
      <w:r>
        <w:rPr>
          <w:rtl w:val="true"/>
        </w:rPr>
        <w:t>שם ללעג את חוקי התעבורה</w:t>
      </w:r>
      <w:r>
        <w:rPr>
          <w:rtl w:val="true"/>
        </w:rPr>
        <w:t xml:space="preserve">, </w:t>
      </w:r>
      <w:r>
        <w:rPr>
          <w:rtl w:val="true"/>
        </w:rPr>
        <w:t>ומתעלם במופגן מהוראותיהם של אנשי המשטרה המבקשים להגן על הציבור מפניו ולהביא את מסעו המסוכן לקיצו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לענייננו דבריו מן העת האחרונה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4763/17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29.1.2018</w:t>
      </w:r>
      <w:r>
        <w:rPr>
          <w:rtl w:val="true"/>
        </w:rPr>
        <w:t xml:space="preserve">), </w:t>
      </w:r>
      <w:r>
        <w:rPr>
          <w:rtl w:val="true"/>
        </w:rPr>
        <w:t>שם ציין כדלקמן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התחבורה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 השכיל להכיר בחומרת מעשיו</w:t>
      </w:r>
      <w:r>
        <w:rPr>
          <w:rtl w:val="true"/>
        </w:rPr>
        <w:t xml:space="preserve">, </w:t>
      </w:r>
      <w:r>
        <w:rPr>
          <w:rtl w:val="true"/>
        </w:rPr>
        <w:t>מיקד את טענותיו בנסיבותיו האישיות</w:t>
      </w:r>
      <w:r>
        <w:rPr>
          <w:rtl w:val="true"/>
        </w:rPr>
        <w:t xml:space="preserve">, </w:t>
      </w:r>
      <w:r>
        <w:rPr>
          <w:rtl w:val="true"/>
        </w:rPr>
        <w:t>ובפרט במחלתו הקשה</w:t>
      </w:r>
      <w:r>
        <w:rPr>
          <w:rtl w:val="true"/>
        </w:rPr>
        <w:t xml:space="preserve">. </w:t>
      </w:r>
      <w:r>
        <w:rPr>
          <w:rtl w:val="true"/>
        </w:rPr>
        <w:t xml:space="preserve">עיון בחוות הדעת הרפואיות שנערכו בעניינו </w:t>
      </w:r>
      <w:r>
        <w:rPr>
          <w:rtl w:val="true"/>
        </w:rPr>
        <w:t>–</w:t>
      </w:r>
      <w:r>
        <w:rPr>
          <w:rtl w:val="true"/>
        </w:rPr>
        <w:t xml:space="preserve"> הן זו מיום </w:t>
      </w:r>
      <w:r>
        <w:rPr/>
        <w:t>3.11.2016</w:t>
      </w:r>
      <w:r>
        <w:rPr>
          <w:rtl w:val="true"/>
        </w:rPr>
        <w:t xml:space="preserve"> </w:t>
      </w:r>
      <w:r>
        <w:rPr>
          <w:rtl w:val="true"/>
        </w:rPr>
        <w:t xml:space="preserve">שהוגשה לבית משפט קמא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הקודמת</w:t>
      </w:r>
      <w:r>
        <w:rPr>
          <w:rtl w:val="true"/>
        </w:rPr>
        <w:t xml:space="preserve">), </w:t>
      </w:r>
      <w:r>
        <w:rPr>
          <w:rtl w:val="true"/>
        </w:rPr>
        <w:t xml:space="preserve">הן זו מיום </w:t>
      </w:r>
      <w:r>
        <w:rPr/>
        <w:t>28.1.2018</w:t>
      </w:r>
      <w:r>
        <w:rPr>
          <w:rtl w:val="true"/>
        </w:rPr>
        <w:t xml:space="preserve"> </w:t>
      </w:r>
      <w:r>
        <w:rPr>
          <w:rtl w:val="true"/>
        </w:rPr>
        <w:t xml:space="preserve">שהוגשה במהלך הדיון לפנינו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העדכנית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מלמד כי המערער אכן סובל מבעיות רפואיות חמורות</w:t>
      </w:r>
      <w:r>
        <w:rPr>
          <w:rtl w:val="true"/>
        </w:rPr>
        <w:t xml:space="preserve">, </w:t>
      </w:r>
      <w:r>
        <w:rPr>
          <w:rtl w:val="true"/>
        </w:rPr>
        <w:t>שעל אודותיהן לא נרחיב מטעמי צנעת הפרט</w:t>
      </w:r>
      <w:r>
        <w:rPr>
          <w:rtl w:val="true"/>
        </w:rPr>
        <w:t xml:space="preserve">. </w:t>
      </w:r>
      <w:r>
        <w:rPr>
          <w:rtl w:val="true"/>
        </w:rPr>
        <w:t>כפי שציין בית משפט זה לא אחת</w:t>
      </w:r>
      <w:r>
        <w:rPr>
          <w:rtl w:val="true"/>
        </w:rPr>
        <w:t xml:space="preserve">, </w:t>
      </w:r>
      <w:r>
        <w:rPr>
          <w:rtl w:val="true"/>
        </w:rPr>
        <w:t xml:space="preserve">מצבו הרפואי של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בקו</w:t>
      </w:r>
      <w:r>
        <w:rPr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 </w:t>
      </w:r>
      <w:r>
        <w:rPr>
          <w:rtl w:val="true"/>
        </w:rPr>
        <w:t xml:space="preserve">עשוי </w:t>
      </w:r>
      <w:r>
        <w:rPr>
          <w:rtl w:val="true"/>
        </w:rPr>
        <w:t>להוות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לקולת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21.12.2017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איננו סבורים כי בנסיבותיו של המערער ראויה התערבות בתוצאה שאליה הגיעה הערכאה הדיונית בדמות הקלה בעונשו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כי ליקוייו הרפואיים שוקללו זה מכבר במסגרת מלאכת הענישה</w:t>
      </w:r>
      <w:r>
        <w:rPr>
          <w:rtl w:val="true"/>
        </w:rPr>
        <w:t xml:space="preserve">, </w:t>
      </w:r>
      <w:r>
        <w:rPr>
          <w:rtl w:val="true"/>
        </w:rPr>
        <w:t>ולאור המשקל הניכר שייחס להם מצא בית משפט קמא כי אין להציב את עונשו של המערער בקצהו העליון של מתחם העונש</w:t>
      </w:r>
      <w:r>
        <w:rPr>
          <w:rtl w:val="true"/>
        </w:rPr>
        <w:t xml:space="preserve">, </w:t>
      </w:r>
      <w:r>
        <w:rPr>
          <w:rtl w:val="true"/>
        </w:rPr>
        <w:t>אלא באמצעו</w:t>
      </w:r>
      <w:r>
        <w:rPr>
          <w:rtl w:val="true"/>
        </w:rPr>
        <w:t xml:space="preserve">. </w:t>
      </w:r>
      <w:r>
        <w:rPr>
          <w:rtl w:val="true"/>
        </w:rPr>
        <w:t>לשיטתנו</w:t>
      </w:r>
      <w:r>
        <w:rPr>
          <w:rtl w:val="true"/>
        </w:rPr>
        <w:t xml:space="preserve">, </w:t>
      </w:r>
      <w:r>
        <w:rPr>
          <w:rtl w:val="true"/>
        </w:rPr>
        <w:t>בכך איזן בית משפט קמא באופן ראוי בין נסיבה מקלה זו לבין הנסיבות האישיות אשר נזקפו לחובתו של המערער</w:t>
      </w:r>
      <w:r>
        <w:rPr>
          <w:rtl w:val="true"/>
        </w:rPr>
        <w:t xml:space="preserve">, </w:t>
      </w:r>
      <w:r>
        <w:rPr>
          <w:rtl w:val="true"/>
        </w:rPr>
        <w:t>ובראשן עברו הפלילי רחב ההיקף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משבחנו בראי השוואתי את שתי חוות הדעת הרפואיות</w:t>
      </w:r>
      <w:r>
        <w:rPr>
          <w:rtl w:val="true"/>
        </w:rPr>
        <w:t xml:space="preserve">, </w:t>
      </w:r>
      <w:r>
        <w:rPr>
          <w:rtl w:val="true"/>
        </w:rPr>
        <w:t>נוכחנו כי יש ממש בטענת המשיבה</w:t>
      </w:r>
      <w:r>
        <w:rPr>
          <w:rtl w:val="true"/>
        </w:rPr>
        <w:t xml:space="preserve">, </w:t>
      </w:r>
      <w:r>
        <w:rPr>
          <w:rtl w:val="true"/>
        </w:rPr>
        <w:t>לפיה חל שיפור מדוד במצבו של המערער</w:t>
      </w:r>
      <w:r>
        <w:rPr>
          <w:rtl w:val="true"/>
        </w:rPr>
        <w:t xml:space="preserve">, </w:t>
      </w:r>
      <w:r>
        <w:rPr>
          <w:rtl w:val="true"/>
        </w:rPr>
        <w:t>על אף שהיה נתון כל העת מאחורי סורג ובריח</w:t>
      </w:r>
      <w:r>
        <w:rPr>
          <w:rtl w:val="true"/>
        </w:rPr>
        <w:t xml:space="preserve">. </w:t>
      </w:r>
      <w:r>
        <w:rPr>
          <w:rtl w:val="true"/>
        </w:rPr>
        <w:t>נעיר</w:t>
      </w:r>
      <w:r>
        <w:rPr>
          <w:rtl w:val="true"/>
        </w:rPr>
        <w:t xml:space="preserve">, </w:t>
      </w:r>
      <w:r>
        <w:rPr>
          <w:rtl w:val="true"/>
        </w:rPr>
        <w:t>בקווים כלליים ומבלי לפגוע בפרטיותו של המערער</w:t>
      </w:r>
      <w:r>
        <w:rPr>
          <w:rtl w:val="true"/>
        </w:rPr>
        <w:t xml:space="preserve">, </w:t>
      </w:r>
      <w:r>
        <w:rPr>
          <w:rtl w:val="true"/>
        </w:rPr>
        <w:t>כי בעוד חוות הדעת הקודמת הזהירה מפני הדרדרות במצבו במהלך שהותו במעצר</w:t>
      </w:r>
      <w:r>
        <w:rPr>
          <w:rtl w:val="true"/>
        </w:rPr>
        <w:t xml:space="preserve">, </w:t>
      </w:r>
      <w:r>
        <w:rPr>
          <w:rtl w:val="true"/>
        </w:rPr>
        <w:t>חוות הדעת העדכנית משקפת יציבות ומעידה על סימני שיפור בשל טיפולים שעבר המערער בעת האחרונה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מאחר שסברנו לכתחילה כי לא קמה עילה להתערבותנו בגזר דינו של בית משפט קמא</w:t>
      </w:r>
      <w:r>
        <w:rPr>
          <w:rtl w:val="true"/>
        </w:rPr>
        <w:t xml:space="preserve">; </w:t>
      </w:r>
      <w:r>
        <w:rPr>
          <w:rtl w:val="true"/>
        </w:rPr>
        <w:t>ומשנמצא כי לא חלה החמרה במצבו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ואף ניכר בו שיפור מסוים </w:t>
      </w:r>
      <w:r>
        <w:rPr>
          <w:rtl w:val="true"/>
        </w:rPr>
        <w:t>–</w:t>
      </w:r>
      <w:r>
        <w:rPr>
          <w:rtl w:val="true"/>
        </w:rPr>
        <w:t xml:space="preserve"> אין בידינו להיענות לערעור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7.2.2018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17081890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54678313-8189/17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8189/17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משה בן חיים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9227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332.2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74274" TargetMode="External"/><Relationship Id="rId9" Type="http://schemas.openxmlformats.org/officeDocument/2006/relationships/hyperlink" Target="http://www.nevo.co.il/law/74274/26.2" TargetMode="External"/><Relationship Id="rId10" Type="http://schemas.openxmlformats.org/officeDocument/2006/relationships/hyperlink" Target="http://www.nevo.co.il/law/74274/64.e" TargetMode="External"/><Relationship Id="rId11" Type="http://schemas.openxmlformats.org/officeDocument/2006/relationships/hyperlink" Target="http://www.nevo.co.il/case/20892276" TargetMode="External"/><Relationship Id="rId12" Type="http://schemas.openxmlformats.org/officeDocument/2006/relationships/hyperlink" Target="http://www.nevo.co.il/law/70301/332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5" TargetMode="External"/><Relationship Id="rId15" Type="http://schemas.openxmlformats.org/officeDocument/2006/relationships/hyperlink" Target="http://www.nevo.co.il/law/5227/10.a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4274/64.e" TargetMode="External"/><Relationship Id="rId18" Type="http://schemas.openxmlformats.org/officeDocument/2006/relationships/hyperlink" Target="http://www.nevo.co.il/law/74274" TargetMode="External"/><Relationship Id="rId19" Type="http://schemas.openxmlformats.org/officeDocument/2006/relationships/hyperlink" Target="http://www.nevo.co.il/law/74274/26.2" TargetMode="External"/><Relationship Id="rId20" Type="http://schemas.openxmlformats.org/officeDocument/2006/relationships/hyperlink" Target="http://www.nevo.co.il/law/74274" TargetMode="External"/><Relationship Id="rId21" Type="http://schemas.openxmlformats.org/officeDocument/2006/relationships/hyperlink" Target="http://www.nevo.co.il/case/23506710" TargetMode="External"/><Relationship Id="rId22" Type="http://schemas.openxmlformats.org/officeDocument/2006/relationships/hyperlink" Target="http://www.nevo.co.il/case/22790672" TargetMode="External"/><Relationship Id="rId23" Type="http://schemas.openxmlformats.org/officeDocument/2006/relationships/hyperlink" Target="http://www.nevo.co.il/case/23507133" TargetMode="External"/><Relationship Id="rId24" Type="http://schemas.openxmlformats.org/officeDocument/2006/relationships/hyperlink" Target="http://www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2018-02-08T10:08:00Z</dcterms:created>
  <dc:creator> </dc:creator>
  <dc:description/>
  <cp:keywords/>
  <dc:language>en-IL</dc:language>
  <cp:lastModifiedBy>orly</cp:lastModifiedBy>
  <cp:lastPrinted>2018-02-06T08:25:00Z</cp:lastPrinted>
  <dcterms:modified xsi:type="dcterms:W3CDTF">2018-02-08T10:08:00Z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בן חיים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20892276:2;23506710;22790672;23507133</vt:lpwstr>
  </property>
  <property fmtid="{D5CDD505-2E9C-101B-9397-08002B2CF9AE}" pid="9" name="CITY">
    <vt:lpwstr/>
  </property>
  <property fmtid="{D5CDD505-2E9C-101B-9397-08002B2CF9AE}" pid="10" name="DATE">
    <vt:lpwstr>20180207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אלרון;ה א' חיות</vt:lpwstr>
  </property>
  <property fmtid="{D5CDD505-2E9C-101B-9397-08002B2CF9AE}" pid="14" name="LAWLISTTMP1">
    <vt:lpwstr>70301/332.2;275</vt:lpwstr>
  </property>
  <property fmtid="{D5CDD505-2E9C-101B-9397-08002B2CF9AE}" pid="15" name="LAWLISTTMP2">
    <vt:lpwstr>5227/010.a</vt:lpwstr>
  </property>
  <property fmtid="{D5CDD505-2E9C-101B-9397-08002B2CF9AE}" pid="16" name="LAWLISTTMP3">
    <vt:lpwstr>74274/064.e;026.2</vt:lpwstr>
  </property>
  <property fmtid="{D5CDD505-2E9C-101B-9397-08002B2CF9AE}" pid="17" name="LAWYER">
    <vt:lpwstr>רוני זלושינסקי;חן הולנדר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תעבורה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104;77;77;77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1831;1446;1446;1446</vt:lpwstr>
  </property>
  <property fmtid="{D5CDD505-2E9C-101B-9397-08002B2CF9AE}" pid="50" name="NOSE31">
    <vt:lpwstr>מדיניות ענישה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שיקולים לקולה</vt:lpwstr>
  </property>
  <property fmtid="{D5CDD505-2E9C-101B-9397-08002B2CF9AE}" pid="54" name="NOSE34">
    <vt:lpwstr>מדיניות ענישה: שיקולים לחומרה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11263;8982;8996;8995</vt:lpwstr>
  </property>
  <property fmtid="{D5CDD505-2E9C-101B-9397-08002B2CF9AE}" pid="61" name="PADIDATE">
    <vt:lpwstr>20180208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8189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410120180207</vt:lpwstr>
  </property>
  <property fmtid="{D5CDD505-2E9C-101B-9397-08002B2CF9AE}" pid="71" name="TYPE_N_DATE">
    <vt:lpwstr>41020180207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