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LastJudge"/>
            <w:bookmarkEnd w:id="0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בשבתו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כבית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משפט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לערעורים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אזרחיים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8191/23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2" w:name="FirstAppellant"/>
            <w:bookmarkEnd w:id="2"/>
            <w:r>
              <w:rPr>
                <w:rFonts w:ascii="David" w:hAnsi="David"/>
                <w:rtl w:val="true"/>
              </w:rPr>
              <w:t>המערערים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יעקב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גולדמן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על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הנדסת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מעליות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/>
              <w:t>1992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יוסף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ורדי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 הפורמלי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יעקב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עברון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החלטתו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26.</w:t>
            </w: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.2023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26762-03-21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שניתנה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דבורה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עטר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pacing w:lineRule="auto" w:line="360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 xml:space="preserve">בשם </w:t>
            </w:r>
            <w:r>
              <w:rPr>
                <w:rFonts w:ascii="David" w:hAnsi="David"/>
                <w:rtl w:val="true"/>
              </w:rPr>
              <w:t>המערערים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אבנר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פינקלשטיין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ליאור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פרנק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pacing w:lineRule="auto" w:line="360"/>
              <w:ind w:end="0"/>
              <w:jc w:val="start"/>
              <w:rPr>
                <w:rFonts w:ascii="David" w:hAnsi="David" w:cs="David"/>
              </w:rPr>
            </w:pPr>
            <w:bookmarkStart w:id="3" w:name="FirstLawyer"/>
            <w:bookmarkEnd w:id="3"/>
            <w:r>
              <w:rPr>
                <w:rFonts w:ascii="David" w:hAnsi="David"/>
                <w:rtl w:val="true"/>
              </w:rPr>
              <w:t xml:space="preserve">בשם המשיבה </w:t>
            </w:r>
            <w:r>
              <w:rPr>
                <w:rFonts w:cs="David" w:ascii="David" w:hAnsi="David"/>
              </w:rPr>
              <w:t>1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אסף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מוזס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pacing w:lineRule="auto" w:line="360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 xml:space="preserve">בשם המשיב </w:t>
            </w:r>
            <w:r>
              <w:rPr>
                <w:rFonts w:cs="David" w:ascii="David" w:hAnsi="David"/>
              </w:rPr>
              <w:t>2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אסף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שובינסקי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שומרת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pacing w:lineRule="auto" w:line="360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בשם המשיב הפורמלי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לוי</w:t>
            </w:r>
          </w:p>
        </w:tc>
      </w:tr>
    </w:tbl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bookmarkStart w:id="4" w:name="LawTable"/>
      <w:bookmarkEnd w:id="4"/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[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1971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45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47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</w:t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6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חוק התחרות הכלכלית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ח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1988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7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חוק בתי המשפט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[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ד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1984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41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41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52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11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[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1982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74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ה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147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/>
      </w:pPr>
      <w:hyperlink r:id="rId14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סמכויות אכיפה – מעצרים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),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1996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53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</w:t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16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) [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תשכ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ט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1969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17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38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א</w:t>
        </w:r>
      </w:hyperlink>
    </w:p>
    <w:p>
      <w:pPr>
        <w:pStyle w:val="Ruller31"/>
        <w:spacing w:lineRule="auto" w:line="240"/>
        <w:ind w:end="0"/>
        <w:jc w:val="start"/>
        <w:rPr>
          <w:rFonts w:ascii="FrankRuehl" w:hAnsi="FrankRuehl" w:cs="FrankRuehl"/>
          <w:color w:val="0000FF"/>
          <w:spacing w:val="0"/>
          <w:sz w:val="24"/>
          <w:szCs w:val="24"/>
        </w:rPr>
      </w:pP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</w:r>
      <w:bookmarkStart w:id="5" w:name="LawTable_End"/>
      <w:bookmarkStart w:id="6" w:name="LawTable_End"/>
      <w:bookmarkEnd w:id="6"/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7" w:name="ABSTRACT_START"/>
      <w:bookmarkEnd w:id="7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העברה למותב אחר של הכרעה בסוגיה ראייתית שמוטב שהמותב הדן בתיק העיקרי לא ייחשף אליה מתבצעת מעת לעת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ואין בה כדי לשנות את מהות ההחלטה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וכנגזר מכך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את אפשרויות הערעור עליה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בהינתן שאין בהחלטה בדבר העברת ההכרעה למותב בתיק הנלווה כדי לשנות ממהותה של ההחלטה המונעת את הצגת העדות כ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החלטת ביניים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בתיק העיקרי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זכות הערעור לגביה קיימת רק כחלק מהערעור על פסק הדין הסופי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 בשלב הנוכחי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על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דין הערעור להימחק על הסף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ערעור – על החלטת ביניים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ערעור – מחיקה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החלטת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בה נדחתה בקשת המערערים להצגת עדות שניתנה תחת חיסיון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47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hyperlink r:id="rId18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פקודת הראיות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בהליך אחר מזה המתנהל בעניינם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רקע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בעקבות חקירה של רשות התחרות הוגשו שני כתבי אישום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בשני הליכים נפרדים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בגין אותה פרשה שזכתה לכינוי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קרטל המעליות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התיק העיקרי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במסגרתו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הואשמו </w:t>
      </w:r>
      <w:r>
        <w:rPr>
          <w:rFonts w:cs="Times New Roman" w:ascii="Times New Roman" w:hAnsi="Times New Roman"/>
          <w:spacing w:val="0"/>
          <w:sz w:val="24"/>
          <w:szCs w:val="26"/>
        </w:rPr>
        <w:t>17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נאשמים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בהם המערערים וכן המשיב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ומר ורדי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היו צד להסדרים כובלים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באופן העולה לכדי ביצוע עבירות המנויות ב</w:t>
      </w:r>
      <w:hyperlink r:id="rId19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חוק התחרות הכלכלית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התיק הנלווה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בו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הואשם המשיב הפורמלי בהליך דנן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מר עברון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עניינו הופרד לשם העדתו כעד תביעה מרכזי במשפטם של יתר המעורבים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במסגרת התיק הנלווה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העיד מר ורדי אך בטרם מתן העדות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ציין בא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כוחו כי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מה שייאמר פה וכל תוצר אחר של הדיון פה לא יוצג ולא ייעשה בו שימוש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[...] [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בתיק העיקרי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]".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הבהיר בא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כוח המדינה כי הוא מוכן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לתת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[...]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את כל ההגנות שנותן סעיף </w:t>
      </w:r>
      <w:r>
        <w:rPr>
          <w:rFonts w:cs="Times New Roman" w:ascii="Times New Roman" w:hAnsi="Times New Roman"/>
          <w:spacing w:val="0"/>
          <w:sz w:val="24"/>
          <w:szCs w:val="26"/>
        </w:rPr>
        <w:t>47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hyperlink r:id="rId20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פקודת הראיות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יותר ולא פחות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זמן קצר לאחר מתן העדות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הגיעה המדינה להסדר טיעון עם מר עברון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 הורשע בהתאם להודאתו ונגזר דינו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כחצי שנה לאחר מכן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הובא מר עברון לשם מתן עדות בתיק העיקרי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במסגרת חקירתו הנגדית ביקש בא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כוח המערערים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להקריא חלק מהעדות של מר ורדי בתיק הנלווה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כוח המדינה התנגד להקראת העדות בהסתמך על ההסכמות בדיון בתיק הנלווה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וטען כי לא ניתן להציג את העדות בתיק העיקרי לאור חיסיון השימוש מפני הפללה עצמית שניתן למר ורדי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 ונוכח המחלוקת שהתגלעה בין באי כוח הצדדים ביחס להיקף ההבנות אליהן הגיע מר ורדי עם המדינה בתיק הנלווה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הורה המותב בתיק העיקרי על העברת ההכרעה למותב בתיק הנלווה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בתיק הנלווה דחה הבקשה להצגת העדות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לאור התנגדות מר ורדי והמדינה וזאת בהסתמך על הסכמת הצדדים בדיון בתיק הנלווה ותחולת החיסיון מפני הפללה עצמית מכוח סעיף </w:t>
      </w:r>
      <w:r>
        <w:rPr>
          <w:rFonts w:cs="Times New Roman" w:ascii="Times New Roman" w:hAnsi="Times New Roman"/>
          <w:spacing w:val="0"/>
          <w:sz w:val="24"/>
          <w:szCs w:val="26"/>
        </w:rPr>
        <w:t>47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hyperlink r:id="rId21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פקודת הראיות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כך ערעור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גרוסקופף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מחק את הערעור על הסף 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כידוע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בהליך הפלילי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בשונה מההליך האזרחי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הצדדים אינם רשאים להשיג על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החלטת ביניים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או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החלטה אחרת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בדרך של הגשת ערר או בקשת רשות ערר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במסגרת ערעור על פסק הדין הסופי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וזאת למעט מקרים מיוחדים ובודדים המעוגנים במפורש בחוק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חולק כי לא קיימת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הוראת חוק מפורשת המקנה זכות ערעור על ההחלטה המונעת את הצגת העדות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במצב דברים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ובהינתן שההחלטה בה מדובר היא במובהק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החלטת ביניים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מבחינת טיבה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הרי שאם ההחלטה המונעת את הצגת העדות הייתה ניתנת על ידי המותב הדן בתיק העיקרי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פשיטא כי ניתן היה לערער עליה רק במסגרת ערעור על פסק הדין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סיבוך הדיוני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שנוצר לכאורה בענייננו נובע מכך שההחלטה לא ניתנה על ידי המותב הדן בתיק העיקרי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על ידי המותב בתיק הנלווה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 היא ניתנה לכאורה במסגרת התיק הנלווה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שנסגר זה מכבר עת הפך פסק הדין הסופי שניתן בו לחלוט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זהות המותב שנתן את ההחלטה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 גם התיק לו שויכה ההחלטה כעניין אדמיניסטרטיבי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בהם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כשלעצמם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 להכריע בדבר סיווגה של ההחלטה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העברה למותב אחר של הכרעה בסוגיה ראייתית שמוטב שהמותב הדן בתיק העיקרי לא ייחשף אליה מתבצעת מעת לעת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ואין בה כדי לשנות את מהות ההחלטה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וכנגזר מכך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 אפשרויות הערעור עליה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העובדה שההחלטה סווגה מבחינה מנהלתית ככזו הניתנת בתיק הנלווה אינה משליכה על מהותה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שהייתה ונותרה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החלטת ביניים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בתיק העיקרי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סמכות המותב בתיק הנלווה לתת את ההחלטה נובעת מהחלטתו של המותב בתיק העיקרי בדבר העברת ההכרעה למותב בתיק הנלווה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 מההליכים בתיק הנלווה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לעניין זה הובהר כי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47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hyperlink r:id="rId22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פקודת הראיות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אינו מקנה כל מעמד למותב לפניו ניתנה העדות להכריע בשאלת קבילותה בהליכים עתידיים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שיקול דעת המותב לפניו ניתנת העדות מוגבל לשאלה אם להיענות לבקשתו של עד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להימנע ממסירת ראיה מחמת שהיא עשויה להפלילו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התוצאה הקבועה בהמשך הסעיף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לפיה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תוגש הראיה נגד אותו אדם במשפט שבו הוא מואשם בשל העבירה שהעובדה המתגלית מן הראיה היא יסוד מיסודותיה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אם הסכים לכך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היא נגזרת אוטומטית מקבלת הבקשה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ככל שמתעוררות מחלוקות ביחס לתחולת התוצאה בתיק הנדון לאחר מכן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כפי שהיה 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הן מוכרעות בתיק המאוחר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התיק העיקרי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ולא בתיק בו ניתנה העדות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התיק הנלווה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עניין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 יכול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איפוא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ליצור זכות ערעור על ההחלטה שלא במסגרת ערעור על פסק הדין הסופי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תמציתו של דבר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בהינתן שאין בהחלטה בדבר העברת ההכרעה למותב בתיק הנלווה כדי לשנות ממהותה של ההחלטה המונעת את הצגת העדות כ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החלטת ביניים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בתיק העיקרי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זכות הערעור לגביה קיימת רק כחלק מהערעור על פסק הדין הסופי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 בשלב הנוכחי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31"/>
        <w:spacing w:lineRule="auto" w:line="240"/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החלטה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bookmarkStart w:id="13" w:name="Start_Write"/>
      <w:bookmarkStart w:id="14" w:name="Writer_Name"/>
      <w:bookmarkEnd w:id="13"/>
      <w:bookmarkEnd w:id="14"/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ההליך שלפניי הוגש כערעור בזכות על החלטת בית המשפט המחוזי בלוד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דבורה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עטר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ב</w:t>
      </w:r>
      <w:hyperlink r:id="rId2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26762-03-21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מיום </w:t>
      </w:r>
      <w:r>
        <w:rPr>
          <w:rFonts w:cs="Century" w:ascii="Century" w:hAnsi="Century"/>
        </w:rPr>
        <w:t>26.9.2023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בה נדחתה בקשת המערערים להצגת עדות שניתנה תחת חיסיון לפי </w:t>
      </w:r>
      <w:hyperlink r:id="rId24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47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2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הראיות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[</w:t>
      </w:r>
      <w:r>
        <w:rPr>
          <w:rFonts w:ascii="Times New Roman" w:hAnsi="Times New Roman" w:cs="Times New Roman"/>
          <w:rtl w:val="true"/>
        </w:rPr>
        <w:t>נוסח חדש</w:t>
      </w:r>
      <w:r>
        <w:rPr>
          <w:rFonts w:cs="Times New Roman" w:ascii="Times New Roman" w:hAnsi="Times New Roman"/>
          <w:rtl w:val="true"/>
        </w:rPr>
        <w:t xml:space="preserve">], </w:t>
      </w:r>
      <w:r>
        <w:rPr>
          <w:rFonts w:ascii="Times New Roman" w:hAnsi="Times New Roman" w:cs="Times New Roman"/>
          <w:rtl w:val="true"/>
        </w:rPr>
        <w:t>התשל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א</w:t>
      </w:r>
      <w:r>
        <w:rPr>
          <w:rFonts w:cs="Times New Roman" w:ascii="Times New Roman" w:hAnsi="Times New Roman"/>
          <w:rtl w:val="true"/>
        </w:rPr>
        <w:t>-</w:t>
      </w:r>
      <w:r>
        <w:rPr>
          <w:rFonts w:cs="Times New Roman" w:ascii="Times New Roman" w:hAnsi="Times New Roman"/>
        </w:rPr>
        <w:t>1971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הראיות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בהליך אחר מזה המתנהל בעניינם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נסיבות המקרה ייחודיות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ומחייבות הרחבה מסוימת בתיאור העובדות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לעומת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מחיקת הערעור על הסף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כעניין דיוני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פשוטה ומתבקשת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והשתלשלות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העניינים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בעקבות חקירה של רשות התחרות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11.3.2021</w:t>
      </w:r>
      <w:r>
        <w:rPr>
          <w:rtl w:val="true"/>
        </w:rPr>
        <w:t xml:space="preserve"> </w:t>
      </w:r>
      <w:r>
        <w:rPr>
          <w:rtl w:val="true"/>
        </w:rPr>
        <w:t>הוגשו שני כתבי אישום</w:t>
      </w:r>
      <w:r>
        <w:rPr>
          <w:rtl w:val="true"/>
        </w:rPr>
        <w:t xml:space="preserve">, </w:t>
      </w:r>
      <w:r>
        <w:rPr>
          <w:rtl w:val="true"/>
        </w:rPr>
        <w:t>בשני הליכים נפרדים</w:t>
      </w:r>
      <w:r>
        <w:rPr>
          <w:rtl w:val="true"/>
        </w:rPr>
        <w:t xml:space="preserve">, </w:t>
      </w:r>
      <w:r>
        <w:rPr>
          <w:rtl w:val="true"/>
        </w:rPr>
        <w:t xml:space="preserve">בגין אותה פרשה שזכתה לכינוי </w:t>
      </w:r>
      <w:r>
        <w:rPr>
          <w:rtl w:val="true"/>
        </w:rPr>
        <w:t>"</w:t>
      </w:r>
      <w:r>
        <w:rPr>
          <w:rtl w:val="true"/>
        </w:rPr>
        <w:t>קרטל המעליות</w:t>
      </w:r>
      <w:r>
        <w:rPr>
          <w:rtl w:val="true"/>
        </w:rPr>
        <w:t xml:space="preserve">":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360" w:start="720" w:end="0"/>
        <w:jc w:val="both"/>
        <w:rPr/>
      </w:pPr>
      <w:hyperlink r:id="rId2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26713-03-21</w:t>
        </w:r>
      </w:hyperlink>
      <w:r>
        <w:rPr>
          <w:rtl w:val="true"/>
        </w:rPr>
        <w:t>: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>במסגרתו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 xml:space="preserve">הואשמו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, </w:t>
      </w:r>
      <w:r>
        <w:rPr>
          <w:rtl w:val="true"/>
        </w:rPr>
        <w:t>חברות המעניקות שירות תחזוקת מעליות ונושאי משרה בהן</w:t>
      </w:r>
      <w:r>
        <w:rPr>
          <w:rtl w:val="true"/>
        </w:rPr>
        <w:t xml:space="preserve">, </w:t>
      </w:r>
      <w:r>
        <w:rPr>
          <w:rtl w:val="true"/>
        </w:rPr>
        <w:t xml:space="preserve">כאשר החשובים לענייננו הם המערער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מר יעקב גולדמן</w:t>
      </w:r>
      <w:r>
        <w:rPr>
          <w:rtl w:val="true"/>
        </w:rPr>
        <w:t xml:space="preserve">, </w:t>
      </w:r>
      <w:r>
        <w:rPr>
          <w:rtl w:val="true"/>
        </w:rPr>
        <w:t xml:space="preserve">המערערת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חברת על</w:t>
      </w:r>
      <w:r>
        <w:rPr>
          <w:rtl w:val="true"/>
        </w:rPr>
        <w:t>-</w:t>
      </w:r>
      <w:r>
        <w:rPr>
          <w:rtl w:val="true"/>
        </w:rPr>
        <w:t xml:space="preserve">רד הנדסת מעליות </w:t>
      </w:r>
      <w:r>
        <w:rPr>
          <w:rtl w:val="true"/>
        </w:rPr>
        <w:t>(</w:t>
      </w:r>
      <w:r>
        <w:rPr/>
        <w:t>1992</w:t>
      </w:r>
      <w:r>
        <w:rPr>
          <w:rtl w:val="true"/>
        </w:rPr>
        <w:t xml:space="preserve">)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 xml:space="preserve">כאשר במועדים הרלוונטיים לכתב האישום 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שימש כבעלים וכמנכ</w:t>
      </w:r>
      <w:r>
        <w:rPr>
          <w:rtl w:val="true"/>
        </w:rPr>
        <w:t>"</w:t>
      </w:r>
      <w:r>
        <w:rPr>
          <w:rtl w:val="true"/>
        </w:rPr>
        <w:t xml:space="preserve">ל של המערערת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להלן יקראו יחדיו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tl w:val="true"/>
        </w:rPr>
        <w:t xml:space="preserve">), </w:t>
      </w:r>
      <w:r>
        <w:rPr>
          <w:rtl w:val="true"/>
        </w:rPr>
        <w:t xml:space="preserve">והמשיב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 xml:space="preserve">מר יוסף ורדי </w:t>
      </w:r>
      <w:r>
        <w:rPr>
          <w:rtl w:val="true"/>
        </w:rPr>
        <w:t>(</w:t>
      </w:r>
      <w:r>
        <w:rPr>
          <w:rtl w:val="true"/>
        </w:rPr>
        <w:t>אשר שימש במועדים הרלוונטיים לכתב האישום כסמנכ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color w:val="808080"/>
          <w:rtl w:val="true"/>
        </w:rPr>
        <w:t xml:space="preserve"> </w:t>
      </w:r>
      <w:r>
        <w:rPr>
          <w:rtl w:val="true"/>
        </w:rPr>
        <w:t>שירות בחטיבת המעליות של חברת אלקטרה 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שהואשמה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ורדי</w:t>
      </w:r>
      <w:r>
        <w:rPr>
          <w:rtl w:val="true"/>
        </w:rPr>
        <w:t xml:space="preserve">). </w:t>
      </w:r>
      <w:r>
        <w:rPr>
          <w:rtl w:val="true"/>
        </w:rPr>
        <w:t>על פי עובדות כתב האישום</w:t>
      </w:r>
      <w:r>
        <w:rPr>
          <w:rtl w:val="true"/>
        </w:rPr>
        <w:t xml:space="preserve">,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מר ורדי ויתר הנאשמים היו צד להסדרים כובלים</w:t>
      </w:r>
      <w:r>
        <w:rPr>
          <w:rtl w:val="true"/>
        </w:rPr>
        <w:t xml:space="preserve">, </w:t>
      </w:r>
      <w:r>
        <w:rPr>
          <w:rtl w:val="true"/>
        </w:rPr>
        <w:t>באופן העולה לכדי ביצוע עבירות המנויות ב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התחרות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הכלכלית</w:t>
        </w:r>
      </w:hyperlink>
      <w:r>
        <w:rPr>
          <w:rtl w:val="true"/>
        </w:rPr>
        <w:t xml:space="preserve">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-</w:t>
      </w:r>
      <w:r>
        <w:rPr/>
        <w:t>1988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העיקרי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360" w:start="720" w:end="0"/>
        <w:jc w:val="both"/>
        <w:rPr/>
      </w:pPr>
      <w:hyperlink r:id="rId2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26762-03-21</w:t>
        </w:r>
      </w:hyperlink>
      <w:r>
        <w:rPr>
          <w:rtl w:val="true"/>
        </w:rPr>
        <w:t xml:space="preserve">: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>בהליך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זה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הואשם</w:t>
      </w:r>
      <w:r>
        <w:rPr>
          <w:rtl w:val="true"/>
        </w:rPr>
        <w:t xml:space="preserve"> </w:t>
      </w:r>
      <w:r>
        <w:rPr>
          <w:rtl w:val="true"/>
        </w:rPr>
        <w:t>המשיב הפורמלי בהליך דנן</w:t>
      </w:r>
      <w:r>
        <w:rPr>
          <w:rtl w:val="true"/>
        </w:rPr>
        <w:t xml:space="preserve">, </w:t>
      </w:r>
      <w:r>
        <w:rPr>
          <w:rtl w:val="true"/>
        </w:rPr>
        <w:t>מר יעקב עברון</w:t>
      </w:r>
      <w:r>
        <w:rPr>
          <w:rtl w:val="true"/>
        </w:rPr>
        <w:t xml:space="preserve">, </w:t>
      </w:r>
      <w:r>
        <w:rPr>
          <w:rtl w:val="true"/>
        </w:rPr>
        <w:t>אשר שימש במועדים הרלוונטיים לכתב האישום כסמנכ</w:t>
      </w:r>
      <w:r>
        <w:rPr>
          <w:rtl w:val="true"/>
        </w:rPr>
        <w:t>"</w:t>
      </w:r>
      <w:r>
        <w:rPr>
          <w:rtl w:val="true"/>
        </w:rPr>
        <w:t xml:space="preserve">ל שירות ושיפוצים במערערת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עברון</w:t>
      </w:r>
      <w:r>
        <w:rPr>
          <w:rtl w:val="true"/>
        </w:rPr>
        <w:t xml:space="preserve">). </w:t>
      </w:r>
      <w:r>
        <w:rPr>
          <w:rtl w:val="true"/>
        </w:rPr>
        <w:t>כתב אישום זה</w:t>
      </w:r>
      <w:r>
        <w:rPr>
          <w:rtl w:val="true"/>
        </w:rPr>
        <w:t xml:space="preserve">, </w:t>
      </w:r>
      <w:r>
        <w:rPr>
          <w:rtl w:val="true"/>
        </w:rPr>
        <w:t>עוסק בתפקידו של מר עברון במסכת האירועים במסגרת אותה פרשה</w:t>
      </w:r>
      <w:r>
        <w:rPr>
          <w:rtl w:val="true"/>
        </w:rPr>
        <w:t xml:space="preserve">, </w:t>
      </w:r>
      <w:r>
        <w:rPr>
          <w:rtl w:val="true"/>
        </w:rPr>
        <w:t xml:space="preserve">אך הופרד לשם העדתו של מר עברון כעד תביעה מרכזי במשפטם של יתר </w:t>
      </w:r>
      <w:r>
        <w:rPr>
          <w:rtl w:val="true"/>
        </w:rPr>
        <w:t>המעורבים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 </w:t>
      </w:r>
      <w:r>
        <w:rPr>
          <w:rtl w:val="true"/>
        </w:rPr>
        <w:t>לעניין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עמדת</w:t>
      </w:r>
      <w:r>
        <w:rPr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 </w:t>
      </w:r>
      <w:r>
        <w:rPr>
          <w:rtl w:val="true"/>
        </w:rPr>
        <w:t>הנלווה</w:t>
      </w:r>
      <w:r>
        <w:rPr>
          <w:rtl w:val="true"/>
        </w:rPr>
        <w:t xml:space="preserve">: </w:t>
      </w:r>
      <w:r>
        <w:rPr>
          <w:rtl w:val="true"/>
        </w:rPr>
        <w:t>פרוטוקול</w:t>
      </w:r>
      <w:r>
        <w:rPr>
          <w:rtl w:val="true"/>
        </w:rPr>
        <w:t xml:space="preserve"> </w:t>
      </w:r>
      <w:r>
        <w:rPr>
          <w:rtl w:val="true"/>
        </w:rPr>
        <w:t>דיון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tl w:val="true"/>
        </w:rPr>
        <w:t xml:space="preserve"> </w:t>
      </w:r>
      <w:r>
        <w:rPr/>
        <w:t>11.5.2022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11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24-19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הנלווה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21.12.2022</w:t>
      </w:r>
      <w:r>
        <w:rPr>
          <w:rtl w:val="true"/>
        </w:rPr>
        <w:t xml:space="preserve">, </w:t>
      </w:r>
      <w:r>
        <w:rPr>
          <w:rtl w:val="true"/>
        </w:rPr>
        <w:t xml:space="preserve">העיד מר ורדי בתיק הנלווה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העדות</w:t>
      </w:r>
      <w:r>
        <w:rPr>
          <w:rtl w:val="true"/>
        </w:rPr>
        <w:t xml:space="preserve">). </w:t>
      </w:r>
      <w:r>
        <w:rPr>
          <w:rtl w:val="true"/>
        </w:rPr>
        <w:t>בטרם מתן העדות</w:t>
      </w:r>
      <w:r>
        <w:rPr>
          <w:rtl w:val="true"/>
        </w:rPr>
        <w:t xml:space="preserve">, </w:t>
      </w:r>
      <w:r>
        <w:rPr>
          <w:rtl w:val="true"/>
        </w:rPr>
        <w:t>ציין בא</w:t>
      </w:r>
      <w:r>
        <w:rPr>
          <w:rtl w:val="true"/>
        </w:rPr>
        <w:t>-</w:t>
      </w:r>
      <w:r>
        <w:rPr>
          <w:rtl w:val="true"/>
        </w:rPr>
        <w:t xml:space="preserve">כוחו של מר ורדי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שייאמר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תוצר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יוצג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ייעשה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שימוש</w:t>
      </w:r>
      <w:r>
        <w:rPr>
          <w:rtl w:val="true"/>
        </w:rPr>
        <w:t xml:space="preserve"> </w:t>
      </w:r>
      <w:r>
        <w:rPr>
          <w:rtl w:val="true"/>
        </w:rPr>
        <w:t>[...]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בתיק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העיקרי</w:t>
      </w:r>
      <w:r>
        <w:rPr>
          <w:rFonts w:cs="Century" w:ascii="Century" w:hAnsi="Century"/>
          <w:sz w:val="22"/>
          <w:rtl w:val="true"/>
        </w:rPr>
        <w:t>]</w:t>
      </w:r>
      <w:r>
        <w:rPr>
          <w:rtl w:val="true"/>
        </w:rPr>
        <w:t xml:space="preserve">". </w:t>
      </w:r>
      <w:r>
        <w:rPr>
          <w:rtl w:val="true"/>
        </w:rPr>
        <w:t>לאחריו</w:t>
      </w:r>
      <w:r>
        <w:rPr>
          <w:rtl w:val="true"/>
        </w:rPr>
        <w:t xml:space="preserve">, </w:t>
      </w:r>
      <w:r>
        <w:rPr>
          <w:rtl w:val="true"/>
        </w:rPr>
        <w:t>הבהיר בא</w:t>
      </w:r>
      <w:r>
        <w:rPr>
          <w:rtl w:val="true"/>
        </w:rPr>
        <w:t>-</w:t>
      </w:r>
      <w:r>
        <w:rPr>
          <w:rtl w:val="true"/>
        </w:rPr>
        <w:t xml:space="preserve">כוח המדינה </w:t>
      </w:r>
      <w:r>
        <w:rPr>
          <w:rtl w:val="true"/>
        </w:rPr>
        <w:t>(</w:t>
      </w:r>
      <w:r>
        <w:rPr>
          <w:rtl w:val="true"/>
        </w:rPr>
        <w:t xml:space="preserve">המשיבה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המדינה</w:t>
      </w:r>
      <w:r>
        <w:rPr>
          <w:rtl w:val="true"/>
        </w:rPr>
        <w:t xml:space="preserve">), </w:t>
      </w:r>
      <w:r>
        <w:rPr>
          <w:rtl w:val="true"/>
        </w:rPr>
        <w:t xml:space="preserve">כי הוא מוכן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[...]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ההגנות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שנותן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סעיף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47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</w:t>
      </w:r>
      <w:hyperlink r:id="rId29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הראיות</w:t>
        </w:r>
      </w:hyperlink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פחות</w:t>
      </w:r>
      <w:r>
        <w:rPr>
          <w:rtl w:val="true"/>
        </w:rPr>
        <w:t>" (</w:t>
      </w:r>
      <w:r>
        <w:rPr>
          <w:rtl w:val="true"/>
        </w:rPr>
        <w:t xml:space="preserve">ראו פרוטוקול דיון מיום </w:t>
      </w:r>
      <w:r>
        <w:rPr/>
        <w:t>21.12.2022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36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32-31</w:t>
      </w:r>
      <w:r>
        <w:rPr>
          <w:rtl w:val="true"/>
        </w:rPr>
        <w:t xml:space="preserve"> </w:t>
      </w:r>
      <w:r>
        <w:rPr>
          <w:rtl w:val="true"/>
        </w:rPr>
        <w:t>ובעמ</w:t>
      </w:r>
      <w:r>
        <w:rPr>
          <w:rtl w:val="true"/>
        </w:rPr>
        <w:t xml:space="preserve">' </w:t>
      </w:r>
      <w:r>
        <w:rPr/>
        <w:t>37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13-1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פרוטוקול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הנלווה</w:t>
      </w:r>
      <w:r>
        <w:rPr>
          <w:rtl w:val="true"/>
        </w:rPr>
        <w:t xml:space="preserve">). </w:t>
      </w:r>
      <w:r>
        <w:rPr>
          <w:rtl w:val="true"/>
        </w:rPr>
        <w:t>זמן קצר לאחר מתן העדות</w:t>
      </w:r>
      <w:r>
        <w:rPr>
          <w:rtl w:val="true"/>
        </w:rPr>
        <w:t xml:space="preserve">, </w:t>
      </w:r>
      <w:r>
        <w:rPr>
          <w:rtl w:val="true"/>
        </w:rPr>
        <w:t>ובעקבות הליך גישור שנערך בין הצדדים</w:t>
      </w:r>
      <w:r>
        <w:rPr>
          <w:rtl w:val="true"/>
        </w:rPr>
        <w:t xml:space="preserve">, </w:t>
      </w:r>
      <w:r>
        <w:rPr>
          <w:rtl w:val="true"/>
        </w:rPr>
        <w:t>הגיעה המדינה להסדר טיעון עם מר עברון</w:t>
      </w:r>
      <w:r>
        <w:rPr>
          <w:rtl w:val="true"/>
        </w:rPr>
        <w:t xml:space="preserve">, </w:t>
      </w:r>
      <w:r>
        <w:rPr>
          <w:rtl w:val="true"/>
        </w:rPr>
        <w:t>לפיו הוא יודה בעובדות כתב האישום המתוקן</w:t>
      </w:r>
      <w:r>
        <w:rPr>
          <w:rtl w:val="true"/>
        </w:rPr>
        <w:t xml:space="preserve">. </w:t>
      </w:r>
      <w:r>
        <w:rPr>
          <w:rtl w:val="true"/>
        </w:rPr>
        <w:t>בהמשך לכך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10.1.2023</w:t>
      </w:r>
      <w:r>
        <w:rPr>
          <w:rtl w:val="true"/>
        </w:rPr>
        <w:t xml:space="preserve"> </w:t>
      </w:r>
      <w:r>
        <w:rPr>
          <w:rtl w:val="true"/>
        </w:rPr>
        <w:t>הורשע מר עברון בהתאם להודאתו</w:t>
      </w:r>
      <w:r>
        <w:rPr>
          <w:rtl w:val="true"/>
        </w:rPr>
        <w:t xml:space="preserve">, </w:t>
      </w:r>
      <w:r>
        <w:rPr>
          <w:rtl w:val="true"/>
        </w:rPr>
        <w:t xml:space="preserve">וביום </w:t>
      </w:r>
      <w:r>
        <w:rPr/>
        <w:t>9.2.2023</w:t>
      </w:r>
      <w:r>
        <w:rPr>
          <w:rtl w:val="true"/>
        </w:rPr>
        <w:t xml:space="preserve"> </w:t>
      </w:r>
      <w:r>
        <w:rPr>
          <w:rtl w:val="true"/>
        </w:rPr>
        <w:t xml:space="preserve">נגזר דינו והושתו עליו </w:t>
      </w:r>
      <w:r>
        <w:rPr/>
        <w:t>6.5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על</w:t>
      </w:r>
      <w:r>
        <w:rPr>
          <w:rtl w:val="true"/>
        </w:rPr>
        <w:t>-</w:t>
      </w:r>
      <w:r>
        <w:rPr>
          <w:rtl w:val="true"/>
        </w:rPr>
        <w:t xml:space="preserve">תנאי וקנס כספי בסך </w:t>
      </w:r>
      <w:r>
        <w:rPr/>
        <w:t>40,000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אותו ניתן להמיר ל</w:t>
      </w:r>
      <w:r>
        <w:rPr>
          <w:rtl w:val="true"/>
        </w:rPr>
        <w:t>-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ימי מאסר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1785" w:leader="none"/>
        </w:tabs>
        <w:ind w:hanging="0" w:start="0" w:end="0"/>
        <w:jc w:val="both"/>
        <w:rPr/>
      </w:pPr>
      <w:r>
        <w:rPr>
          <w:rtl w:val="true"/>
        </w:rPr>
        <w:t>כחצי שנה לאחר מכן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12.6.2023</w:t>
      </w:r>
      <w:r>
        <w:rPr>
          <w:rtl w:val="true"/>
        </w:rPr>
        <w:t xml:space="preserve"> </w:t>
      </w:r>
      <w:r>
        <w:rPr>
          <w:rtl w:val="true"/>
        </w:rPr>
        <w:t>הובא מר עברון לשם מתן עדות בתיק העיקרי</w:t>
      </w:r>
      <w:r>
        <w:rPr>
          <w:rtl w:val="true"/>
        </w:rPr>
        <w:t xml:space="preserve">. </w:t>
      </w:r>
      <w:r>
        <w:rPr>
          <w:rtl w:val="true"/>
        </w:rPr>
        <w:t>במסגרת חקירתו הנגדית על ידי בא</w:t>
      </w:r>
      <w:r>
        <w:rPr>
          <w:rtl w:val="true"/>
        </w:rPr>
        <w:t>-</w:t>
      </w:r>
      <w:r>
        <w:rPr>
          <w:rtl w:val="true"/>
        </w:rPr>
        <w:t>כוח המערערים</w:t>
      </w:r>
      <w:r>
        <w:rPr>
          <w:rtl w:val="true"/>
        </w:rPr>
        <w:t xml:space="preserve">, </w:t>
      </w:r>
      <w:r>
        <w:rPr>
          <w:rtl w:val="true"/>
        </w:rPr>
        <w:t>ביקש האחרון להקריא חלק מהעדות של מר ורדי בתיק הנלווה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 המדינה</w:t>
      </w:r>
      <w:r>
        <w:rPr>
          <w:rtl w:val="true"/>
        </w:rPr>
        <w:t xml:space="preserve">, </w:t>
      </w:r>
      <w:r>
        <w:rPr>
          <w:rtl w:val="true"/>
        </w:rPr>
        <w:t>אשר התנגד להקראת העדות</w:t>
      </w:r>
      <w:r>
        <w:rPr>
          <w:rtl w:val="true"/>
        </w:rPr>
        <w:t xml:space="preserve">, </w:t>
      </w:r>
      <w:r>
        <w:rPr>
          <w:rtl w:val="true"/>
        </w:rPr>
        <w:t>הפנה להסכמות הצדדים שתועדו בפרוטוקול הדיון בתיק הנלווה</w:t>
      </w:r>
      <w:r>
        <w:rPr>
          <w:rtl w:val="true"/>
        </w:rPr>
        <w:t xml:space="preserve">, </w:t>
      </w:r>
      <w:r>
        <w:rPr>
          <w:rtl w:val="true"/>
        </w:rPr>
        <w:t xml:space="preserve">וטען כי לא ניתן להציג את העדות בתיק העיקרי לאור חיסיון השימוש מפני הפללה עצמית שניתן למר ורדי </w:t>
      </w:r>
      <w:r>
        <w:rPr>
          <w:rtl w:val="true"/>
        </w:rPr>
        <w:t>(</w:t>
      </w:r>
      <w:r>
        <w:rPr>
          <w:rtl w:val="true"/>
        </w:rPr>
        <w:t xml:space="preserve">ראו פרוטוקול דיון מיום </w:t>
      </w:r>
      <w:r>
        <w:rPr/>
        <w:t>12.6.2023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535-531</w:t>
      </w:r>
      <w:r>
        <w:rPr>
          <w:rtl w:val="true"/>
        </w:rPr>
        <w:t xml:space="preserve">). </w:t>
      </w:r>
      <w:r>
        <w:rPr>
          <w:rtl w:val="true"/>
        </w:rPr>
        <w:t>נוכח המחלוקת האמורה</w:t>
      </w:r>
      <w:r>
        <w:rPr>
          <w:rtl w:val="true"/>
        </w:rPr>
        <w:t xml:space="preserve">, </w:t>
      </w:r>
      <w:r>
        <w:rPr>
          <w:rtl w:val="true"/>
        </w:rPr>
        <w:t>ולאחר שהמערערים</w:t>
      </w:r>
      <w:r>
        <w:rPr>
          <w:rtl w:val="true"/>
        </w:rPr>
        <w:t xml:space="preserve">, </w:t>
      </w:r>
      <w:r>
        <w:rPr>
          <w:rtl w:val="true"/>
        </w:rPr>
        <w:t>המדינה ומר ורדי לא הצליחו להגיע להסכמות בנושא לאחר הדיון</w:t>
      </w:r>
      <w:r>
        <w:rPr>
          <w:rtl w:val="true"/>
        </w:rPr>
        <w:t xml:space="preserve">, </w:t>
      </w:r>
      <w:r>
        <w:rPr>
          <w:rtl w:val="true"/>
        </w:rPr>
        <w:t xml:space="preserve">הגישו המערערים ביום </w:t>
      </w:r>
      <w:r>
        <w:rPr/>
        <w:t>25.6.2023</w:t>
      </w:r>
      <w:r>
        <w:rPr>
          <w:rtl w:val="true"/>
        </w:rPr>
        <w:t xml:space="preserve"> </w:t>
      </w:r>
      <w:r>
        <w:rPr>
          <w:rtl w:val="true"/>
        </w:rPr>
        <w:t xml:space="preserve">בקשה למותב בתיק העיקרי להצגת חלק מהעדות </w:t>
      </w:r>
      <w:r>
        <w:rPr>
          <w:rtl w:val="true"/>
        </w:rPr>
        <w:t>(</w:t>
      </w:r>
      <w:r>
        <w:rPr>
          <w:rtl w:val="true"/>
        </w:rPr>
        <w:t>הגם שצירפו לבקשה את פרוטוקול העדות במלואו</w:t>
      </w:r>
      <w:r>
        <w:rPr>
          <w:rtl w:val="true"/>
        </w:rPr>
        <w:t xml:space="preserve">). </w:t>
      </w:r>
      <w:r>
        <w:rPr>
          <w:rtl w:val="true"/>
        </w:rPr>
        <w:t xml:space="preserve">ביום </w:t>
      </w:r>
      <w:r>
        <w:rPr/>
        <w:t>26.6.2023</w:t>
      </w:r>
      <w:r>
        <w:rPr>
          <w:rtl w:val="true"/>
        </w:rPr>
        <w:t xml:space="preserve">, </w:t>
      </w:r>
      <w:r>
        <w:rPr>
          <w:rtl w:val="true"/>
        </w:rPr>
        <w:t>בדיון שהתנהל בבקשה בתיק העיקרי</w:t>
      </w:r>
      <w:r>
        <w:rPr>
          <w:rtl w:val="true"/>
        </w:rPr>
        <w:t xml:space="preserve">, </w:t>
      </w:r>
      <w:r>
        <w:rPr>
          <w:rtl w:val="true"/>
        </w:rPr>
        <w:t>עמד בא</w:t>
      </w:r>
      <w:r>
        <w:rPr>
          <w:rtl w:val="true"/>
        </w:rPr>
        <w:t>-</w:t>
      </w:r>
      <w:r>
        <w:rPr>
          <w:rtl w:val="true"/>
        </w:rPr>
        <w:t>כוחו של מר ורדי על התנגדותו לצירוף העדות לתיק</w:t>
      </w:r>
      <w:r>
        <w:rPr>
          <w:rtl w:val="true"/>
        </w:rPr>
        <w:t xml:space="preserve">, </w:t>
      </w:r>
      <w:r>
        <w:rPr>
          <w:rtl w:val="true"/>
        </w:rPr>
        <w:t>וטען כי ככל שהמערערים מבקשים להשיג על ההסכמה שהתגבשה בין מר ורדי לבין המדינה בקשר למתן העדות בתיק הנלווה</w:t>
      </w:r>
      <w:r>
        <w:rPr>
          <w:rtl w:val="true"/>
        </w:rPr>
        <w:t xml:space="preserve">, </w:t>
      </w:r>
      <w:r>
        <w:rPr>
          <w:rtl w:val="true"/>
        </w:rPr>
        <w:t>המותב שצריך להחליט בסוגיה הוא המותב שבפניו נשמעה העדות וגובשה ההסכמה בין הצדדים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 המערערים גרס כי אין צורך בהעברת הדיון בסוגיה למותב הדן בתיק הנלווה</w:t>
      </w:r>
      <w:r>
        <w:rPr>
          <w:rtl w:val="true"/>
        </w:rPr>
        <w:t xml:space="preserve">, </w:t>
      </w:r>
      <w:r>
        <w:rPr>
          <w:rtl w:val="true"/>
        </w:rPr>
        <w:t>ובא</w:t>
      </w:r>
      <w:r>
        <w:rPr>
          <w:rtl w:val="true"/>
        </w:rPr>
        <w:t>-</w:t>
      </w:r>
      <w:r>
        <w:rPr>
          <w:rtl w:val="true"/>
        </w:rPr>
        <w:t>כוח המדינה נמנע מלהביע עמדה ביחס לזהות המותב אשר ידון בעניין</w:t>
      </w:r>
      <w:r>
        <w:rPr>
          <w:rtl w:val="true"/>
        </w:rPr>
        <w:t xml:space="preserve">. </w:t>
      </w:r>
      <w:r>
        <w:rPr>
          <w:rtl w:val="true"/>
        </w:rPr>
        <w:t>בתום הדיון</w:t>
      </w:r>
      <w:r>
        <w:rPr>
          <w:rtl w:val="true"/>
        </w:rPr>
        <w:t xml:space="preserve">, </w:t>
      </w:r>
      <w:r>
        <w:rPr>
          <w:rtl w:val="true"/>
        </w:rPr>
        <w:t xml:space="preserve">קבע בית המשפט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רוזנברג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שיינרט</w:t>
      </w:r>
      <w:r>
        <w:rPr>
          <w:rtl w:val="true"/>
        </w:rPr>
        <w:t xml:space="preserve">)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נוכח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המחלוקת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שהתגלעה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ביחס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להיקף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ההבנות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ורדי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המדינה</w:t>
      </w:r>
      <w:r>
        <w:rPr>
          <w:rFonts w:cs="Century" w:ascii="Century" w:hAnsi="Century"/>
          <w:sz w:val="22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בתיק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הנלווה</w:t>
      </w:r>
      <w:r>
        <w:rPr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להתנגדותו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מר ורדי</w:t>
      </w:r>
      <w:r>
        <w:rPr>
          <w:rFonts w:cs="Century" w:ascii="Century" w:hAnsi="Century"/>
          <w:sz w:val="22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שמותב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ייחשף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לפרוטוקול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הנלווה</w:t>
      </w:r>
      <w:r>
        <w:rPr>
          <w:rFonts w:cs="Century" w:ascii="Century" w:hAnsi="Century"/>
          <w:sz w:val="22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לצורך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קבלת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החלטה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בבקשה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,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אני</w:t>
      </w:r>
      <w:r>
        <w:rPr>
          <w:rFonts w:cs="Century" w:ascii="Century" w:hAnsi="Century"/>
          <w:sz w:val="22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מחיקת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שבפניי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תוגש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 המערערים</w:t>
      </w:r>
      <w:r>
        <w:rPr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עטר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ההחלטה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ההכרעה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למותב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הנלווה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27.6.2023</w:t>
      </w:r>
      <w:r>
        <w:rPr>
          <w:rtl w:val="true"/>
        </w:rPr>
        <w:t xml:space="preserve">, </w:t>
      </w:r>
      <w:r>
        <w:rPr>
          <w:rtl w:val="true"/>
        </w:rPr>
        <w:t>ובהתאם להחלטה בדבר העברת ההכרעה למותב בתיק הנלווה</w:t>
      </w:r>
      <w:r>
        <w:rPr>
          <w:rtl w:val="true"/>
        </w:rPr>
        <w:t xml:space="preserve">, </w:t>
      </w:r>
      <w:r>
        <w:rPr>
          <w:rtl w:val="true"/>
        </w:rPr>
        <w:t xml:space="preserve">הגישו המערערים את הבקשה להצגת העדות למותב הדן בתיק הנלווה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להצגת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העדות</w:t>
      </w:r>
      <w:r>
        <w:rPr>
          <w:rtl w:val="true"/>
        </w:rPr>
        <w:t xml:space="preserve">). </w:t>
      </w:r>
      <w:r>
        <w:rPr>
          <w:rtl w:val="true"/>
        </w:rPr>
        <w:t xml:space="preserve">בבקשה זו נטען כי הסכמת מר ורדי והמדינה להחלת ההגנה של </w:t>
      </w:r>
      <w:hyperlink r:id="rId3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</w:t>
      </w:r>
      <w:hyperlink r:id="rId31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פקודת הראיות</w:t>
        </w:r>
      </w:hyperlink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המקנה חיסיון מפני הפללה עצמית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tl w:val="true"/>
        </w:rPr>
        <w:t>איננה הסכמה גורפת לאי הצגת העדות כליל</w:t>
      </w:r>
      <w:r>
        <w:rPr>
          <w:rtl w:val="true"/>
        </w:rPr>
        <w:t xml:space="preserve">, </w:t>
      </w:r>
      <w:r>
        <w:rPr>
          <w:rtl w:val="true"/>
        </w:rPr>
        <w:t>אלא היא חולשת רק על החלקים בעדות אשר יש בהם כדי להפליל את מר ורדי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ובהינתן שהמערערים מעוניינים להציג אך חלק מצומצם מעדותו של מר ורדי</w:t>
      </w:r>
      <w:r>
        <w:rPr>
          <w:rtl w:val="true"/>
        </w:rPr>
        <w:t xml:space="preserve">, </w:t>
      </w:r>
      <w:r>
        <w:rPr>
          <w:rtl w:val="true"/>
        </w:rPr>
        <w:t>שאין בו כדי להפלילו</w:t>
      </w:r>
      <w:r>
        <w:rPr>
          <w:rtl w:val="true"/>
        </w:rPr>
        <w:t xml:space="preserve">, </w:t>
      </w:r>
      <w:r>
        <w:rPr>
          <w:rtl w:val="true"/>
        </w:rPr>
        <w:t>הרי שהוא אינו חוסה תחת החיסיון מפני הפללה עצמית</w:t>
      </w:r>
      <w:r>
        <w:rPr>
          <w:rtl w:val="true"/>
        </w:rPr>
        <w:t xml:space="preserve">. </w:t>
      </w:r>
      <w:r>
        <w:rPr>
          <w:rtl w:val="true"/>
        </w:rPr>
        <w:t>לחילופין</w:t>
      </w:r>
      <w:r>
        <w:rPr>
          <w:rtl w:val="true"/>
        </w:rPr>
        <w:t xml:space="preserve">, </w:t>
      </w:r>
      <w:r>
        <w:rPr>
          <w:rtl w:val="true"/>
        </w:rPr>
        <w:t>נטען כי גם אם יש בחלק העדות המבוקש משום פוטנציאל מפליל</w:t>
      </w:r>
      <w:r>
        <w:rPr>
          <w:rtl w:val="true"/>
        </w:rPr>
        <w:t xml:space="preserve">, </w:t>
      </w:r>
      <w:r>
        <w:rPr>
          <w:rtl w:val="true"/>
        </w:rPr>
        <w:t>הרי שהיה על מר ורדי לטעון באופן קונקרטי לחיסיון מפני הפללה עצמית לפני שמסר את תשובותיו מרצון</w:t>
      </w:r>
      <w:r>
        <w:rPr>
          <w:rtl w:val="true"/>
        </w:rPr>
        <w:t xml:space="preserve">, </w:t>
      </w:r>
      <w:r>
        <w:rPr>
          <w:rtl w:val="true"/>
        </w:rPr>
        <w:t>במהלך מתן העדות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5.7.2023</w:t>
      </w:r>
      <w:r>
        <w:rPr>
          <w:rtl w:val="true"/>
        </w:rPr>
        <w:t xml:space="preserve"> </w:t>
      </w:r>
      <w:r>
        <w:rPr>
          <w:rtl w:val="true"/>
        </w:rPr>
        <w:t xml:space="preserve">הגישו מר ורדי והמדינה את תגובותיהם </w:t>
      </w:r>
      <w:r>
        <w:rPr>
          <w:rtl w:val="true"/>
        </w:rPr>
        <w:t>(</w:t>
      </w:r>
      <w:r>
        <w:rPr>
          <w:rtl w:val="true"/>
        </w:rPr>
        <w:t>הנפרדות</w:t>
      </w:r>
      <w:r>
        <w:rPr>
          <w:rtl w:val="true"/>
        </w:rPr>
        <w:t xml:space="preserve">) </w:t>
      </w:r>
      <w:r>
        <w:rPr>
          <w:rtl w:val="true"/>
        </w:rPr>
        <w:t>המתנגדות לבקשה להצגת העדות</w:t>
      </w:r>
      <w:r>
        <w:rPr>
          <w:rtl w:val="true"/>
        </w:rPr>
        <w:t xml:space="preserve">, </w:t>
      </w:r>
      <w:r>
        <w:rPr>
          <w:rtl w:val="true"/>
        </w:rPr>
        <w:t xml:space="preserve">וזאת בהסתמך על הסכמת הצדדים העולה מפרוטוקול הדיון בתיק הנלווה ותחולת החיסיון מפני הפללה עצמית מכוח 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. </w:t>
      </w:r>
      <w:r>
        <w:rPr>
          <w:rtl w:val="true"/>
        </w:rPr>
        <w:t>עוד טענו כי בניגוד לנטען על ידי המערערים</w:t>
      </w:r>
      <w:r>
        <w:rPr>
          <w:rtl w:val="true"/>
        </w:rPr>
        <w:t xml:space="preserve">, </w:t>
      </w:r>
      <w:r>
        <w:rPr>
          <w:rtl w:val="true"/>
        </w:rPr>
        <w:t>אף על החלק בעדות שהצגתו התבקשה חל החיסיון מפני הפללה עצמית</w:t>
      </w:r>
      <w:r>
        <w:rPr>
          <w:rtl w:val="true"/>
        </w:rPr>
        <w:t xml:space="preserve">, </w:t>
      </w:r>
      <w:r>
        <w:rPr>
          <w:rtl w:val="true"/>
        </w:rPr>
        <w:t>שכן יש בו כדי להפליל את מר ורדי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21.9.2023</w:t>
      </w:r>
      <w:r>
        <w:rPr>
          <w:rtl w:val="true"/>
        </w:rPr>
        <w:t xml:space="preserve"> </w:t>
      </w:r>
      <w:r>
        <w:rPr>
          <w:rtl w:val="true"/>
        </w:rPr>
        <w:t>התקיים דיון בבקשה להצגת העדות</w:t>
      </w:r>
      <w:r>
        <w:rPr>
          <w:rtl w:val="true"/>
        </w:rPr>
        <w:t xml:space="preserve">, </w:t>
      </w:r>
      <w:r>
        <w:rPr>
          <w:rtl w:val="true"/>
        </w:rPr>
        <w:t>במסגרתו חזרו הצדדים על טענותיהם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הדגישו באי</w:t>
      </w:r>
      <w:r>
        <w:rPr>
          <w:rtl w:val="true"/>
        </w:rPr>
        <w:t>-</w:t>
      </w:r>
      <w:r>
        <w:rPr>
          <w:rtl w:val="true"/>
        </w:rPr>
        <w:t>כוחם של מר ורדי והמדינה את הטענה לפיה העדות עלולה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להפליל את מר ורדי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בהחלטתו מיום </w:t>
      </w:r>
      <w:r>
        <w:rPr/>
        <w:t>26.9.2023</w:t>
      </w:r>
      <w:r>
        <w:rPr>
          <w:rtl w:val="true"/>
        </w:rPr>
        <w:t xml:space="preserve"> </w:t>
      </w:r>
      <w:r>
        <w:rPr>
          <w:rtl w:val="true"/>
        </w:rPr>
        <w:t xml:space="preserve">דחה בית המשפט בתיק הנלווה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עטר</w:t>
      </w:r>
      <w:r>
        <w:rPr>
          <w:rtl w:val="true"/>
        </w:rPr>
        <w:t xml:space="preserve">) </w:t>
      </w:r>
      <w:r>
        <w:rPr>
          <w:rtl w:val="true"/>
        </w:rPr>
        <w:t>את הבקשה להצגת העדות</w:t>
      </w:r>
      <w:r>
        <w:rPr>
          <w:rtl w:val="true"/>
        </w:rPr>
        <w:t xml:space="preserve">, </w:t>
      </w:r>
      <w:r>
        <w:rPr>
          <w:rtl w:val="true"/>
        </w:rPr>
        <w:t xml:space="preserve">בקבעו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החלקים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המסוימים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מבקש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המערערים</w:t>
      </w:r>
      <w:r>
        <w:rPr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להציג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תיק העיקרי</w:t>
      </w:r>
      <w:r>
        <w:rPr>
          <w:rFonts w:cs="Century" w:ascii="Century" w:hAnsi="Century"/>
          <w:sz w:val="22"/>
          <w:rtl w:val="true"/>
        </w:rPr>
        <w:t>] [...]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עשויים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להשליך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למצער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חלקו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מר</w:t>
      </w:r>
      <w:r>
        <w:rPr>
          <w:rFonts w:cs="Century" w:ascii="Century" w:hAnsi="Century"/>
          <w:sz w:val="22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ורדי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tl w:val="true"/>
        </w:rPr>
        <w:t>[</w:t>
      </w:r>
      <w:r>
        <w:rPr>
          <w:rtl w:val="true"/>
        </w:rPr>
        <w:t>תיק העיקרי</w:t>
      </w:r>
      <w:r>
        <w:rPr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לעומת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נאשמים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להפלילו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עשוי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ההחלטה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המונעת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הצגת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העדות</w:t>
      </w:r>
      <w:r>
        <w:rPr>
          <w:rFonts w:cs="Century" w:ascii="Century" w:hAnsi="Century"/>
          <w:sz w:val="22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שלפניי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בהליך שלפניי</w:t>
      </w:r>
      <w:r>
        <w:rPr>
          <w:rtl w:val="true"/>
        </w:rPr>
        <w:t xml:space="preserve">, </w:t>
      </w:r>
      <w:r>
        <w:rPr>
          <w:rtl w:val="true"/>
        </w:rPr>
        <w:t>אשר הוגש כערעור בזכות</w:t>
      </w:r>
      <w:r>
        <w:rPr>
          <w:rtl w:val="true"/>
        </w:rPr>
        <w:t xml:space="preserve">, </w:t>
      </w:r>
      <w:r>
        <w:rPr>
          <w:rtl w:val="true"/>
        </w:rPr>
        <w:t>טוענים המערערים שלל טענות נגד ההחלטה המונעת את הצגת העדות</w:t>
      </w:r>
      <w:r>
        <w:rPr>
          <w:rtl w:val="true"/>
        </w:rPr>
        <w:t xml:space="preserve">, </w:t>
      </w:r>
      <w:r>
        <w:rPr>
          <w:rtl w:val="true"/>
        </w:rPr>
        <w:t>אשר חוזרות בעיקרן על הטענות שהועלו בפני המותב הדן בתיק הנלווה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בהחלטתי מיום </w:t>
      </w:r>
      <w:r>
        <w:rPr/>
        <w:t>16.11.2023</w:t>
      </w:r>
      <w:r>
        <w:rPr>
          <w:rtl w:val="true"/>
        </w:rPr>
        <w:t xml:space="preserve"> </w:t>
      </w:r>
      <w:r>
        <w:rPr>
          <w:rtl w:val="true"/>
        </w:rPr>
        <w:t>נתבקשו הצדדים להגיש עמדתם בדבר השאלה מהי הפרוצדורה החוקית להגשת השגה על ההחלטה המונעת את הצגת העדות</w:t>
      </w:r>
      <w:r>
        <w:rPr>
          <w:rtl w:val="true"/>
        </w:rPr>
        <w:t xml:space="preserve">. </w:t>
      </w:r>
      <w:r>
        <w:rPr>
          <w:rtl w:val="true"/>
        </w:rPr>
        <w:t>בהתאם לכך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23.11.2023</w:t>
      </w:r>
      <w:r>
        <w:rPr>
          <w:rtl w:val="true"/>
        </w:rPr>
        <w:t xml:space="preserve">, </w:t>
      </w:r>
      <w:r>
        <w:rPr>
          <w:rtl w:val="true"/>
        </w:rPr>
        <w:t>הגישו המערערים והמדינה את התייחסויותיהם</w:t>
      </w:r>
      <w:r>
        <w:rPr>
          <w:rtl w:val="true"/>
        </w:rPr>
        <w:t xml:space="preserve">, </w:t>
      </w:r>
      <w:r>
        <w:rPr>
          <w:rtl w:val="true"/>
        </w:rPr>
        <w:t xml:space="preserve">וביום </w:t>
      </w:r>
      <w:r>
        <w:rPr/>
        <w:t>24.11.2023</w:t>
      </w:r>
      <w:r>
        <w:rPr>
          <w:rtl w:val="true"/>
        </w:rPr>
        <w:t xml:space="preserve">, </w:t>
      </w:r>
      <w:r>
        <w:rPr>
          <w:rtl w:val="true"/>
        </w:rPr>
        <w:t xml:space="preserve">הגיש מר ורדי את טענותיו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התייחסות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התייחסות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המדינה</w:t>
      </w:r>
      <w:r>
        <w:rPr>
          <w:rtl w:val="true"/>
        </w:rPr>
        <w:t xml:space="preserve"> 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התייחסות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ורדי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בהתאמה</w:t>
      </w:r>
      <w:r>
        <w:rPr>
          <w:rtl w:val="true"/>
        </w:rPr>
        <w:t xml:space="preserve">). </w:t>
      </w:r>
      <w:r>
        <w:rPr>
          <w:rtl w:val="true"/>
        </w:rPr>
        <w:t>למען שלמות התמונה</w:t>
      </w:r>
      <w:r>
        <w:rPr>
          <w:rtl w:val="true"/>
        </w:rPr>
        <w:t xml:space="preserve">, </w:t>
      </w:r>
      <w:r>
        <w:rPr>
          <w:rtl w:val="true"/>
        </w:rPr>
        <w:t xml:space="preserve">יוער כי בהודעתו מיום </w:t>
      </w:r>
      <w:r>
        <w:rPr/>
        <w:t>20.11.2023</w:t>
      </w:r>
      <w:r>
        <w:rPr>
          <w:rtl w:val="true"/>
        </w:rPr>
        <w:t xml:space="preserve">, </w:t>
      </w:r>
      <w:r>
        <w:rPr>
          <w:rtl w:val="true"/>
        </w:rPr>
        <w:t>הבהיר בא</w:t>
      </w:r>
      <w:r>
        <w:rPr>
          <w:rtl w:val="true"/>
        </w:rPr>
        <w:t>-</w:t>
      </w:r>
      <w:r>
        <w:rPr>
          <w:rtl w:val="true"/>
        </w:rPr>
        <w:t xml:space="preserve">כוחו של מר עברון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לו</w:t>
      </w:r>
      <w:r>
        <w:rPr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שהוגשה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בהתייחסות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נטען כי יש לסווג את ההחלטה המונעת את הצגת העדות כפסק דין</w:t>
      </w:r>
      <w:r>
        <w:rPr>
          <w:rtl w:val="true"/>
        </w:rPr>
        <w:t xml:space="preserve">, </w:t>
      </w:r>
      <w:r>
        <w:rPr>
          <w:rtl w:val="true"/>
        </w:rPr>
        <w:t>ולא כהחלטת ביניים</w:t>
      </w:r>
      <w:r>
        <w:rPr>
          <w:rtl w:val="true"/>
        </w:rPr>
        <w:t xml:space="preserve">, </w:t>
      </w:r>
      <w:r>
        <w:rPr>
          <w:rtl w:val="true"/>
        </w:rPr>
        <w:t xml:space="preserve">וכי נוכח סיווגה זה קמה להם זכות ערעור מכוח </w:t>
      </w:r>
      <w:hyperlink r:id="rId3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-</w:t>
      </w:r>
      <w:r>
        <w:rPr/>
        <w:t>1984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tl w:val="true"/>
        </w:rPr>
        <w:t xml:space="preserve">). </w:t>
      </w:r>
      <w:r>
        <w:rPr>
          <w:rtl w:val="true"/>
        </w:rPr>
        <w:t>המערערים גורסים כי מסקנתם בדבר סיווג ההחלטה מתבקשת מכך שהבקשה להצגת העדות אומנם הוגשה בתיק הנלווה</w:t>
      </w:r>
      <w:r>
        <w:rPr>
          <w:rtl w:val="true"/>
        </w:rPr>
        <w:t xml:space="preserve">, </w:t>
      </w:r>
      <w:r>
        <w:rPr>
          <w:rtl w:val="true"/>
        </w:rPr>
        <w:t>תיק סגור בו ניתנו זה מכבר הכרעת דין וגזר דין</w:t>
      </w:r>
      <w:r>
        <w:rPr>
          <w:rtl w:val="true"/>
        </w:rPr>
        <w:t xml:space="preserve">, </w:t>
      </w:r>
      <w:r>
        <w:rPr>
          <w:rtl w:val="true"/>
        </w:rPr>
        <w:t>אך היא החלה הליך נפרד ועצמאי אשר הסתיים עם מתן ההחלטה המונעת את הצגת העדות שסתמה את הגולל על בקשתם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טוענים המערערים</w:t>
      </w:r>
      <w:r>
        <w:rPr>
          <w:rtl w:val="true"/>
        </w:rPr>
        <w:t xml:space="preserve">, </w:t>
      </w:r>
      <w:r>
        <w:rPr>
          <w:rtl w:val="true"/>
        </w:rPr>
        <w:t>כי אם תסווג ההחלטה כהחלטת ביניים</w:t>
      </w:r>
      <w:r>
        <w:rPr>
          <w:rtl w:val="true"/>
        </w:rPr>
        <w:t xml:space="preserve">, </w:t>
      </w:r>
      <w:r>
        <w:rPr>
          <w:rtl w:val="true"/>
        </w:rPr>
        <w:t>תקופח זכותם להשיג עליה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משום שלא ניתן יהיה לערער</w:t>
      </w:r>
      <w:r>
        <w:rPr>
          <w:rtl w:val="true"/>
        </w:rPr>
        <w:t xml:space="preserve">, </w:t>
      </w:r>
      <w:r>
        <w:rPr>
          <w:rtl w:val="true"/>
        </w:rPr>
        <w:t>במסגרת הערעור על ההכרעה הסופית בתיק העיקרי</w:t>
      </w:r>
      <w:r>
        <w:rPr>
          <w:rtl w:val="true"/>
        </w:rPr>
        <w:t xml:space="preserve">, </w:t>
      </w:r>
      <w:r>
        <w:rPr>
          <w:rtl w:val="true"/>
        </w:rPr>
        <w:t>על החלטה אשר ניתנה בתיק הנלווה על ידי מותב אחר שכלל אינו דן בעניינם</w:t>
      </w:r>
      <w:r>
        <w:rPr>
          <w:rtl w:val="true"/>
        </w:rPr>
        <w:t xml:space="preserve">; </w:t>
      </w:r>
      <w:r>
        <w:rPr>
          <w:rtl w:val="true"/>
        </w:rPr>
        <w:t>וממילא</w:t>
      </w:r>
      <w:r>
        <w:rPr>
          <w:rtl w:val="true"/>
        </w:rPr>
        <w:t xml:space="preserve">, </w:t>
      </w:r>
      <w:r>
        <w:rPr>
          <w:rtl w:val="true"/>
        </w:rPr>
        <w:t>המותב שדן בעניינם במסגרת התיק העיקרי כלל אינו יכול לקבל כל החלטה בעניין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tl w:val="true"/>
        </w:rPr>
        <w:t xml:space="preserve"> </w:t>
      </w:r>
      <w:r>
        <w:rPr>
          <w:rtl w:val="true"/>
        </w:rPr>
        <w:t>ההחלטה</w:t>
      </w:r>
      <w:r>
        <w:rPr>
          <w:rtl w:val="true"/>
        </w:rPr>
        <w:t xml:space="preserve"> </w:t>
      </w:r>
      <w:r>
        <w:rPr>
          <w:rtl w:val="true"/>
        </w:rPr>
        <w:t>בדבר</w:t>
      </w:r>
      <w:r>
        <w:rPr>
          <w:rtl w:val="true"/>
        </w:rPr>
        <w:t xml:space="preserve"> </w:t>
      </w:r>
      <w:r>
        <w:rPr>
          <w:rtl w:val="true"/>
        </w:rPr>
        <w:t>העברת</w:t>
      </w:r>
      <w:r>
        <w:rPr>
          <w:rtl w:val="true"/>
        </w:rPr>
        <w:t xml:space="preserve"> </w:t>
      </w:r>
      <w:r>
        <w:rPr>
          <w:rtl w:val="true"/>
        </w:rPr>
        <w:t>ההכרעה</w:t>
      </w:r>
      <w:r>
        <w:rPr>
          <w:rtl w:val="true"/>
        </w:rPr>
        <w:t xml:space="preserve"> </w:t>
      </w:r>
      <w:r>
        <w:rPr>
          <w:rtl w:val="true"/>
        </w:rPr>
        <w:t>למותב</w:t>
      </w:r>
      <w:r>
        <w:rPr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 </w:t>
      </w:r>
      <w:r>
        <w:rPr>
          <w:rtl w:val="true"/>
        </w:rPr>
        <w:t>הנלווה</w:t>
      </w:r>
      <w:r>
        <w:rPr>
          <w:rtl w:val="true"/>
        </w:rPr>
        <w:t xml:space="preserve">. </w:t>
      </w:r>
      <w:r>
        <w:rPr>
          <w:rtl w:val="true"/>
        </w:rPr>
        <w:t>עוד מדגישים המערערים את חשיבותה של העדות</w:t>
      </w:r>
      <w:r>
        <w:rPr>
          <w:rtl w:val="true"/>
        </w:rPr>
        <w:t xml:space="preserve">, </w:t>
      </w:r>
      <w:r>
        <w:rPr>
          <w:rtl w:val="true"/>
        </w:rPr>
        <w:t>וכנגזר מכך חשיבותה של זכות הערעור על ההחלטה</w:t>
      </w:r>
      <w:r>
        <w:rPr>
          <w:rtl w:val="true"/>
        </w:rPr>
        <w:t xml:space="preserve">, </w:t>
      </w:r>
      <w:r>
        <w:rPr>
          <w:rtl w:val="true"/>
        </w:rPr>
        <w:t>להגנתם בתיק העיקרי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בהתייחסות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נטען כי יש למחוק את הערעור על הסף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העברת הדיון בבקשה להצגת העדות למותב אחר אינה מקנה זכות ערעור כמבוקש</w:t>
      </w:r>
      <w:r>
        <w:rPr>
          <w:rtl w:val="true"/>
        </w:rPr>
        <w:t xml:space="preserve">, </w:t>
      </w:r>
      <w:r>
        <w:rPr>
          <w:rtl w:val="true"/>
        </w:rPr>
        <w:t>ואינה משנה את אופי ההחלטה המונעת את הצגת העדות כהחלטת ביניים</w:t>
      </w:r>
      <w:r>
        <w:rPr>
          <w:rtl w:val="true"/>
        </w:rPr>
        <w:t xml:space="preserve">, </w:t>
      </w:r>
      <w:r>
        <w:rPr>
          <w:rtl w:val="true"/>
        </w:rPr>
        <w:t>אשר ניתן להשיג עליה רק במסגרת ערעור על פסק הדין הסופי</w:t>
      </w:r>
      <w:r>
        <w:rPr>
          <w:rtl w:val="true"/>
        </w:rPr>
        <w:t xml:space="preserve">. </w:t>
      </w:r>
      <w:r>
        <w:rPr>
          <w:rtl w:val="true"/>
        </w:rPr>
        <w:t>באותו הקשר</w:t>
      </w:r>
      <w:r>
        <w:rPr>
          <w:rtl w:val="true"/>
        </w:rPr>
        <w:t xml:space="preserve">, </w:t>
      </w:r>
      <w:r>
        <w:rPr>
          <w:rtl w:val="true"/>
        </w:rPr>
        <w:t xml:space="preserve">מציינת המדינה כי גם לא קיימת כל הוראת חוק המאפשרת ערעור על החלטה שעניינה חיסיון מפני הפללה עצמית לפי </w:t>
      </w:r>
      <w:hyperlink r:id="rId3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Fonts w:cs="Times New Roman" w:ascii="Times New Roman" w:hAnsi="Times New Roman"/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בהתייחסות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ורדי</w:t>
      </w:r>
      <w:r>
        <w:rPr>
          <w:rtl w:val="true"/>
        </w:rPr>
        <w:t xml:space="preserve">, </w:t>
      </w:r>
      <w:r>
        <w:rPr>
          <w:rtl w:val="true"/>
        </w:rPr>
        <w:t>בדומה לעמדת המדינה</w:t>
      </w:r>
      <w:r>
        <w:rPr>
          <w:rtl w:val="true"/>
        </w:rPr>
        <w:t xml:space="preserve">, </w:t>
      </w:r>
      <w:r>
        <w:rPr>
          <w:rtl w:val="true"/>
        </w:rPr>
        <w:t>נטען כי ההחלטה המונעת את הצגת העדות היא החלטת ביניים בהליך פלילי</w:t>
      </w:r>
      <w:r>
        <w:rPr>
          <w:rtl w:val="true"/>
        </w:rPr>
        <w:t xml:space="preserve">, </w:t>
      </w:r>
      <w:r>
        <w:rPr>
          <w:rtl w:val="true"/>
        </w:rPr>
        <w:t>בהיותה עוסקת בסוגיה דיונית מובהקת</w:t>
      </w:r>
      <w:r>
        <w:rPr>
          <w:rtl w:val="true"/>
        </w:rPr>
        <w:t xml:space="preserve">, </w:t>
      </w:r>
      <w:r>
        <w:rPr>
          <w:rtl w:val="true"/>
        </w:rPr>
        <w:t>ובהיעדר הוראת דין מפורשת המקימה למערערים זכות ערעור על ההחלטה</w:t>
      </w:r>
      <w:r>
        <w:rPr>
          <w:rtl w:val="true"/>
        </w:rPr>
        <w:t xml:space="preserve">, </w:t>
      </w:r>
      <w:r>
        <w:rPr>
          <w:rtl w:val="true"/>
        </w:rPr>
        <w:t>הרי שהדרך להשיג עליה היא במסגרת הערעור על פסק הדין הסופי בתיק העיקרי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שעיינתי בהתייחסויות הצדדים</w:t>
      </w:r>
      <w:r>
        <w:rPr>
          <w:rtl w:val="true"/>
        </w:rPr>
        <w:t xml:space="preserve">, </w:t>
      </w:r>
      <w:r>
        <w:rPr>
          <w:rtl w:val="true"/>
        </w:rPr>
        <w:t>הגעתי לכלל מסקנה כי יש להורות על מחיקתו של ההליך</w:t>
      </w:r>
      <w:r>
        <w:rPr>
          <w:rtl w:val="true"/>
        </w:rPr>
        <w:t xml:space="preserve">, </w:t>
      </w:r>
      <w:r>
        <w:rPr>
          <w:rtl w:val="true"/>
        </w:rPr>
        <w:t>תוך שטענות המערערים שמורות להם במסגרת הערעור על פסק הדין הסופי בתיק העיקרי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בהליך הפלילי</w:t>
      </w:r>
      <w:r>
        <w:rPr>
          <w:rtl w:val="true"/>
        </w:rPr>
        <w:t xml:space="preserve">, </w:t>
      </w:r>
      <w:r>
        <w:rPr>
          <w:rtl w:val="true"/>
        </w:rPr>
        <w:t>בשונה מההליך האזרחי</w:t>
      </w:r>
      <w:r>
        <w:rPr>
          <w:rtl w:val="true"/>
        </w:rPr>
        <w:t xml:space="preserve">, </w:t>
      </w:r>
      <w:r>
        <w:rPr>
          <w:rtl w:val="true"/>
        </w:rPr>
        <w:t xml:space="preserve">הצדדים אינם רשאים להשיג על </w:t>
      </w:r>
      <w:r>
        <w:rPr>
          <w:rtl w:val="true"/>
        </w:rPr>
        <w:t>"</w:t>
      </w:r>
      <w:r>
        <w:rPr>
          <w:rtl w:val="true"/>
        </w:rPr>
        <w:t>החלטת ביניים</w:t>
      </w:r>
      <w:r>
        <w:rPr>
          <w:rtl w:val="true"/>
        </w:rPr>
        <w:t xml:space="preserve">" </w:t>
      </w:r>
      <w:r>
        <w:rPr>
          <w:rtl w:val="true"/>
        </w:rPr>
        <w:t xml:space="preserve">או </w:t>
      </w:r>
      <w:r>
        <w:rPr>
          <w:rtl w:val="true"/>
        </w:rPr>
        <w:t>"</w:t>
      </w:r>
      <w:r>
        <w:rPr>
          <w:rtl w:val="true"/>
        </w:rPr>
        <w:t>החלטה אחרת</w:t>
      </w:r>
      <w:r>
        <w:rPr>
          <w:rtl w:val="true"/>
        </w:rPr>
        <w:t xml:space="preserve">" </w:t>
      </w:r>
      <w:r>
        <w:rPr>
          <w:rtl w:val="true"/>
        </w:rPr>
        <w:t>של בית המשפט בדרך של הגשת ערר או בקשת רשות ערר</w:t>
      </w:r>
      <w:r>
        <w:rPr>
          <w:rtl w:val="true"/>
        </w:rPr>
        <w:t xml:space="preserve">, </w:t>
      </w:r>
      <w:r>
        <w:rPr>
          <w:rtl w:val="true"/>
        </w:rPr>
        <w:t>אלא במסגרת ערעור על פסק הדין הסופי</w:t>
      </w:r>
      <w:r>
        <w:rPr>
          <w:rtl w:val="true"/>
        </w:rPr>
        <w:t xml:space="preserve">, </w:t>
      </w:r>
      <w:r>
        <w:rPr>
          <w:rtl w:val="true"/>
        </w:rPr>
        <w:t xml:space="preserve">וזאת למעט מקרים מיוחדים ובודדים המעוגנים במפורש בחוק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38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41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9">
        <w:r>
          <w:rPr>
            <w:rStyle w:val="Hyperlink"/>
          </w:rPr>
          <w:t>52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</w:t>
        </w:r>
      </w:hyperlink>
      <w:r>
        <w:rPr>
          <w:rtl w:val="true"/>
        </w:rPr>
        <w:t xml:space="preserve">, </w:t>
      </w:r>
      <w:r>
        <w:rPr>
          <w:rtl w:val="true"/>
        </w:rPr>
        <w:t>המגבילים את זכות הערעור בהליך פלילי לערעור על פסק דין בלבד</w:t>
      </w:r>
      <w:r>
        <w:rPr>
          <w:rtl w:val="true"/>
        </w:rPr>
        <w:t xml:space="preserve">. </w:t>
      </w:r>
      <w:r>
        <w:rPr>
          <w:rtl w:val="true"/>
        </w:rPr>
        <w:t>עוד ראו</w:t>
      </w:r>
      <w:r>
        <w:rPr>
          <w:rtl w:val="true"/>
        </w:rPr>
        <w:t xml:space="preserve">, </w:t>
      </w:r>
      <w:r>
        <w:rPr>
          <w:rtl w:val="true"/>
        </w:rPr>
        <w:t>מיני רבים</w:t>
      </w:r>
      <w:r>
        <w:rPr>
          <w:rtl w:val="true"/>
        </w:rPr>
        <w:t xml:space="preserve">,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121/88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דרוויש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663</w:t>
      </w:r>
      <w:r>
        <w:rPr>
          <w:rtl w:val="true"/>
        </w:rPr>
        <w:t xml:space="preserve">, </w:t>
      </w:r>
      <w:r>
        <w:rPr/>
        <w:t>677</w:t>
      </w:r>
      <w:r>
        <w:rPr>
          <w:rtl w:val="true"/>
        </w:rPr>
        <w:t xml:space="preserve"> (</w:t>
      </w:r>
      <w:r>
        <w:rPr/>
        <w:t>1991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3600/18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</w:t>
      </w:r>
      <w:r>
        <w:rPr/>
        <w:t>6</w:t>
      </w:r>
      <w:r>
        <w:rPr/>
        <w:t>.2019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43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1062/21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אוריך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</w:t>
      </w:r>
      <w:r>
        <w:rPr/>
        <w:t>1</w:t>
      </w:r>
      <w:r>
        <w:rPr/>
        <w:t>.2022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44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6968/23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הרכב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מחוזי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ירושלים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17.10.2023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להצדקות לכך</w:t>
      </w:r>
      <w:r>
        <w:rPr>
          <w:rtl w:val="true"/>
        </w:rPr>
        <w:t xml:space="preserve">, </w:t>
      </w:r>
      <w:r>
        <w:rPr>
          <w:rtl w:val="true"/>
        </w:rPr>
        <w:t>ובכללן הצורך בניהול רציף ויעיל של ההליך הפלילי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6016/06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17.</w:t>
      </w:r>
      <w:r>
        <w:rPr/>
        <w:t>7</w:t>
      </w:r>
      <w:r>
        <w:rPr/>
        <w:t>.2007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קובן</w:t>
      </w:r>
      <w:r>
        <w:rPr>
          <w:rtl w:val="true"/>
        </w:rPr>
        <w:t xml:space="preserve">); </w:t>
      </w:r>
      <w:hyperlink r:id="rId46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3233/12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לממשלה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</w:t>
      </w:r>
      <w:r>
        <w:rPr/>
        <w:t>.</w:t>
      </w:r>
      <w:r>
        <w:rPr/>
        <w:t>4.2013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3600/18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</w:t>
      </w:r>
      <w:r>
        <w:rPr/>
        <w:t>6</w:t>
      </w:r>
      <w:r>
        <w:rPr/>
        <w:t>.2019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בין החריגים המפורשים בחוק</w:t>
      </w:r>
      <w:r>
        <w:rPr>
          <w:rtl w:val="true"/>
        </w:rPr>
        <w:t xml:space="preserve">, </w:t>
      </w:r>
      <w:r>
        <w:rPr>
          <w:rtl w:val="true"/>
        </w:rPr>
        <w:t>ניתן למנות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 xml:space="preserve">את </w:t>
      </w:r>
      <w:hyperlink r:id="rId4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ה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</w:t>
      </w:r>
      <w:hyperlink r:id="rId50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חסד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</w:hyperlink>
      <w:r>
        <w:rPr>
          <w:rtl w:val="true"/>
        </w:rPr>
        <w:t xml:space="preserve">), </w:t>
      </w:r>
      <w:r>
        <w:rPr>
          <w:rtl w:val="true"/>
        </w:rPr>
        <w:t>העוסק בערר על החלטה הקשורה בעיון בחומר החקירה</w:t>
      </w:r>
      <w:r>
        <w:rPr>
          <w:rtl w:val="true"/>
        </w:rPr>
        <w:t xml:space="preserve">; </w:t>
      </w:r>
      <w:hyperlink r:id="rId5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147</w:t>
        </w:r>
      </w:hyperlink>
      <w:r>
        <w:rPr>
          <w:rtl w:val="true"/>
        </w:rPr>
        <w:t xml:space="preserve"> </w:t>
      </w:r>
      <w:r>
        <w:rPr>
          <w:rtl w:val="true"/>
        </w:rPr>
        <w:t>לחסד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, </w:t>
      </w:r>
      <w:r>
        <w:rPr>
          <w:rtl w:val="true"/>
        </w:rPr>
        <w:t>הנוגע לערעור על החלטה בטענות פסלות שופט</w:t>
      </w:r>
      <w:r>
        <w:rPr>
          <w:rtl w:val="true"/>
        </w:rPr>
        <w:t xml:space="preserve">; </w:t>
      </w:r>
      <w:hyperlink r:id="rId5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53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סמכויות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אכיפה</w:t>
        </w:r>
        <w:r>
          <w:rPr>
            <w:rStyle w:val="Hyperlink"/>
            <w:color w:val="0000FF"/>
            <w:u w:val="single"/>
            <w:rtl w:val="true"/>
          </w:rPr>
          <w:t xml:space="preserve"> – </w:t>
        </w:r>
        <w:r>
          <w:rPr>
            <w:rStyle w:val="Hyperlink"/>
            <w:color w:val="0000FF"/>
            <w:u w:val="single"/>
            <w:rtl w:val="true"/>
          </w:rPr>
          <w:t>מעצרים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התשנ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1996</w:t>
      </w:r>
      <w:r>
        <w:rPr>
          <w:rtl w:val="true"/>
        </w:rPr>
        <w:t xml:space="preserve">, </w:t>
      </w:r>
      <w:r>
        <w:rPr>
          <w:rtl w:val="true"/>
        </w:rPr>
        <w:t>שעניינו ערר על החלטה הנוגעת למעצר</w:t>
      </w:r>
      <w:r>
        <w:rPr>
          <w:rtl w:val="true"/>
        </w:rPr>
        <w:t xml:space="preserve">; </w:t>
      </w:r>
      <w:hyperlink r:id="rId54">
        <w:r>
          <w:rPr>
            <w:rStyle w:val="Hyperlink"/>
            <w:rtl w:val="true"/>
          </w:rPr>
          <w:t>וסעיף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38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מעצר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וחיפוש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[</w:t>
      </w:r>
      <w:r>
        <w:rPr>
          <w:rtl w:val="true"/>
        </w:rPr>
        <w:t>נוסח</w:t>
      </w:r>
      <w:r>
        <w:rPr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1969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העוסק בערר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החלט</w:t>
      </w:r>
      <w:r>
        <w:rPr>
          <w:rtl w:val="true"/>
        </w:rPr>
        <w:t>ה</w:t>
      </w:r>
      <w:r>
        <w:rPr>
          <w:rtl w:val="true"/>
        </w:rPr>
        <w:t xml:space="preserve"> </w:t>
      </w:r>
      <w:r>
        <w:rPr>
          <w:rtl w:val="true"/>
        </w:rPr>
        <w:t>בנושא</w:t>
      </w:r>
      <w:r>
        <w:rPr>
          <w:rtl w:val="true"/>
        </w:rPr>
        <w:t xml:space="preserve"> </w:t>
      </w:r>
      <w:r>
        <w:rPr>
          <w:rtl w:val="true"/>
        </w:rPr>
        <w:t>תפיסת</w:t>
      </w:r>
      <w:r>
        <w:rPr>
          <w:rtl w:val="true"/>
        </w:rPr>
        <w:t xml:space="preserve"> </w:t>
      </w:r>
      <w:r>
        <w:rPr>
          <w:rtl w:val="true"/>
        </w:rPr>
        <w:t>חפצים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ברי כי חריגים אלו אינם רלוונטיים לענייננו</w:t>
      </w:r>
      <w:r>
        <w:rPr>
          <w:rtl w:val="true"/>
        </w:rPr>
        <w:t>.</w:t>
      </w:r>
      <w:r>
        <w:rPr>
          <w:color w:val="808080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כפי שעולה מהתייחסויות הצדדים</w:t>
      </w:r>
      <w:r>
        <w:rPr>
          <w:rtl w:val="true"/>
        </w:rPr>
        <w:t xml:space="preserve">, </w:t>
      </w:r>
      <w:r>
        <w:rPr>
          <w:rtl w:val="true"/>
        </w:rPr>
        <w:t>אין בפניי כל טענה כי קיימת בענייננו הוראת חוק מפורשת המקנה זכות ערעור על ההחלטה המונעת את הצגת העדות</w:t>
      </w:r>
      <w:r>
        <w:rPr>
          <w:rtl w:val="true"/>
        </w:rPr>
        <w:t xml:space="preserve">. </w:t>
      </w:r>
      <w:r>
        <w:rPr>
          <w:rtl w:val="true"/>
        </w:rPr>
        <w:t>במצב דברים זה</w:t>
      </w:r>
      <w:r>
        <w:rPr>
          <w:rtl w:val="true"/>
        </w:rPr>
        <w:t xml:space="preserve">, </w:t>
      </w:r>
      <w:r>
        <w:rPr>
          <w:rtl w:val="true"/>
        </w:rPr>
        <w:t xml:space="preserve">ובהינתן שההחלטה בה מדובר היא במובהק </w:t>
      </w:r>
      <w:r>
        <w:rPr>
          <w:rtl w:val="true"/>
        </w:rPr>
        <w:t>"</w:t>
      </w:r>
      <w:r>
        <w:rPr>
          <w:rtl w:val="true"/>
        </w:rPr>
        <w:t>החלטת ביניים</w:t>
      </w:r>
      <w:r>
        <w:rPr>
          <w:rtl w:val="true"/>
        </w:rPr>
        <w:t xml:space="preserve">" </w:t>
      </w:r>
      <w:r>
        <w:rPr>
          <w:rtl w:val="true"/>
        </w:rPr>
        <w:t>מבחינת טיבה</w:t>
      </w:r>
      <w:r>
        <w:rPr>
          <w:rtl w:val="true"/>
        </w:rPr>
        <w:t xml:space="preserve">, </w:t>
      </w:r>
      <w:r>
        <w:rPr>
          <w:rtl w:val="true"/>
        </w:rPr>
        <w:t>הרי שאם ההחלטה המונעת את הצגת העדות הייתה ניתנת על ידי המותב הדן בתיק העיקרי</w:t>
      </w:r>
      <w:r>
        <w:rPr>
          <w:rtl w:val="true"/>
        </w:rPr>
        <w:t xml:space="preserve">, </w:t>
      </w:r>
      <w:r>
        <w:rPr>
          <w:rtl w:val="true"/>
        </w:rPr>
        <w:t>פשיטא כי ניתן היה לערער עליה רק במסגרת ערעור על פסק הדין הסופי</w:t>
      </w:r>
      <w:r>
        <w:rPr>
          <w:rtl w:val="true"/>
        </w:rPr>
        <w:t xml:space="preserve">, </w:t>
      </w:r>
      <w:r>
        <w:rPr>
          <w:rtl w:val="true"/>
        </w:rPr>
        <w:t xml:space="preserve">ודומה כי גם המערערים אינם סבורים אחרת </w:t>
      </w:r>
      <w:r>
        <w:rPr>
          <w:rtl w:val="true"/>
        </w:rPr>
        <w:t>(</w:t>
      </w:r>
      <w:r>
        <w:rPr>
          <w:rtl w:val="true"/>
        </w:rPr>
        <w:t>לדוגמאות בהן נשמעו השגותיהם של נאשמים</w:t>
      </w:r>
      <w:r>
        <w:rPr>
          <w:rtl w:val="true"/>
        </w:rPr>
        <w:t xml:space="preserve">, </w:t>
      </w:r>
      <w:r>
        <w:rPr>
          <w:rtl w:val="true"/>
        </w:rPr>
        <w:t xml:space="preserve">הנוגעות להחלטות בדבר חיסיון מפני הפללה עצמית לפי </w:t>
      </w:r>
      <w:hyperlink r:id="rId5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, </w:t>
      </w:r>
      <w:r>
        <w:rPr>
          <w:rtl w:val="true"/>
        </w:rPr>
        <w:t>במסגרת הערעור על פסק הדין הסופי בעניינם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5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196/85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זילברברג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מד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485</w:t>
      </w:r>
      <w:r>
        <w:rPr>
          <w:rtl w:val="true"/>
        </w:rPr>
        <w:t xml:space="preserve"> (</w:t>
      </w:r>
      <w:r>
        <w:rPr/>
        <w:t>1990</w:t>
      </w:r>
      <w:r>
        <w:rPr>
          <w:rtl w:val="true"/>
        </w:rPr>
        <w:t xml:space="preserve">); </w:t>
      </w:r>
      <w:hyperlink r:id="rId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9216/03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אלרז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</w:t>
      </w:r>
      <w:r>
        <w:rPr/>
        <w:t>1</w:t>
      </w:r>
      <w:r>
        <w:rPr/>
        <w:t>.2006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סיבוך הדיוני</w:t>
      </w:r>
      <w:r>
        <w:rPr>
          <w:rtl w:val="true"/>
        </w:rPr>
        <w:t xml:space="preserve">" </w:t>
      </w:r>
      <w:r>
        <w:rPr>
          <w:rtl w:val="true"/>
        </w:rPr>
        <w:t>שנוצר לכאורה בענייננו נובע מכך שההחלטה לא ניתנה על ידי המותב הדן בתיק העיקרי</w:t>
      </w:r>
      <w:r>
        <w:rPr>
          <w:rtl w:val="true"/>
        </w:rPr>
        <w:t xml:space="preserve">, </w:t>
      </w:r>
      <w:r>
        <w:rPr>
          <w:rtl w:val="true"/>
        </w:rPr>
        <w:t>אלא על ידי המותב בתיק הנלווה</w:t>
      </w:r>
      <w:r>
        <w:rPr>
          <w:rtl w:val="true"/>
        </w:rPr>
        <w:t xml:space="preserve">, </w:t>
      </w:r>
      <w:r>
        <w:rPr>
          <w:rtl w:val="true"/>
        </w:rPr>
        <w:t>וכי היא ניתנה לכאורה במסגרת התיק הנלווה</w:t>
      </w:r>
      <w:r>
        <w:rPr>
          <w:rtl w:val="true"/>
        </w:rPr>
        <w:t xml:space="preserve">, </w:t>
      </w:r>
      <w:r>
        <w:rPr>
          <w:rtl w:val="true"/>
        </w:rPr>
        <w:t>שנסגר זה מכבר עת הפך פסק הדין הסופי שניתן בו לחלוט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זהות המותב שנתן את ההחלטה</w:t>
      </w:r>
      <w:r>
        <w:rPr>
          <w:rtl w:val="true"/>
        </w:rPr>
        <w:t xml:space="preserve">, </w:t>
      </w:r>
      <w:r>
        <w:rPr>
          <w:rtl w:val="true"/>
        </w:rPr>
        <w:t>כמו גם התיק לו שויכה ההחלטה כעניין אדמיניסטרטיבי</w:t>
      </w:r>
      <w:r>
        <w:rPr>
          <w:rtl w:val="true"/>
        </w:rPr>
        <w:t xml:space="preserve">, </w:t>
      </w:r>
      <w:r>
        <w:rPr>
          <w:rtl w:val="true"/>
        </w:rPr>
        <w:t>אין בהם</w:t>
      </w:r>
      <w:r>
        <w:rPr>
          <w:rtl w:val="true"/>
        </w:rPr>
        <w:t xml:space="preserve">, </w:t>
      </w:r>
      <w:r>
        <w:rPr>
          <w:rtl w:val="true"/>
        </w:rPr>
        <w:t>כשלעצמם</w:t>
      </w:r>
      <w:r>
        <w:rPr>
          <w:rtl w:val="true"/>
        </w:rPr>
        <w:t xml:space="preserve">, </w:t>
      </w:r>
      <w:r>
        <w:rPr>
          <w:rtl w:val="true"/>
        </w:rPr>
        <w:t>כדי להכריע בדבר סיווגה של ההחלטה</w:t>
      </w:r>
      <w:r>
        <w:rPr>
          <w:rtl w:val="true"/>
        </w:rPr>
        <w:t xml:space="preserve">. </w:t>
      </w:r>
      <w:r>
        <w:rPr>
          <w:rtl w:val="true"/>
        </w:rPr>
        <w:t>העברה למותב אחר של הכרעה בסוגיה ראייתית שמוטב שהמותב הדן בתיק העיקרי לא ייחשף אליה מתבצעת מעת לעת</w:t>
      </w:r>
      <w:r>
        <w:rPr>
          <w:rtl w:val="true"/>
        </w:rPr>
        <w:t xml:space="preserve">, </w:t>
      </w:r>
      <w:r>
        <w:rPr>
          <w:rtl w:val="true"/>
        </w:rPr>
        <w:t>ואין בה כדי לשנות את מהות ההחלטה</w:t>
      </w:r>
      <w:r>
        <w:rPr>
          <w:rtl w:val="true"/>
        </w:rPr>
        <w:t xml:space="preserve">, </w:t>
      </w:r>
      <w:r>
        <w:rPr>
          <w:rtl w:val="true"/>
        </w:rPr>
        <w:t>וכנגזר מכך</w:t>
      </w:r>
      <w:r>
        <w:rPr>
          <w:rtl w:val="true"/>
        </w:rPr>
        <w:t xml:space="preserve">, </w:t>
      </w:r>
      <w:r>
        <w:rPr>
          <w:rtl w:val="true"/>
        </w:rPr>
        <w:t xml:space="preserve">את אפשרויות הערעור עליה </w:t>
      </w:r>
      <w:r>
        <w:rPr>
          <w:rtl w:val="true"/>
        </w:rPr>
        <w:t>(</w:t>
      </w:r>
      <w:r>
        <w:rPr>
          <w:rtl w:val="true"/>
        </w:rPr>
        <w:t>וראו לדוגמה מקרה בו דחה בית משפט זה ערר על החלטה בעתירה לגילוי ראיה החסויה בחיסיון לטובת הציבור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6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>:</w:t>
      </w:r>
      <w:r>
        <w:rPr>
          <w:rtl w:val="true"/>
        </w:rPr>
        <w:t xml:space="preserve"> </w:t>
      </w:r>
      <w:hyperlink r:id="rId62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3071/11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שטרית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</w:t>
      </w:r>
      <w:r>
        <w:rPr/>
        <w:t>.</w:t>
      </w:r>
      <w:r>
        <w:rPr/>
        <w:t>5</w:t>
      </w:r>
      <w:r>
        <w:rPr/>
        <w:t>.2010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אף שההחלטה בעניין החיסיון ניתנה על ידי מותב שאינו המותב הדן בתיק העיקרי</w:t>
      </w:r>
      <w:r>
        <w:rPr>
          <w:rtl w:val="true"/>
        </w:rPr>
        <w:t xml:space="preserve">, </w:t>
      </w:r>
      <w:r>
        <w:rPr>
          <w:rtl w:val="true"/>
        </w:rPr>
        <w:t>נקבע כי מדובר בהחלטת ביניים</w:t>
      </w:r>
      <w:r>
        <w:rPr>
          <w:rtl w:val="true"/>
        </w:rPr>
        <w:t xml:space="preserve">, </w:t>
      </w:r>
      <w:r>
        <w:rPr>
          <w:rtl w:val="true"/>
        </w:rPr>
        <w:t>אשר לא ניתן להשיג עליה אלא בשלב הערעור על פסק הדין הסופי</w:t>
      </w:r>
      <w:r>
        <w:rPr>
          <w:rtl w:val="true"/>
        </w:rPr>
        <w:t xml:space="preserve">. </w:t>
      </w:r>
      <w:r>
        <w:rPr>
          <w:rtl w:val="true"/>
        </w:rPr>
        <w:t>ניסיון נוסף של העורר לעתור נגד ההחלטה בעתירה</w:t>
      </w:r>
      <w:r>
        <w:rPr>
          <w:rtl w:val="true"/>
        </w:rPr>
        <w:t xml:space="preserve">, </w:t>
      </w:r>
      <w:r>
        <w:rPr>
          <w:rtl w:val="true"/>
        </w:rPr>
        <w:t>נדחה אף הוא</w:t>
      </w:r>
      <w:r>
        <w:rPr>
          <w:rtl w:val="true"/>
        </w:rPr>
        <w:t xml:space="preserve">, </w:t>
      </w:r>
      <w:r>
        <w:rPr>
          <w:rtl w:val="true"/>
        </w:rPr>
        <w:t>תוך חזרה על קביעה זו</w:t>
      </w:r>
      <w:r>
        <w:rPr>
          <w:rtl w:val="true"/>
        </w:rPr>
        <w:t xml:space="preserve">. </w:t>
      </w:r>
      <w:r>
        <w:rPr>
          <w:rtl w:val="true"/>
        </w:rPr>
        <w:t xml:space="preserve">ראו </w:t>
      </w:r>
      <w:hyperlink r:id="rId63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8736/11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שיטרית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באר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שבע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</w:t>
      </w:r>
      <w:r>
        <w:rPr/>
        <w:t>.</w:t>
      </w:r>
      <w:r>
        <w:rPr/>
        <w:t>3</w:t>
      </w:r>
      <w:r>
        <w:rPr/>
        <w:t>.2012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גם העובדה שההחלטה סווגה מבחינה מנהלתית ככזו הניתנת בתיק הנלווה אינה משליכה על מהותה</w:t>
      </w:r>
      <w:r>
        <w:rPr>
          <w:rtl w:val="true"/>
        </w:rPr>
        <w:t xml:space="preserve">, </w:t>
      </w:r>
      <w:r>
        <w:rPr>
          <w:rtl w:val="true"/>
        </w:rPr>
        <w:t xml:space="preserve">שהייתה ונותרה </w:t>
      </w:r>
      <w:r>
        <w:rPr>
          <w:rtl w:val="true"/>
        </w:rPr>
        <w:t>"</w:t>
      </w:r>
      <w:r>
        <w:rPr>
          <w:rtl w:val="true"/>
        </w:rPr>
        <w:t>החלטת ביניים</w:t>
      </w:r>
      <w:r>
        <w:rPr>
          <w:rtl w:val="true"/>
        </w:rPr>
        <w:t xml:space="preserve">" </w:t>
      </w:r>
      <w:r>
        <w:rPr>
          <w:rtl w:val="true"/>
        </w:rPr>
        <w:t>בתיק העיקרי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סמכות המותב בתיק הנלווה לתת את ההחלטה נובעת מהחלטתו של המותב בתיק העיקרי בדבר העברת ההכרעה למותב בתיק הנלווה</w:t>
      </w:r>
      <w:r>
        <w:rPr>
          <w:rtl w:val="true"/>
        </w:rPr>
        <w:t xml:space="preserve">, </w:t>
      </w:r>
      <w:r>
        <w:rPr>
          <w:rtl w:val="true"/>
        </w:rPr>
        <w:t>ולא מההליכים בתיק הנלווה</w:t>
      </w:r>
      <w:r>
        <w:rPr>
          <w:rtl w:val="true"/>
        </w:rPr>
        <w:t xml:space="preserve">. </w:t>
      </w:r>
      <w:r>
        <w:rPr>
          <w:rtl w:val="true"/>
        </w:rPr>
        <w:t xml:space="preserve">לעניין זה יובהר כי </w:t>
      </w:r>
      <w:hyperlink r:id="rId6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 אינו מקנה כל מעמד למותב לפניו ניתנה העדות להכריע בשאלת קבילותה בהליכים עתידיים</w:t>
      </w:r>
      <w:r>
        <w:rPr>
          <w:rtl w:val="true"/>
        </w:rPr>
        <w:t xml:space="preserve">. </w:t>
      </w:r>
      <w:r>
        <w:rPr>
          <w:rtl w:val="true"/>
        </w:rPr>
        <w:t xml:space="preserve">שיקול דעת המותב לפניו ניתנת העדות מוגבל לשאלה אם להיענות לבקשתו של עד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להימנע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ממסירת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עשויה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להפלילו</w:t>
      </w:r>
      <w:r>
        <w:rPr>
          <w:rtl w:val="true"/>
        </w:rPr>
        <w:t xml:space="preserve">". </w:t>
      </w:r>
      <w:r>
        <w:rPr>
          <w:rtl w:val="true"/>
        </w:rPr>
        <w:t>התוצאה הקבועה בהמשך הסעיף</w:t>
      </w:r>
      <w:r>
        <w:rPr>
          <w:rtl w:val="true"/>
        </w:rPr>
        <w:t xml:space="preserve">, </w:t>
      </w:r>
      <w:r>
        <w:rPr>
          <w:rtl w:val="true"/>
        </w:rPr>
        <w:t xml:space="preserve">לפיה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תוגש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נגד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שהעובדה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המתגלית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יסוד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מיסודותיה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הסכים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לכך</w:t>
      </w:r>
      <w:r>
        <w:rPr>
          <w:rtl w:val="true"/>
        </w:rPr>
        <w:t xml:space="preserve">", </w:t>
      </w:r>
      <w:r>
        <w:rPr>
          <w:rtl w:val="true"/>
        </w:rPr>
        <w:t>היא נגזרת אוטומטית מקבלת הבקשה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 xml:space="preserve">ככל שמתעוררות מחלוקות ביחס לתחולת התוצאה בתיק הנדון לאחר מכן </w:t>
      </w:r>
      <w:r>
        <w:rPr>
          <w:rtl w:val="true"/>
        </w:rPr>
        <w:t>(</w:t>
      </w:r>
      <w:r>
        <w:rPr>
          <w:rtl w:val="true"/>
        </w:rPr>
        <w:t>כפי שהיה בענייננו</w:t>
      </w:r>
      <w:r>
        <w:rPr>
          <w:rtl w:val="true"/>
        </w:rPr>
        <w:t xml:space="preserve">), </w:t>
      </w:r>
      <w:r>
        <w:rPr>
          <w:rtl w:val="true"/>
        </w:rPr>
        <w:t xml:space="preserve">הן מוכרעות בתיק המאוחר </w:t>
      </w:r>
      <w:r>
        <w:rPr>
          <w:rtl w:val="true"/>
        </w:rPr>
        <w:t>(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התיק העיקרי</w:t>
      </w:r>
      <w:r>
        <w:rPr>
          <w:rtl w:val="true"/>
        </w:rPr>
        <w:t xml:space="preserve">), </w:t>
      </w:r>
      <w:r>
        <w:rPr>
          <w:rtl w:val="true"/>
        </w:rPr>
        <w:t xml:space="preserve">ולא בתיק בו ניתנה העדות </w:t>
      </w:r>
      <w:r>
        <w:rPr>
          <w:rtl w:val="true"/>
        </w:rPr>
        <w:t>(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התיק הנלווה</w:t>
      </w:r>
      <w:r>
        <w:rPr>
          <w:rtl w:val="true"/>
        </w:rPr>
        <w:t xml:space="preserve">). </w:t>
      </w:r>
      <w:r>
        <w:rPr>
          <w:rtl w:val="true"/>
        </w:rPr>
        <w:t>גם עניין זה</w:t>
      </w:r>
      <w:r>
        <w:rPr>
          <w:rtl w:val="true"/>
        </w:rPr>
        <w:t xml:space="preserve">, </w:t>
      </w:r>
      <w:r>
        <w:rPr>
          <w:rtl w:val="true"/>
        </w:rPr>
        <w:t>אינו יכול</w:t>
      </w:r>
      <w:r>
        <w:rPr>
          <w:rtl w:val="true"/>
        </w:rPr>
        <w:t xml:space="preserve">, </w:t>
      </w:r>
      <w:r>
        <w:rPr>
          <w:rtl w:val="true"/>
        </w:rPr>
        <w:t>איפוא</w:t>
      </w:r>
      <w:r>
        <w:rPr>
          <w:rtl w:val="true"/>
        </w:rPr>
        <w:t xml:space="preserve">, </w:t>
      </w:r>
      <w:r>
        <w:rPr>
          <w:rtl w:val="true"/>
        </w:rPr>
        <w:t>ליצור זכות ערעור על ההחלטה שלא במסגרת ערעור על פסק הדין הסופי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תמציתו של דבר</w:t>
      </w:r>
      <w:r>
        <w:rPr>
          <w:rtl w:val="true"/>
        </w:rPr>
        <w:t xml:space="preserve">, </w:t>
      </w:r>
      <w:r>
        <w:rPr>
          <w:rtl w:val="true"/>
        </w:rPr>
        <w:t>בהינתן שאין בהחלטה בדבר העברת ההכרעה למותב בתיק הנלווה כדי לשנות ממהותה של ההחלטה המונעת את הצגת העדות כ</w:t>
      </w:r>
      <w:r>
        <w:rPr>
          <w:rtl w:val="true"/>
        </w:rPr>
        <w:t>"</w:t>
      </w:r>
      <w:r>
        <w:rPr>
          <w:rtl w:val="true"/>
        </w:rPr>
        <w:t>החלטת ביניים</w:t>
      </w:r>
      <w:r>
        <w:rPr>
          <w:rtl w:val="true"/>
        </w:rPr>
        <w:t xml:space="preserve">" </w:t>
      </w:r>
      <w:r>
        <w:rPr>
          <w:rtl w:val="true"/>
        </w:rPr>
        <w:t>בתיק העיקרי</w:t>
      </w:r>
      <w:r>
        <w:rPr>
          <w:rtl w:val="true"/>
        </w:rPr>
        <w:t xml:space="preserve">, </w:t>
      </w:r>
      <w:r>
        <w:rPr>
          <w:rtl w:val="true"/>
        </w:rPr>
        <w:t>זכות הערעור לגביה קיימת רק כחלק מהערעור על פסק הדין הסופי</w:t>
      </w:r>
      <w:r>
        <w:rPr>
          <w:rtl w:val="true"/>
        </w:rPr>
        <w:t xml:space="preserve">, </w:t>
      </w:r>
      <w:r>
        <w:rPr>
          <w:rtl w:val="true"/>
        </w:rPr>
        <w:t>ולא בשלב הנוכחי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אשר על 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דין ההליך להימחק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תוך</w:t>
      </w:r>
      <w:r>
        <w:rPr>
          <w:rtl w:val="true"/>
        </w:rPr>
        <w:t xml:space="preserve"> שמובהר כי אין באמור כדי להביע כל עמדה לגופה של ההחלטה המונעת את הצגת העדות</w:t>
      </w:r>
      <w:r>
        <w:rPr>
          <w:rtl w:val="true"/>
        </w:rPr>
        <w:t xml:space="preserve">, </w:t>
      </w:r>
      <w:r>
        <w:rPr>
          <w:rtl w:val="true"/>
        </w:rPr>
        <w:t>וכי וככל שיחפצו בכך</w:t>
      </w:r>
      <w:r>
        <w:rPr>
          <w:rtl w:val="true"/>
        </w:rPr>
        <w:t xml:space="preserve">, </w:t>
      </w:r>
      <w:r>
        <w:rPr>
          <w:rtl w:val="true"/>
        </w:rPr>
        <w:t>יוכלו המערערים לטעון נגד החלטה זו במסגרת הערעור על פסק הדין הסופי בתיק</w:t>
      </w:r>
      <w:r>
        <w:rPr>
          <w:rtl w:val="true"/>
        </w:rPr>
        <w:t xml:space="preserve">, </w:t>
      </w:r>
      <w:r>
        <w:rPr>
          <w:rtl w:val="true"/>
        </w:rPr>
        <w:t>תוך שטענותיהם שמורות להם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sz w:val="16"/>
          <w:szCs w:val="16"/>
        </w:rPr>
      </w:pPr>
      <w:bookmarkStart w:id="15" w:name="Nitan"/>
      <w:r>
        <w:rPr>
          <w:color w:val="FFFFFF"/>
          <w:sz w:val="16"/>
          <w:szCs w:val="16"/>
        </w:rPr>
        <w:t>5129371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 w:val="16"/>
          <w:szCs w:val="16"/>
          <w:rtl w:val="true"/>
        </w:rPr>
        <w:t>ניתנה</w:t>
      </w:r>
      <w:r>
        <w:rPr>
          <w:rFonts w:eastAsia="Arial TUR" w:cs="Arial TUR"/>
          <w:sz w:val="16"/>
          <w:sz w:val="16"/>
          <w:szCs w:val="16"/>
          <w:rtl w:val="true"/>
        </w:rPr>
        <w:t xml:space="preserve"> </w:t>
      </w:r>
      <w:r>
        <w:rPr>
          <w:sz w:val="16"/>
          <w:sz w:val="16"/>
          <w:szCs w:val="16"/>
          <w:rtl w:val="true"/>
        </w:rPr>
        <w:t>היום</w:t>
      </w:r>
      <w:r>
        <w:rPr>
          <w:sz w:val="16"/>
          <w:szCs w:val="16"/>
          <w:rtl w:val="true"/>
        </w:rPr>
        <w:t>, ‏</w:t>
      </w:r>
      <w:r>
        <w:rPr>
          <w:sz w:val="16"/>
          <w:sz w:val="16"/>
          <w:szCs w:val="16"/>
          <w:rtl w:val="true"/>
        </w:rPr>
        <w:t>י</w:t>
      </w:r>
      <w:r>
        <w:rPr>
          <w:sz w:val="16"/>
          <w:szCs w:val="16"/>
          <w:rtl w:val="true"/>
        </w:rPr>
        <w:t>"</w:t>
      </w:r>
      <w:r>
        <w:rPr>
          <w:sz w:val="16"/>
          <w:sz w:val="16"/>
          <w:szCs w:val="16"/>
          <w:rtl w:val="true"/>
        </w:rPr>
        <w:t>א</w:t>
      </w:r>
      <w:r>
        <w:rPr>
          <w:rFonts w:eastAsia="Arial TUR" w:cs="Arial TUR"/>
          <w:sz w:val="16"/>
          <w:sz w:val="16"/>
          <w:szCs w:val="16"/>
          <w:rtl w:val="true"/>
        </w:rPr>
        <w:t xml:space="preserve"> </w:t>
      </w:r>
      <w:r>
        <w:rPr>
          <w:sz w:val="16"/>
          <w:sz w:val="16"/>
          <w:szCs w:val="16"/>
          <w:rtl w:val="true"/>
        </w:rPr>
        <w:t>בשבט</w:t>
      </w:r>
      <w:r>
        <w:rPr>
          <w:rFonts w:eastAsia="Arial TUR" w:cs="Arial TUR"/>
          <w:sz w:val="16"/>
          <w:sz w:val="16"/>
          <w:szCs w:val="16"/>
          <w:rtl w:val="true"/>
        </w:rPr>
        <w:t xml:space="preserve"> </w:t>
      </w:r>
      <w:r>
        <w:rPr>
          <w:sz w:val="16"/>
          <w:sz w:val="16"/>
          <w:szCs w:val="16"/>
          <w:rtl w:val="true"/>
        </w:rPr>
        <w:t>התשפ</w:t>
      </w:r>
      <w:r>
        <w:rPr>
          <w:sz w:val="16"/>
          <w:szCs w:val="16"/>
          <w:rtl w:val="true"/>
        </w:rPr>
        <w:t>"</w:t>
      </w:r>
      <w:r>
        <w:rPr>
          <w:sz w:val="16"/>
          <w:sz w:val="16"/>
          <w:szCs w:val="16"/>
          <w:rtl w:val="true"/>
        </w:rPr>
        <w:t>ד</w:t>
      </w:r>
      <w:r>
        <w:rPr>
          <w:rFonts w:eastAsia="Arial TUR" w:cs="Arial TUR"/>
          <w:sz w:val="16"/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>(‏</w:t>
      </w:r>
      <w:r>
        <w:rPr>
          <w:sz w:val="16"/>
          <w:szCs w:val="16"/>
        </w:rPr>
        <w:t>21.1.2024</w:t>
      </w:r>
      <w:r>
        <w:rPr>
          <w:sz w:val="16"/>
          <w:szCs w:val="16"/>
          <w:rtl w:val="true"/>
        </w:rPr>
        <w:t xml:space="preserve">). </w:t>
      </w:r>
      <w:bookmarkEnd w:id="15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ind w:end="0"/>
              <w:jc w:val="both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23081910</w:t>
      </w:r>
      <w:r>
        <w:rPr>
          <w:sz w:val="16"/>
          <w:rtl w:val="true"/>
        </w:rPr>
        <w:t>_</w:t>
      </w:r>
      <w:r>
        <w:rPr>
          <w:sz w:val="16"/>
        </w:rPr>
        <w:t>Y03.docx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אב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66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גרוסקופף </w:t>
      </w:r>
      <w:r>
        <w:rPr>
          <w:rFonts w:cs="David" w:ascii="David" w:hAnsi="David"/>
          <w:color w:val="000000"/>
          <w:szCs w:val="22"/>
        </w:rPr>
        <w:t>54678313-8191/23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6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68"/>
      <w:footerReference w:type="default" r:id="rId69"/>
      <w:type w:val="nextPage"/>
      <w:pgSz w:w="11906" w:h="16838"/>
      <w:pgMar w:left="1800" w:right="1800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8191/23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יעקב גולדמן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bullet"/>
      <w:lvlText w:val="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7467775" TargetMode="External"/><Relationship Id="rId3" Type="http://schemas.openxmlformats.org/officeDocument/2006/relationships/hyperlink" Target="http://www.nevo.co.il/law/98569" TargetMode="External"/><Relationship Id="rId4" Type="http://schemas.openxmlformats.org/officeDocument/2006/relationships/hyperlink" Target="http://www.nevo.co.il/law/98569/45" TargetMode="External"/><Relationship Id="rId5" Type="http://schemas.openxmlformats.org/officeDocument/2006/relationships/hyperlink" Target="http://www.nevo.co.il/law/98569/47.b" TargetMode="External"/><Relationship Id="rId6" Type="http://schemas.openxmlformats.org/officeDocument/2006/relationships/hyperlink" Target="http://www.nevo.co.il/law/71600" TargetMode="External"/><Relationship Id="rId7" Type="http://schemas.openxmlformats.org/officeDocument/2006/relationships/hyperlink" Target="http://www.nevo.co.il/law/74849" TargetMode="External"/><Relationship Id="rId8" Type="http://schemas.openxmlformats.org/officeDocument/2006/relationships/hyperlink" Target="http://www.nevo.co.il/law/74849/41" TargetMode="External"/><Relationship Id="rId9" Type="http://schemas.openxmlformats.org/officeDocument/2006/relationships/hyperlink" Target="http://www.nevo.co.il/law/74849/41.a" TargetMode="External"/><Relationship Id="rId10" Type="http://schemas.openxmlformats.org/officeDocument/2006/relationships/hyperlink" Target="http://www.nevo.co.il/law/74849/52" TargetMode="External"/><Relationship Id="rId11" Type="http://schemas.openxmlformats.org/officeDocument/2006/relationships/hyperlink" Target="http://www.nevo.co.il/law/74903" TargetMode="External"/><Relationship Id="rId12" Type="http://schemas.openxmlformats.org/officeDocument/2006/relationships/hyperlink" Target="http://www.nevo.co.il/law/74903/74.e" TargetMode="External"/><Relationship Id="rId13" Type="http://schemas.openxmlformats.org/officeDocument/2006/relationships/hyperlink" Target="http://www.nevo.co.il/law/74903/147" TargetMode="External"/><Relationship Id="rId14" Type="http://schemas.openxmlformats.org/officeDocument/2006/relationships/hyperlink" Target="http://www.nevo.co.il/law/98568" TargetMode="External"/><Relationship Id="rId15" Type="http://schemas.openxmlformats.org/officeDocument/2006/relationships/hyperlink" Target="http://www.nevo.co.il/law/98568/53.a" TargetMode="External"/><Relationship Id="rId16" Type="http://schemas.openxmlformats.org/officeDocument/2006/relationships/hyperlink" Target="http://www.nevo.co.il/law/74918" TargetMode="External"/><Relationship Id="rId17" Type="http://schemas.openxmlformats.org/officeDocument/2006/relationships/hyperlink" Target="http://www.nevo.co.il/law/74918/38a" TargetMode="External"/><Relationship Id="rId18" Type="http://schemas.openxmlformats.org/officeDocument/2006/relationships/hyperlink" Target="http://www.nevo.co.il/law/98569" TargetMode="External"/><Relationship Id="rId19" Type="http://schemas.openxmlformats.org/officeDocument/2006/relationships/hyperlink" Target="http://www.nevo.co.il/law/71600" TargetMode="External"/><Relationship Id="rId20" Type="http://schemas.openxmlformats.org/officeDocument/2006/relationships/hyperlink" Target="http://www.nevo.co.il/law/98569" TargetMode="External"/><Relationship Id="rId21" Type="http://schemas.openxmlformats.org/officeDocument/2006/relationships/hyperlink" Target="http://www.nevo.co.il/law/98569" TargetMode="External"/><Relationship Id="rId22" Type="http://schemas.openxmlformats.org/officeDocument/2006/relationships/hyperlink" Target="http://www.nevo.co.il/law/98569" TargetMode="External"/><Relationship Id="rId23" Type="http://schemas.openxmlformats.org/officeDocument/2006/relationships/hyperlink" Target="http://www.nevo.co.il/case/27467775" TargetMode="External"/><Relationship Id="rId24" Type="http://schemas.openxmlformats.org/officeDocument/2006/relationships/hyperlink" Target="http://www.nevo.co.il/law/98569/47.b" TargetMode="External"/><Relationship Id="rId25" Type="http://schemas.openxmlformats.org/officeDocument/2006/relationships/hyperlink" Target="http://www.nevo.co.il/law/98569" TargetMode="External"/><Relationship Id="rId26" Type="http://schemas.openxmlformats.org/officeDocument/2006/relationships/hyperlink" Target="http://www.nevo.co.il/case/27467713" TargetMode="External"/><Relationship Id="rId27" Type="http://schemas.openxmlformats.org/officeDocument/2006/relationships/hyperlink" Target="http://www.nevo.co.il/law/71600" TargetMode="External"/><Relationship Id="rId28" Type="http://schemas.openxmlformats.org/officeDocument/2006/relationships/hyperlink" Target="http://www.nevo.co.il/case/27467775" TargetMode="External"/><Relationship Id="rId29" Type="http://schemas.openxmlformats.org/officeDocument/2006/relationships/hyperlink" Target="http://www.nevo.co.il/law/98569" TargetMode="External"/><Relationship Id="rId30" Type="http://schemas.openxmlformats.org/officeDocument/2006/relationships/hyperlink" Target="http://www.nevo.co.il/law/98569/47.b" TargetMode="External"/><Relationship Id="rId31" Type="http://schemas.openxmlformats.org/officeDocument/2006/relationships/hyperlink" Target="http://www.nevo.co.il/law/98569" TargetMode="External"/><Relationship Id="rId32" Type="http://schemas.openxmlformats.org/officeDocument/2006/relationships/hyperlink" Target="http://www.nevo.co.il/law/98569/47.b" TargetMode="External"/><Relationship Id="rId33" Type="http://schemas.openxmlformats.org/officeDocument/2006/relationships/hyperlink" Target="http://www.nevo.co.il/law/98569" TargetMode="External"/><Relationship Id="rId34" Type="http://schemas.openxmlformats.org/officeDocument/2006/relationships/hyperlink" Target="http://www.nevo.co.il/law/74849/41.a" TargetMode="External"/><Relationship Id="rId35" Type="http://schemas.openxmlformats.org/officeDocument/2006/relationships/hyperlink" Target="http://www.nevo.co.il/law/74849" TargetMode="External"/><Relationship Id="rId36" Type="http://schemas.openxmlformats.org/officeDocument/2006/relationships/hyperlink" Target="http://www.nevo.co.il/law/98569/47.b" TargetMode="External"/><Relationship Id="rId37" Type="http://schemas.openxmlformats.org/officeDocument/2006/relationships/hyperlink" Target="http://www.nevo.co.il/law/98569" TargetMode="External"/><Relationship Id="rId38" Type="http://schemas.openxmlformats.org/officeDocument/2006/relationships/hyperlink" Target="http://www.nevo.co.il/law/74849/41" TargetMode="External"/><Relationship Id="rId39" Type="http://schemas.openxmlformats.org/officeDocument/2006/relationships/hyperlink" Target="http://www.nevo.co.il/law/74849/52" TargetMode="External"/><Relationship Id="rId40" Type="http://schemas.openxmlformats.org/officeDocument/2006/relationships/hyperlink" Target="http://www.nevo.co.il/law/74849" TargetMode="External"/><Relationship Id="rId41" Type="http://schemas.openxmlformats.org/officeDocument/2006/relationships/hyperlink" Target="http://www.nevo.co.il/case/17911063" TargetMode="External"/><Relationship Id="rId42" Type="http://schemas.openxmlformats.org/officeDocument/2006/relationships/hyperlink" Target="http://www.nevo.co.il/case/24156634" TargetMode="External"/><Relationship Id="rId43" Type="http://schemas.openxmlformats.org/officeDocument/2006/relationships/hyperlink" Target="http://www.nevo.co.il/case/27404364" TargetMode="External"/><Relationship Id="rId44" Type="http://schemas.openxmlformats.org/officeDocument/2006/relationships/hyperlink" Target="http://www.nevo.co.il/case/30038654" TargetMode="External"/><Relationship Id="rId45" Type="http://schemas.openxmlformats.org/officeDocument/2006/relationships/hyperlink" Target="http://www.nevo.co.il/case/6045283" TargetMode="External"/><Relationship Id="rId46" Type="http://schemas.openxmlformats.org/officeDocument/2006/relationships/hyperlink" Target="http://www.nevo.co.il/case/6244788" TargetMode="External"/><Relationship Id="rId47" Type="http://schemas.openxmlformats.org/officeDocument/2006/relationships/hyperlink" Target="http://www.nevo.co.il/case/24156634" TargetMode="External"/><Relationship Id="rId48" Type="http://schemas.openxmlformats.org/officeDocument/2006/relationships/hyperlink" Target="http://www.nevo.co.il/law/74903/74.e" TargetMode="External"/><Relationship Id="rId49" Type="http://schemas.openxmlformats.org/officeDocument/2006/relationships/hyperlink" Target="http://www.nevo.co.il/law/74903" TargetMode="External"/><Relationship Id="rId50" Type="http://schemas.openxmlformats.org/officeDocument/2006/relationships/hyperlink" Target="http://www.nevo.co.il/law/74903" TargetMode="External"/><Relationship Id="rId51" Type="http://schemas.openxmlformats.org/officeDocument/2006/relationships/hyperlink" Target="http://www.nevo.co.il/law/74903/147" TargetMode="External"/><Relationship Id="rId52" Type="http://schemas.openxmlformats.org/officeDocument/2006/relationships/hyperlink" Target="http://www.nevo.co.il/law/98568/53.a" TargetMode="External"/><Relationship Id="rId53" Type="http://schemas.openxmlformats.org/officeDocument/2006/relationships/hyperlink" Target="http://www.nevo.co.il/law/98568" TargetMode="External"/><Relationship Id="rId54" Type="http://schemas.openxmlformats.org/officeDocument/2006/relationships/hyperlink" Target="http://www.nevo.co.il/law/74918/38a" TargetMode="External"/><Relationship Id="rId55" Type="http://schemas.openxmlformats.org/officeDocument/2006/relationships/hyperlink" Target="http://www.nevo.co.il/law/74918" TargetMode="External"/><Relationship Id="rId56" Type="http://schemas.openxmlformats.org/officeDocument/2006/relationships/hyperlink" Target="http://www.nevo.co.il/law/98569/47.b" TargetMode="External"/><Relationship Id="rId57" Type="http://schemas.openxmlformats.org/officeDocument/2006/relationships/hyperlink" Target="http://www.nevo.co.il/law/98569" TargetMode="External"/><Relationship Id="rId58" Type="http://schemas.openxmlformats.org/officeDocument/2006/relationships/hyperlink" Target="http://www.nevo.co.il/case/17944330" TargetMode="External"/><Relationship Id="rId59" Type="http://schemas.openxmlformats.org/officeDocument/2006/relationships/hyperlink" Target="http://www.nevo.co.il/case/6147805" TargetMode="External"/><Relationship Id="rId60" Type="http://schemas.openxmlformats.org/officeDocument/2006/relationships/hyperlink" Target="http://www.nevo.co.il/law/98569/45" TargetMode="External"/><Relationship Id="rId61" Type="http://schemas.openxmlformats.org/officeDocument/2006/relationships/hyperlink" Target="http://www.nevo.co.il/law/98569" TargetMode="External"/><Relationship Id="rId62" Type="http://schemas.openxmlformats.org/officeDocument/2006/relationships/hyperlink" Target="http://www.nevo.co.il/case/5873791" TargetMode="External"/><Relationship Id="rId63" Type="http://schemas.openxmlformats.org/officeDocument/2006/relationships/hyperlink" Target="http://www.nevo.co.il/case/5609843" TargetMode="External"/><Relationship Id="rId64" Type="http://schemas.openxmlformats.org/officeDocument/2006/relationships/hyperlink" Target="http://www.nevo.co.il/law/98569/47.b" TargetMode="External"/><Relationship Id="rId65" Type="http://schemas.openxmlformats.org/officeDocument/2006/relationships/hyperlink" Target="http://www.nevo.co.il/law/98569" TargetMode="External"/><Relationship Id="rId66" Type="http://schemas.openxmlformats.org/officeDocument/2006/relationships/hyperlink" Target="https://supreme.court.gov.il/" TargetMode="External"/><Relationship Id="rId67" Type="http://schemas.openxmlformats.org/officeDocument/2006/relationships/hyperlink" Target="http://www.nevo.co.il/advertisements/nevo-100.doc" TargetMode="External"/><Relationship Id="rId68" Type="http://schemas.openxmlformats.org/officeDocument/2006/relationships/header" Target="header1.xml"/><Relationship Id="rId69" Type="http://schemas.openxmlformats.org/officeDocument/2006/relationships/footer" Target="footer1.xml"/><Relationship Id="rId70" Type="http://schemas.openxmlformats.org/officeDocument/2006/relationships/numbering" Target="numbering.xml"/><Relationship Id="rId71" Type="http://schemas.openxmlformats.org/officeDocument/2006/relationships/fontTable" Target="fontTable.xml"/><Relationship Id="rId72" Type="http://schemas.openxmlformats.org/officeDocument/2006/relationships/settings" Target="settings.xml"/><Relationship Id="rId7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2024-01-22T12:29:00Z</dcterms:created>
  <dc:creator>h4</dc:creator>
  <dc:description/>
  <cp:keywords/>
  <dc:language>en-IL</dc:language>
  <cp:lastModifiedBy>h2</cp:lastModifiedBy>
  <cp:lastPrinted>2024-01-21T14:17:00Z</cp:lastPrinted>
  <dcterms:modified xsi:type="dcterms:W3CDTF">2024-01-22T12:29:00Z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יעקב גולדמן;על- רד הנדסת מעליות (1992)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ישראל;יוסף ורדי;יעקב עברון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27467775:3;27467713;17911063;24156634:2;27404364;30038654;6045283;6244788;17944330;6147805;5873791;5609843</vt:lpwstr>
  </property>
  <property fmtid="{D5CDD505-2E9C-101B-9397-08002B2CF9AE}" pid="9" name="CITY">
    <vt:lpwstr/>
  </property>
  <property fmtid="{D5CDD505-2E9C-101B-9397-08002B2CF9AE}" pid="10" name="DATE">
    <vt:lpwstr>20240121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גרוסקופף</vt:lpwstr>
  </property>
  <property fmtid="{D5CDD505-2E9C-101B-9397-08002B2CF9AE}" pid="14" name="LAWLISTTMP1">
    <vt:lpwstr>98569/047.b:6;045</vt:lpwstr>
  </property>
  <property fmtid="{D5CDD505-2E9C-101B-9397-08002B2CF9AE}" pid="15" name="LAWLISTTMP2">
    <vt:lpwstr>71600</vt:lpwstr>
  </property>
  <property fmtid="{D5CDD505-2E9C-101B-9397-08002B2CF9AE}" pid="16" name="LAWLISTTMP3">
    <vt:lpwstr>74849/041.a;041;052</vt:lpwstr>
  </property>
  <property fmtid="{D5CDD505-2E9C-101B-9397-08002B2CF9AE}" pid="17" name="LAWLISTTMP4">
    <vt:lpwstr>74903/074.e;147</vt:lpwstr>
  </property>
  <property fmtid="{D5CDD505-2E9C-101B-9397-08002B2CF9AE}" pid="18" name="LAWLISTTMP5">
    <vt:lpwstr>98568/053.a</vt:lpwstr>
  </property>
  <property fmtid="{D5CDD505-2E9C-101B-9397-08002B2CF9AE}" pid="19" name="LAWLISTTMP6">
    <vt:lpwstr>74918/038a</vt:lpwstr>
  </property>
  <property fmtid="{D5CDD505-2E9C-101B-9397-08002B2CF9AE}" pid="20" name="LAWYER">
    <vt:lpwstr>אסף מוזס;אסף שובינסקי;חן שומרת;אריה לוי;אבנר פינקלשטיין;ליאור פרנק</vt:lpwstr>
  </property>
  <property fmtid="{D5CDD505-2E9C-101B-9397-08002B2CF9AE}" pid="21" name="LINKK1">
    <vt:lpwstr/>
  </property>
  <property fmtid="{D5CDD505-2E9C-101B-9397-08002B2CF9AE}" pid="22" name="LINKK2">
    <vt:lpwstr/>
  </property>
  <property fmtid="{D5CDD505-2E9C-101B-9397-08002B2CF9AE}" pid="23" name="LINKK3">
    <vt:lpwstr/>
  </property>
  <property fmtid="{D5CDD505-2E9C-101B-9397-08002B2CF9AE}" pid="24" name="LINKK4">
    <vt:lpwstr/>
  </property>
  <property fmtid="{D5CDD505-2E9C-101B-9397-08002B2CF9AE}" pid="25" name="LINKK5">
    <vt:lpwstr/>
  </property>
  <property fmtid="{D5CDD505-2E9C-101B-9397-08002B2CF9AE}" pid="26" name="METAKZER">
    <vt:lpwstr>נעה</vt:lpwstr>
  </property>
  <property fmtid="{D5CDD505-2E9C-101B-9397-08002B2CF9AE}" pid="27" name="NEWPARTA">
    <vt:lpwstr/>
  </property>
  <property fmtid="{D5CDD505-2E9C-101B-9397-08002B2CF9AE}" pid="28" name="NEWPARTB">
    <vt:lpwstr/>
  </property>
  <property fmtid="{D5CDD505-2E9C-101B-9397-08002B2CF9AE}" pid="29" name="NEWPARTC">
    <vt:lpwstr/>
  </property>
  <property fmtid="{D5CDD505-2E9C-101B-9397-08002B2CF9AE}" pid="30" name="NEWPROC">
    <vt:lpwstr/>
  </property>
  <property fmtid="{D5CDD505-2E9C-101B-9397-08002B2CF9AE}" pid="31" name="NOSE11">
    <vt:lpwstr>דיון פלילי</vt:lpwstr>
  </property>
  <property fmtid="{D5CDD505-2E9C-101B-9397-08002B2CF9AE}" pid="32" name="NOSE110">
    <vt:lpwstr/>
  </property>
  <property fmtid="{D5CDD505-2E9C-101B-9397-08002B2CF9AE}" pid="33" name="NOSE12">
    <vt:lpwstr>דיון פלילי</vt:lpwstr>
  </property>
  <property fmtid="{D5CDD505-2E9C-101B-9397-08002B2CF9AE}" pid="34" name="NOSE13">
    <vt:lpwstr/>
  </property>
  <property fmtid="{D5CDD505-2E9C-101B-9397-08002B2CF9AE}" pid="35" name="NOSE14">
    <vt:lpwstr/>
  </property>
  <property fmtid="{D5CDD505-2E9C-101B-9397-08002B2CF9AE}" pid="36" name="NOSE15">
    <vt:lpwstr/>
  </property>
  <property fmtid="{D5CDD505-2E9C-101B-9397-08002B2CF9AE}" pid="37" name="NOSE16">
    <vt:lpwstr/>
  </property>
  <property fmtid="{D5CDD505-2E9C-101B-9397-08002B2CF9AE}" pid="38" name="NOSE17">
    <vt:lpwstr/>
  </property>
  <property fmtid="{D5CDD505-2E9C-101B-9397-08002B2CF9AE}" pid="39" name="NOSE18">
    <vt:lpwstr/>
  </property>
  <property fmtid="{D5CDD505-2E9C-101B-9397-08002B2CF9AE}" pid="40" name="NOSE19">
    <vt:lpwstr/>
  </property>
  <property fmtid="{D5CDD505-2E9C-101B-9397-08002B2CF9AE}" pid="41" name="NOSE1ID">
    <vt:lpwstr>18;18</vt:lpwstr>
  </property>
  <property fmtid="{D5CDD505-2E9C-101B-9397-08002B2CF9AE}" pid="42" name="NOSE21">
    <vt:lpwstr>ערעור</vt:lpwstr>
  </property>
  <property fmtid="{D5CDD505-2E9C-101B-9397-08002B2CF9AE}" pid="43" name="NOSE210">
    <vt:lpwstr/>
  </property>
  <property fmtid="{D5CDD505-2E9C-101B-9397-08002B2CF9AE}" pid="44" name="NOSE22">
    <vt:lpwstr>ערעור</vt:lpwstr>
  </property>
  <property fmtid="{D5CDD505-2E9C-101B-9397-08002B2CF9AE}" pid="45" name="NOSE23">
    <vt:lpwstr/>
  </property>
  <property fmtid="{D5CDD505-2E9C-101B-9397-08002B2CF9AE}" pid="46" name="NOSE24">
    <vt:lpwstr/>
  </property>
  <property fmtid="{D5CDD505-2E9C-101B-9397-08002B2CF9AE}" pid="47" name="NOSE25">
    <vt:lpwstr/>
  </property>
  <property fmtid="{D5CDD505-2E9C-101B-9397-08002B2CF9AE}" pid="48" name="NOSE26">
    <vt:lpwstr/>
  </property>
  <property fmtid="{D5CDD505-2E9C-101B-9397-08002B2CF9AE}" pid="49" name="NOSE27">
    <vt:lpwstr/>
  </property>
  <property fmtid="{D5CDD505-2E9C-101B-9397-08002B2CF9AE}" pid="50" name="NOSE28">
    <vt:lpwstr/>
  </property>
  <property fmtid="{D5CDD505-2E9C-101B-9397-08002B2CF9AE}" pid="51" name="NOSE29">
    <vt:lpwstr/>
  </property>
  <property fmtid="{D5CDD505-2E9C-101B-9397-08002B2CF9AE}" pid="52" name="NOSE2ID">
    <vt:lpwstr>504;504</vt:lpwstr>
  </property>
  <property fmtid="{D5CDD505-2E9C-101B-9397-08002B2CF9AE}" pid="53" name="NOSE31">
    <vt:lpwstr>על החלטת ביניים</vt:lpwstr>
  </property>
  <property fmtid="{D5CDD505-2E9C-101B-9397-08002B2CF9AE}" pid="54" name="NOSE310">
    <vt:lpwstr/>
  </property>
  <property fmtid="{D5CDD505-2E9C-101B-9397-08002B2CF9AE}" pid="55" name="NOSE32">
    <vt:lpwstr>מחיקה</vt:lpwstr>
  </property>
  <property fmtid="{D5CDD505-2E9C-101B-9397-08002B2CF9AE}" pid="56" name="NOSE33">
    <vt:lpwstr/>
  </property>
  <property fmtid="{D5CDD505-2E9C-101B-9397-08002B2CF9AE}" pid="57" name="NOSE34">
    <vt:lpwstr/>
  </property>
  <property fmtid="{D5CDD505-2E9C-101B-9397-08002B2CF9AE}" pid="58" name="NOSE35">
    <vt:lpwstr/>
  </property>
  <property fmtid="{D5CDD505-2E9C-101B-9397-08002B2CF9AE}" pid="59" name="NOSE36">
    <vt:lpwstr/>
  </property>
  <property fmtid="{D5CDD505-2E9C-101B-9397-08002B2CF9AE}" pid="60" name="NOSE37">
    <vt:lpwstr/>
  </property>
  <property fmtid="{D5CDD505-2E9C-101B-9397-08002B2CF9AE}" pid="61" name="NOSE38">
    <vt:lpwstr/>
  </property>
  <property fmtid="{D5CDD505-2E9C-101B-9397-08002B2CF9AE}" pid="62" name="NOSE39">
    <vt:lpwstr/>
  </property>
  <property fmtid="{D5CDD505-2E9C-101B-9397-08002B2CF9AE}" pid="63" name="NOSE3ID">
    <vt:lpwstr>17963;3862</vt:lpwstr>
  </property>
  <property fmtid="{D5CDD505-2E9C-101B-9397-08002B2CF9AE}" pid="64" name="PADIDATE">
    <vt:lpwstr>20240122</vt:lpwstr>
  </property>
  <property fmtid="{D5CDD505-2E9C-101B-9397-08002B2CF9AE}" pid="65" name="PADIMAIL">
    <vt:lpwstr>YES</vt:lpwstr>
  </property>
  <property fmtid="{D5CDD505-2E9C-101B-9397-08002B2CF9AE}" pid="66" name="PAGE">
    <vt:lpwstr/>
  </property>
  <property fmtid="{D5CDD505-2E9C-101B-9397-08002B2CF9AE}" pid="67" name="PART">
    <vt:lpwstr/>
  </property>
  <property fmtid="{D5CDD505-2E9C-101B-9397-08002B2CF9AE}" pid="68" name="PROCESS">
    <vt:lpwstr>עפ</vt:lpwstr>
  </property>
  <property fmtid="{D5CDD505-2E9C-101B-9397-08002B2CF9AE}" pid="69" name="PROCNUM">
    <vt:lpwstr>8191</vt:lpwstr>
  </property>
  <property fmtid="{D5CDD505-2E9C-101B-9397-08002B2CF9AE}" pid="70" name="PROCYEAR">
    <vt:lpwstr>23</vt:lpwstr>
  </property>
  <property fmtid="{D5CDD505-2E9C-101B-9397-08002B2CF9AE}" pid="71" name="PSAKDIN">
    <vt:lpwstr>החלטה</vt:lpwstr>
  </property>
  <property fmtid="{D5CDD505-2E9C-101B-9397-08002B2CF9AE}" pid="72" name="TYPE">
    <vt:lpwstr>1</vt:lpwstr>
  </property>
  <property fmtid="{D5CDD505-2E9C-101B-9397-08002B2CF9AE}" pid="73" name="TYPE_ABS_DATE">
    <vt:lpwstr>410120240121</vt:lpwstr>
  </property>
  <property fmtid="{D5CDD505-2E9C-101B-9397-08002B2CF9AE}" pid="74" name="TYPE_N_DATE">
    <vt:lpwstr>41020240121</vt:lpwstr>
  </property>
  <property fmtid="{D5CDD505-2E9C-101B-9397-08002B2CF9AE}" pid="75" name="VOLUME">
    <vt:lpwstr/>
  </property>
  <property fmtid="{D5CDD505-2E9C-101B-9397-08002B2CF9AE}" pid="76" name="WORDNUMPAGES">
    <vt:lpwstr>10</vt:lpwstr>
  </property>
</Properties>
</file>