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8197/22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8905/22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2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2"/>
        <w:gridCol w:w="5100"/>
      </w:tblGrid>
      <w:tr>
        <w:trPr>
          <w:trHeight w:val="287" w:hRule="atLeast"/>
        </w:trPr>
        <w:tc>
          <w:tcPr>
            <w:tcW w:w="3262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8197/22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</w:p>
        </w:tc>
        <w:tc>
          <w:tcPr>
            <w:tcW w:w="510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8905/22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8197/22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>
          <w:trHeight w:val="70" w:hRule="atLeast"/>
        </w:trPr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8905/22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9.11.2022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43865-02-21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sz w:val="24"/>
                <w:szCs w:val="24"/>
                <w:rtl w:val="true"/>
              </w:rPr>
              <w:t>: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rtl w:val="true"/>
              </w:rPr>
              <w:t>ג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24.5.2023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8197/22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8905/22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אוטן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אזולאי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חאמד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המשיבה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8197/22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8905/22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רוזנברג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מימי אייזנשטדט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מונה חורי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כסאברי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ההקשר התרבותי של מדיניות הענישה כלפי קטינים בישראל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ביטחון סוציאלי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u w:val="none"/>
          </w:rPr>
          <w:t>92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אוקטובר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2013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לסלי סבה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שיפוט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האם יופר האיזוןז‏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לז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225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יניב ואקי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רותי קמיני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עונש המאסר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תכליות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מגמות והלכות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נג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יולי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דורון טייכמן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הבניית שיקול־הדעת בענישה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נקודת־הראות הכלכלית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649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בועז סנג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רו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ביקורת דיני העונשין הישראליים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לימור עציוני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נוער במשפט הפלילי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10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406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24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24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בחור בן </w:t>
      </w:r>
      <w:r>
        <w:rPr>
          <w:rFonts w:cs="Times New Roman" w:ascii="Times New Roman" w:hAnsi="Times New Roman"/>
          <w:spacing w:val="0"/>
          <w:szCs w:val="26"/>
        </w:rPr>
        <w:t>17.5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ביצע עבירות מין בילדה כבת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מגונה וניסיון למעשה סדום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במהלך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 עבירת התפרצות ל</w:t>
      </w:r>
      <w:r>
        <w:rPr>
          <w:rFonts w:ascii="Times New Roman" w:hAnsi="Times New Roman" w:cs="Times New Roman"/>
          <w:spacing w:val="0"/>
          <w:szCs w:val="26"/>
          <w:rtl w:val="true"/>
        </w:rPr>
        <w:t>בית מגוריה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עד לגזירת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 שהה במעון נעול והחל בהליך שיקומי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גזר עליו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לצד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הצדדים ערעורו על 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שמדובר בעונש חמור מאוד ביחס לענישת קטינים העליון לא מוצא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טעם טוב להתערבות בגזר הדין – לא לקוּלא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גם לא לחומרה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במבט צופה פני עתיד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השופט סולברג נדרש למחלוקת שופטים במקרה אחר ומציע גישה נוספת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 – ענישה – שיקול בית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התפרצות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ערעורים מזה ומזה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לנוער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עובדות 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</w:t>
      </w:r>
      <w:hyperlink r:id="rId2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8197/22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ב</w:t>
      </w:r>
      <w:hyperlink r:id="rId2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8905/22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>)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קטין כבן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וחצי 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במועד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קשר קשר עם שני שותפים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לפרוץ לבית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מגורים על מנת </w:t>
      </w:r>
      <w:r>
        <w:rPr>
          <w:rFonts w:ascii="Times New Roman" w:hAnsi="Times New Roman" w:cs="Times New Roman"/>
          <w:spacing w:val="0"/>
          <w:szCs w:val="26"/>
          <w:rtl w:val="true"/>
        </w:rPr>
        <w:t>לגנוב ממנו חפצים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במהלך ההתפרצות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באישון לילה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 המערער לחדר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בו שכבו במיטתם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ילדי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ילדה כבת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התקרב המערער אל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ונישק אותה על לחיה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מכן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שאל אותה לשמה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השיבה לו ושאלה אותו לפשר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השיב לה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אל תדאגי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מיד הרים בידו האחת את רגליה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בידו השנייה הפשיט אותה ממכנסיה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וחשף את ישבנה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נגע באצבעו באזור פי הטבעת 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ניסה להחדיר שם את אצבעו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וכתוצאה מכך חשה נפגעת העבירה כאב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זה הפסיק המערער את מעשיו ויצא מן החדר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מכן יצאו המערער ושותפו מן הבית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והם ברחו מהמקום ברכב שחיכה להם עם השותף השלישי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המתואר ועפ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 הודאתו במעשים המערער 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עבירות של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מגונה ובניסיון למעשה סדום וכן בביצוע עבירת התפרצות למקום 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שניתן לאחר שהמערער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הספיק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לשהות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תקופה </w:t>
      </w:r>
      <w:r>
        <w:rPr>
          <w:rFonts w:ascii="Times New Roman" w:hAnsi="Times New Roman" w:cs="Times New Roman"/>
          <w:spacing w:val="0"/>
          <w:szCs w:val="26"/>
          <w:rtl w:val="true"/>
        </w:rPr>
        <w:t>במעון 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והחל בהליך 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הוטל על המערער עונש של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 מאסר על תנאי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תשלום פיצוי כספי בסך של </w:t>
      </w:r>
      <w:r>
        <w:rPr>
          <w:rFonts w:cs="Times New Roman" w:ascii="Times New Roman" w:hAnsi="Times New Roman"/>
          <w:spacing w:val="0"/>
          <w:szCs w:val="26"/>
        </w:rPr>
        <w:t>70,000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לנפגעת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דח</w:t>
      </w:r>
      <w:r>
        <w:rPr>
          <w:rFonts w:ascii="Times New Roman" w:hAnsi="Times New Roman" w:cs="Times New Roman"/>
          <w:spacing w:val="0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Cs w:val="26"/>
          <w:rtl w:val="true"/>
        </w:rPr>
        <w:t>ה המלצת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עונש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המאסר בפועל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ירוצה במסגרת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מעון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נעול למשך שנה וחצי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כובד משקלן של הנסיבות המחמירות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 המערער יש מקום להקל בעונש ואילו לטענת המדינה יש להחמירו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מפי השופט נעם 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דחה את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הלכה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פסוקה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ברגיל אין ערכאת הערעור מתערבת ומשנה גזר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רק אם שיקולים מוטעים או פסולים הנחו את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אם העונש שנגזר מופרז באופן קיצוני לקולא או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רק אז מתערבת ערכאת הערעור על מנת לעשות את התיקון הנחוץ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 לא 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טעם טוב להתערבות בגזר הדין – לא לקוּלא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לא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לענישת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מצא המחוקק לנכון לשנות את משקלן היחסי של תכליות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והתווה דרך י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חודית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שביחס לנאשם בגיר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העיקרון המנחה בענישה הוא הגמול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בבואו לגזור את דינו של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לשקול את כלל השיקולים הנוגעים לענישה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ליתן משקל דומיננטי לשיקול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הערך החברתי הרב הגלום בהחזרת הקטין למוטב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לצד ההסכמה בפסיקה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שעקרונות אלה ראוי להם שינחו את המותב בעת גזירת דינו של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התגלעו במהלך השנים ויכוחים נוקבים באשר ליישום העקרונות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ולתוצאות הרצויות בגזרי דין של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סולברג מוצא להרחיב מעט בעניין זה כשבסיום חוות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דעתו ובמבט צופה פני עתיד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מוצא להתייחס ל</w:t>
      </w:r>
      <w:r>
        <w:rPr>
          <w:rFonts w:ascii="Times New Roman" w:hAnsi="Times New Roman" w:cs="Times New Roman"/>
          <w:spacing w:val="0"/>
          <w:szCs w:val="26"/>
          <w:rtl w:val="true"/>
        </w:rPr>
        <w:t>מחלוקת בין חברי ההרכב בפסק הדין ב</w:t>
      </w:r>
      <w:hyperlink r:id="rId2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1589/23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ומציע דרך נוספת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תפורט בהמשך התקציר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בייחוד בעבירות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הבחירה להעניק לשיקול השיקום ולנסיבות האישיות של העבריין מעמד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חשבון יתר שיקולי הענישה – מעוררת תחושה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לעיתים הדעת אינה סובלת אפשרות שכזו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 הנזק הרב שנגרם לנפגעי 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קבע לא פעם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בהתקיים נסיבות חמורות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 השיקום ירד מרום מעלתו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פניו יבוּכּרוּ 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יביאו להחמרה בעונשו של הנאשם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דברים אלו נאמרו ביתר שאת ביחס לעבירות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לזכור כי אין זו דרך המלך בעניינם של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בעניינם של אלו יש לנהוג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במתינות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ובהתאם – לגזור עליהם עונשים קלים מן העונש שהיה נגזר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לוּ היו בגירים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למצוות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רקע עיון בהלכות שנקבעו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ביחס לענישת 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אין ספק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 נגזר עונש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בעונש ה</w:t>
      </w:r>
      <w:r>
        <w:rPr>
          <w:rFonts w:ascii="Times New Roman" w:hAnsi="Times New Roman" w:cs="Times New Roman"/>
          <w:spacing w:val="0"/>
          <w:szCs w:val="26"/>
          <w:rtl w:val="true"/>
        </w:rPr>
        <w:t>מצוי ברף הגבוה של ענישת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למקרא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למעשים מסמרי השיער שבהם עסקינן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שקל שיקולים פסולים או מוטעים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אינ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סבור כי חרג מן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שנמנע מלשקול שיקולים שאותם היה עליו להביא במניין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הפרמטרים הנשקלים בעת גזירת דינו של קטין פורטו בהרחבה ב</w:t>
      </w:r>
      <w:hyperlink r:id="rId3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49/09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גילו של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הבעת חרטה כנה ואמיתית על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ונטילת אחריות על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 הפלילי של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סיכויי שיקום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חוות דעת של גורמי מקצוע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בחן ויישם שיקולים אלו כראוי בענייננו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בין היתר בכל הנוגע לפרמטר הנוגע לגיל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מסכים כי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להתחשב גם במידת בגרותו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לגילו בעת ביצוע העבירה יש משמעות 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לגילו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הסמוך מאוד לגיל הבגירות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נודעת השפעה ניכרת על העונש שראוי לגזור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למסקנה זו יש אחיזה בחקיקה והיא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עולה במובהק מן הפסיקה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החמירה עם קטינים הסמוכים לרף הבגירות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 מאשר עם קטינים שביצעו עבירות בהיותם רחוקים מרף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ביחס לפרמטר 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הבעת חרטה כנה ואמיתית על ביצוע העבירה ונטילת אחריות על 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התסקירים בהחלט משתקפת מגמת שיפור משמעותית בהכרה מצדו של המערער בעבירה וקבלת 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כעולה מה</w:t>
      </w:r>
      <w:r>
        <w:rPr>
          <w:rFonts w:ascii="Times New Roman" w:hAnsi="Times New Roman" w:cs="Times New Roman"/>
          <w:spacing w:val="0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האחרו</w:t>
      </w:r>
      <w:r>
        <w:rPr>
          <w:rFonts w:ascii="Times New Roman" w:hAnsi="Times New Roman" w:cs="Times New Roman"/>
          <w:spacing w:val="0"/>
          <w:szCs w:val="26"/>
          <w:rtl w:val="true"/>
        </w:rPr>
        <w:t>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בפני המערער עוד דרך ארוכה במישור החרטה וקבלת האחריות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לגבי הפרמטר השלישי – עברוֹ הפלילי של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מעיון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אינ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סבור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ראה פרמטר זה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 מובהקת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כדברי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עמדתו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בסוגיה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רק שאינה מחמירה עמו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במידה 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עושה עִמו חסד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ביחס לפרמטר הרביעי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שעניינו בסיכויי שיקומו של העבריין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פרמטר זה נשקל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בעניינו של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בהתייחסו לפרמטר החמישי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עניינו בחומרת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אכן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לייחס משקל נכבד לעצם מעמד הקטינוּת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כשמדובר בעבירות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בשל המידה הפחותה של האחריות והאשמה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מחמת פגיעתה הקשה יותר של הענישה בקטינים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בעטיים של שיקולי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ציין זאת במפורש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ברור אפוא על מה קובלת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מקומם של שיקולים אלו לא נפקד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והם נשקלו לזכות המערער במסגרת הפרמטר הרביעי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בהם כדי להקהות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בכהוא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מחומרתם היתרה של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גם הטענה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התעלם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ממספר שיקולים נוספים – אין לה על מה שתסמוך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נטען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יוּחס משקל ממשי לתיקון שנעשה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לעובדה שנחסכה העדת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לקבלת האחריות ולגילוי האמפתיה מצדו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להליך השיקומי ולנסיבות חייו העגומות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דא עקא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אלה נזכרו במפורש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נדונו בהרחבה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השפיעו על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עלה בידי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המערער להצביע על עניין 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שבו נסיבות חריגות בחומרתן הדומות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ביצוע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במיטה של הנפגעת 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אגב עבירת התפרצות לבית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באישון ליל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כלל גזרי הדין שאליהם הפנתה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המצביעים לכאורה על ענישה מקילה מזו שהושתה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מעלה כי ניתן לזהות בהם רכיב אחד לפחות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המספק הסבר לעונש קל יחסית שניתן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בהשוואה לעונשו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 סולברג מדגיש כי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 ביצוע העבירה של התפרצות לבית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שהתלוותה לעבירת המין יש לייחס משקל ממשי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ובנסיבות העבירה הנדונה – משקל כבד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בנוסף יש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ליתן מקום נכבד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לחומרה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למצבה של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נמצא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בטעמים אל</w:t>
      </w:r>
      <w:r>
        <w:rPr>
          <w:rFonts w:ascii="Times New Roman" w:hAnsi="Times New Roman" w:cs="Times New Roman"/>
          <w:spacing w:val="0"/>
          <w:szCs w:val="26"/>
          <w:rtl w:val="true"/>
        </w:rPr>
        <w:t>יהם הפנת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המדינה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עונש חמור משנגזר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בשים לב לשהותו הממושכת במעון 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ולעונש הנוסף שנגזר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 סולברג סבור כי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המין ועבירת ההתפרצות נמזגות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מעצימות ומחמירות זו את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המצדיק יחס מחמיר כלפי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טענה 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כבדת 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עניינה בחשש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שקטינים ינצלו את המדיניות המקלה שהתווה המחוקק ושאותה מיישׂמים בתי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ויהיו ראש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חץ עברייני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כשמדיניות ענישה מקלה מנוצלת לרעה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והיחס הסלחני כלפיהם הופך לתמריץ עבורם לביצוע עבירות חמורות – ראוי להחמיר עמם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אל לנו לנטות חסד למנצלים לרעה את מידת הרחמים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ואולם על אף שמדובר בטענ</w:t>
      </w:r>
      <w:r>
        <w:rPr>
          <w:rFonts w:ascii="Times New Roman" w:hAnsi="Times New Roman" w:cs="Times New Roman"/>
          <w:spacing w:val="0"/>
          <w:szCs w:val="26"/>
          <w:rtl w:val="true"/>
        </w:rPr>
        <w:t>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כבד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ת משקל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סולברג 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מוצא </w:t>
      </w:r>
      <w:r>
        <w:rPr>
          <w:rFonts w:ascii="Times New Roman" w:hAnsi="Times New Roman" w:cs="Times New Roman"/>
          <w:spacing w:val="0"/>
          <w:szCs w:val="26"/>
          <w:rtl w:val="true"/>
        </w:rPr>
        <w:t>בדגשים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הצדקה להתערבות בגזר הדין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שהושת על המערער כבר עומד וניצב ברף הגבוה של ענישת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 מביא לידי ביטוי את טיבם החמור של 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מגלם גם את היחס המחמיר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המרתיע מפני פרקטיקה של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חלוקת עבודה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קטינים לבגירים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בגדרה מבצעים הקטינים את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העבודה המלוכלכת</w:t>
      </w:r>
      <w:r>
        <w:rPr>
          <w:rFonts w:cs="Times New Roman" w:ascii="Times New Roman" w:hAnsi="Times New Roman"/>
          <w:spacing w:val="0"/>
          <w:szCs w:val="26"/>
          <w:rtl w:val="true"/>
        </w:rPr>
        <w:t>'.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גם בטענת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נוכח ההתפרצויות הרבות שמבוצעות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קטינים בדרום הארץ בתקופה האחרונה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עניין לנו ב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מכת 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מצדיקה החמרה נוספת – 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הצדקה להתערב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 ובשים לב לעובדה שבעונש שנגזר על המערער אכן יש משום החמרה מסוימת מהנהוג והמקובל ביחס לעבירות מין של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לא </w:t>
      </w:r>
      <w:r>
        <w:rPr>
          <w:rFonts w:ascii="Times New Roman" w:hAnsi="Times New Roman" w:cs="Times New Roman"/>
          <w:spacing w:val="0"/>
          <w:szCs w:val="26"/>
          <w:rtl w:val="true"/>
        </w:rPr>
        <w:t>מוצא לנכון להוסיף ולהחמיר עוד בנדון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מה גם שיש טעם בהערת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לפיה העונש שלו עתרה המדינה –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– הריהו חריגה משמעותית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מדיניות של החמרת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לה שתהיה מדודה והדרגתית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הערעור לגבי סכום הפיצויים – </w:t>
      </w:r>
      <w:r>
        <w:rPr>
          <w:rFonts w:cs="Times New Roman" w:ascii="Times New Roman" w:hAnsi="Times New Roman"/>
          <w:spacing w:val="0"/>
          <w:szCs w:val="26"/>
        </w:rPr>
        <w:t>70,000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– </w:t>
      </w:r>
      <w:r>
        <w:rPr>
          <w:rFonts w:ascii="Times New Roman" w:hAnsi="Times New Roman" w:cs="Times New Roman"/>
          <w:spacing w:val="0"/>
          <w:szCs w:val="26"/>
          <w:rtl w:val="true"/>
        </w:rPr>
        <w:t>שהמערער חוייב בתשלומו לנפגעת העבירה – איננו מוצדק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להפחית מסכום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 לפריסת התשלום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מקומה במרכז לגביית קנסות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במבט צופה פני עתיד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לענישת הקטינים הנוהגת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נתגלעה לאחרונה מחלוקת בין חברי ההרכב בפסק הדין ב</w:t>
      </w:r>
      <w:hyperlink r:id="rId3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1589/23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שם נדון עניינו של קטין שביצע עבירות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וטרם מתן 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</w:t>
      </w:r>
      <w:r>
        <w:rPr>
          <w:rFonts w:ascii="Times New Roman" w:hAnsi="Times New Roman" w:cs="Times New Roman"/>
          <w:spacing w:val="0"/>
          <w:szCs w:val="26"/>
          <w:rtl w:val="true"/>
        </w:rPr>
        <w:t>שהה במעון 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ושירות המבחן חווה דעתו על הליך שיקומי משמעותי שמתבצע במסגרת המעון הנעול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בפסה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לדעת השופט 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לחומרת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הנזק שנגרם לנפגע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ראויים לגבור שיקולי הגמול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ההרתעה והמניעה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שיקולי השיקום ונסיבותיו האישיות של הקטין – ולפיכך הותיר את עונש המאסר על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לדעת השופטת 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 שיקולי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בתסקירי שירות המבחן החיוביים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להימנע ממאסר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ולהסתפק בשהייתו של הקטין במעון 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 כשר </w:t>
      </w:r>
      <w:r>
        <w:rPr>
          <w:rFonts w:ascii="Times New Roman" w:hAnsi="Times New Roman" w:cs="Times New Roman"/>
          <w:spacing w:val="0"/>
          <w:szCs w:val="26"/>
          <w:rtl w:val="true"/>
        </w:rPr>
        <w:t>סבור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חומרתן של העבירות שביצע קטין יכולה בהחלט שתגיע לדרגה שבה יהיה ההליך השיקומי שעובר הקטין מוצלח ומבטיח ככל שיהיה ותהיינה ההמלצות של שירות המבחן 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משמעיות ככל שתהיינה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להורות אלא על מאסר מאחורי סורג ובריח לפרק זמן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התלבטות צירף השופט כשר את דעתו לדעת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שופטת רונן אף הוסיף כי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שהי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סבור שיש לגזור על המערער עונש מאסר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היה מציע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תקופת מאסר קצרה באופן משמעותי מזו שנגזרה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כזו הנמדדת בשנים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סולברג מ</w:t>
      </w:r>
      <w:r>
        <w:rPr>
          <w:rFonts w:ascii="Times New Roman" w:hAnsi="Times New Roman" w:cs="Times New Roman"/>
          <w:spacing w:val="0"/>
          <w:szCs w:val="26"/>
          <w:rtl w:val="true"/>
        </w:rPr>
        <w:t>ציע גישה 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לעמדתו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שכזה – שהקטין שעבר עבירה חמורה שוהה במעון 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ושירות המבחן מחווה דעתו על הליך שיקומי משמעותי שמתבצע במסגרת המעון הנעול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לעשות מאמץ להותיר קטין זה 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 למיצוי ההליך הטיפולי או עד לסוף התקופה המקסימלית האפשרית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ורק עם סיומה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להעבירו אל מאחורי סורג ובריח בבית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הצדקה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הראוי להותיר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את 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במעון הנעול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ולאפשר לו למצות את ההליך השיקומי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בנקודה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סולברג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תמים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דעים עם עמדתה של השופטת רונן 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לדעתה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כשנגזרים עונשי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לתקופות ממושכות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יהיה זה נכון להסתפק בשלב הערעור בתקופת השהייה במעון הנעול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ולוותר על היתרה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להשלים את הענישה במאסר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עמדת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כעמדתו העקרונית של השופט 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שבדומה לה העיר השופט 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יש מצבים שאין מנוס מלהורות בהם על מאסר מאחורי סורג ובריח לפרק זמן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בניגוד לדעתו של השופט 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השופט 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לא רק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חמורים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כך ראוי בכל מצב שבו העונש שגזר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חורג מהתקופה המקסימלית לשהייה במעון נעול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ובחזרה לענייננו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במכלול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בפרק הזמן בו שהה המערער במעון נעול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ובעונש הנוסף שנגזר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סולברג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סבור כי נגזר על המערער עונש 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השוכן לבטח במתחם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ההתערבות של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ערעורים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>
          <w:rtl w:val="true"/>
        </w:rPr>
        <w:t>ומזה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 xml:space="preserve">לנוער בבית המשפט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באר שבע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9</w:t>
      </w:r>
      <w:r>
        <w:rPr/>
        <w:t>.</w:t>
      </w:r>
      <w:r>
        <w:rPr/>
        <w:t>11</w:t>
      </w:r>
      <w:r>
        <w:rPr/>
        <w:t>.2022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43865-02-21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tl w:val="true"/>
        </w:rPr>
        <w:t xml:space="preserve">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משניות</w:t>
      </w:r>
      <w:r>
        <w:rPr>
          <w:rtl w:val="true"/>
        </w:rPr>
        <w:t xml:space="preserve">), </w:t>
      </w:r>
      <w:r>
        <w:rPr>
          <w:rtl w:val="true"/>
        </w:rPr>
        <w:t>שבגדרו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8197/22</w:t>
      </w:r>
      <w:r>
        <w:rPr>
          <w:rtl w:val="true"/>
        </w:rPr>
        <w:t xml:space="preserve"> (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8905/22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 xml:space="preserve">לריצוי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לבל יעבור עבירת מין או עבירת רכוש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 יעבור עבירת מין או עבירת רכוש מסוג עוון</w:t>
      </w:r>
      <w:r>
        <w:rPr>
          <w:rtl w:val="true"/>
        </w:rPr>
        <w:t xml:space="preserve">, </w:t>
      </w:r>
      <w:r>
        <w:rPr>
          <w:rtl w:val="true"/>
        </w:rPr>
        <w:t xml:space="preserve">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חויב המערער בתשלום פיצוי כספי בסך של </w:t>
      </w:r>
      <w:r>
        <w:rPr/>
        <w:t>70,000</w:t>
      </w:r>
      <w:r>
        <w:rPr>
          <w:rtl w:val="true"/>
        </w:rPr>
        <w:t xml:space="preserve"> ₪ </w:t>
      </w:r>
      <w:r>
        <w:rPr>
          <w:rtl w:val="true"/>
        </w:rPr>
        <w:t>לנפגעת העבירה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ואציין</w:t>
      </w:r>
      <w:r>
        <w:rPr>
          <w:rtl w:val="true"/>
        </w:rPr>
        <w:t xml:space="preserve">, </w:t>
      </w:r>
      <w:r>
        <w:rPr>
          <w:rtl w:val="true"/>
        </w:rPr>
        <w:t>כי בבית המשפט המחוזי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</w:t>
      </w:r>
      <w:r>
        <w:rPr>
          <w:rtl w:val="true"/>
        </w:rPr>
        <w:t xml:space="preserve">, </w:t>
      </w:r>
      <w:r>
        <w:rPr>
          <w:rtl w:val="true"/>
        </w:rPr>
        <w:t>שלפיו תוקן כתב האישום</w:t>
      </w:r>
      <w:r>
        <w:rPr>
          <w:rtl w:val="true"/>
        </w:rPr>
        <w:t xml:space="preserve">, </w:t>
      </w:r>
      <w:r>
        <w:rPr>
          <w:rtl w:val="true"/>
        </w:rPr>
        <w:t>והמערער הודה בעובדותיו</w:t>
      </w:r>
      <w:r>
        <w:rPr>
          <w:rtl w:val="true"/>
        </w:rPr>
        <w:t xml:space="preserve">. </w:t>
      </w:r>
      <w:r>
        <w:rPr>
          <w:rtl w:val="true"/>
        </w:rPr>
        <w:t>הסכמה לגבי העונש</w:t>
      </w:r>
      <w:r>
        <w:rPr>
          <w:rtl w:val="true"/>
        </w:rPr>
        <w:t xml:space="preserve">, </w:t>
      </w:r>
      <w:r>
        <w:rPr>
          <w:rtl w:val="true"/>
        </w:rPr>
        <w:t>לא הוּשגה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קטין</w:t>
      </w:r>
      <w:r>
        <w:rPr>
          <w:rtl w:val="true"/>
        </w:rPr>
        <w:t xml:space="preserve"> כבן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וחצי שנים במועד ביצוע העבירות </w:t>
      </w:r>
      <w:r>
        <w:rPr>
          <w:rtl w:val="true"/>
        </w:rPr>
        <w:t>–</w:t>
      </w:r>
      <w:r>
        <w:rPr>
          <w:rtl w:val="true"/>
        </w:rPr>
        <w:t xml:space="preserve"> קשר קשר עם שני שותפים נוספים</w:t>
      </w:r>
      <w:r>
        <w:rPr>
          <w:rtl w:val="true"/>
        </w:rPr>
        <w:t xml:space="preserve">, </w:t>
      </w:r>
      <w:r>
        <w:rPr>
          <w:rtl w:val="true"/>
        </w:rPr>
        <w:t>לפרוץ לבית ביישוב בדרום הארץ</w:t>
      </w:r>
      <w:r>
        <w:rPr>
          <w:rtl w:val="true"/>
        </w:rPr>
        <w:t xml:space="preserve">, </w:t>
      </w:r>
      <w:r>
        <w:rPr>
          <w:rtl w:val="true"/>
        </w:rPr>
        <w:t>על מנת לגנוב ממנו חפצים</w:t>
      </w:r>
      <w:r>
        <w:rPr>
          <w:rtl w:val="true"/>
        </w:rPr>
        <w:t xml:space="preserve">. </w:t>
      </w:r>
      <w:r>
        <w:rPr>
          <w:rtl w:val="true"/>
        </w:rPr>
        <w:t>המעורבים צירפו מחשבה רעה למעשה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30.1.2021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00:30</w:t>
      </w:r>
      <w:r>
        <w:rPr>
          <w:rtl w:val="true"/>
        </w:rPr>
        <w:t xml:space="preserve">, </w:t>
      </w:r>
      <w:r>
        <w:rPr>
          <w:rtl w:val="true"/>
        </w:rPr>
        <w:t>התקדמו המערער ושותפיו בנסיעה אל היישוב</w:t>
      </w:r>
      <w:r>
        <w:rPr>
          <w:rtl w:val="true"/>
        </w:rPr>
        <w:t xml:space="preserve">. </w:t>
      </w:r>
      <w:r>
        <w:rPr>
          <w:rtl w:val="true"/>
        </w:rPr>
        <w:t>בהגיעם למחוז חפצם</w:t>
      </w:r>
      <w:r>
        <w:rPr>
          <w:rtl w:val="true"/>
        </w:rPr>
        <w:t xml:space="preserve">, </w:t>
      </w:r>
      <w:r>
        <w:rPr>
          <w:rtl w:val="true"/>
        </w:rPr>
        <w:t>ירדו המערער ושותף נוסף מן המכונית</w:t>
      </w:r>
      <w:r>
        <w:rPr>
          <w:rtl w:val="true"/>
        </w:rPr>
        <w:t xml:space="preserve">, </w:t>
      </w:r>
      <w:r>
        <w:rPr>
          <w:rtl w:val="true"/>
        </w:rPr>
        <w:t>והחלו מתקרבים לבית בקצה היישוב</w:t>
      </w:r>
      <w:r>
        <w:rPr>
          <w:rtl w:val="true"/>
        </w:rPr>
        <w:t xml:space="preserve">. </w:t>
      </w:r>
      <w:r>
        <w:rPr>
          <w:rtl w:val="true"/>
        </w:rPr>
        <w:t>בעוד בני הבית ישנים בחדריהם</w:t>
      </w:r>
      <w:r>
        <w:rPr>
          <w:rtl w:val="true"/>
        </w:rPr>
        <w:t xml:space="preserve">, </w:t>
      </w:r>
      <w:r>
        <w:rPr>
          <w:rtl w:val="true"/>
        </w:rPr>
        <w:t>פתחו השניים את חלון ההזזה שבסלון הבית</w:t>
      </w:r>
      <w:r>
        <w:rPr>
          <w:rtl w:val="true"/>
        </w:rPr>
        <w:t xml:space="preserve">, </w:t>
      </w:r>
      <w:r>
        <w:rPr>
          <w:rtl w:val="true"/>
        </w:rPr>
        <w:t>נכנסו פנימה והחלו מחפשים חפצים יקרי</w:t>
      </w:r>
      <w:r>
        <w:rPr>
          <w:rtl w:val="true"/>
        </w:rPr>
        <w:t>-</w:t>
      </w:r>
      <w:r>
        <w:rPr>
          <w:rtl w:val="true"/>
        </w:rPr>
        <w:t>ערך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נכנס המערער לחדר הילדים</w:t>
      </w:r>
      <w:r>
        <w:rPr>
          <w:rtl w:val="true"/>
        </w:rPr>
        <w:t xml:space="preserve">.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 המשפחה שכבו</w:t>
      </w:r>
      <w:r>
        <w:rPr>
          <w:rtl w:val="true"/>
        </w:rPr>
        <w:t xml:space="preserve">, </w:t>
      </w:r>
      <w:r>
        <w:rPr>
          <w:rtl w:val="true"/>
        </w:rPr>
        <w:t>כל אחד במיטתו</w:t>
      </w:r>
      <w:r>
        <w:rPr>
          <w:rtl w:val="true"/>
        </w:rPr>
        <w:t xml:space="preserve">, </w:t>
      </w:r>
      <w:r>
        <w:rPr>
          <w:rtl w:val="true"/>
        </w:rPr>
        <w:t>ובהם נפגעת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ילדה כבת </w:t>
      </w: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ניגש המערער למיטות אחֶיה</w:t>
      </w:r>
      <w:r>
        <w:rPr>
          <w:rtl w:val="true"/>
        </w:rPr>
        <w:t xml:space="preserve">, </w:t>
      </w:r>
      <w:r>
        <w:rPr>
          <w:rtl w:val="true"/>
        </w:rPr>
        <w:t>וראה כי הם נמים את שנתם</w:t>
      </w:r>
      <w:r>
        <w:rPr>
          <w:rtl w:val="true"/>
        </w:rPr>
        <w:t xml:space="preserve">. </w:t>
      </w:r>
      <w:r>
        <w:rPr>
          <w:rtl w:val="true"/>
        </w:rPr>
        <w:t>או אז ניגש למיטתה של נפגעת העבירה</w:t>
      </w:r>
      <w:r>
        <w:rPr>
          <w:rtl w:val="true"/>
        </w:rPr>
        <w:t xml:space="preserve">, </w:t>
      </w:r>
      <w:r>
        <w:rPr>
          <w:rtl w:val="true"/>
        </w:rPr>
        <w:t>שהיתה ערה</w:t>
      </w:r>
      <w:r>
        <w:rPr>
          <w:rtl w:val="true"/>
        </w:rPr>
        <w:t xml:space="preserve">, </w:t>
      </w:r>
      <w:r>
        <w:rPr>
          <w:rtl w:val="true"/>
        </w:rPr>
        <w:t>ביקש ממנה לזוז</w:t>
      </w:r>
      <w:r>
        <w:rPr>
          <w:rtl w:val="true"/>
        </w:rPr>
        <w:t xml:space="preserve">, </w:t>
      </w:r>
      <w:r>
        <w:rPr>
          <w:rtl w:val="true"/>
        </w:rPr>
        <w:t>והתיישב לצדה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ראשון</w:t>
      </w:r>
      <w:r>
        <w:rPr>
          <w:rtl w:val="true"/>
        </w:rPr>
        <w:t xml:space="preserve">, </w:t>
      </w:r>
      <w:r>
        <w:rPr>
          <w:rtl w:val="true"/>
        </w:rPr>
        <w:t>התקרב המערער אל נפגעת העבירה</w:t>
      </w:r>
      <w:r>
        <w:rPr>
          <w:rtl w:val="true"/>
        </w:rPr>
        <w:t xml:space="preserve">, </w:t>
      </w:r>
      <w:r>
        <w:rPr>
          <w:rtl w:val="true"/>
        </w:rPr>
        <w:t>ונישק אותה על לחיה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שאל אותה לשמה</w:t>
      </w:r>
      <w:r>
        <w:rPr>
          <w:rtl w:val="true"/>
        </w:rPr>
        <w:t xml:space="preserve">, </w:t>
      </w:r>
      <w:r>
        <w:rPr>
          <w:rtl w:val="true"/>
        </w:rPr>
        <w:t>היא השיבה לו ושאלה אותו לפשר מעשיו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השיב לה </w:t>
      </w:r>
      <w:r>
        <w:rPr>
          <w:rtl w:val="true"/>
        </w:rPr>
        <w:t>'</w:t>
      </w:r>
      <w:r>
        <w:rPr>
          <w:rtl w:val="true"/>
        </w:rPr>
        <w:t>אל תדאגי</w:t>
      </w:r>
      <w:r>
        <w:rPr>
          <w:rtl w:val="true"/>
        </w:rPr>
        <w:t xml:space="preserve">', </w:t>
      </w:r>
      <w:r>
        <w:rPr>
          <w:rtl w:val="true"/>
        </w:rPr>
        <w:t>מיד הרים בידו האחת את רגליה</w:t>
      </w:r>
      <w:r>
        <w:rPr>
          <w:rtl w:val="true"/>
        </w:rPr>
        <w:t xml:space="preserve">, </w:t>
      </w:r>
      <w:r>
        <w:rPr>
          <w:rtl w:val="true"/>
        </w:rPr>
        <w:t>בידו השנייה הפשיט אותה ממכנסיה</w:t>
      </w:r>
      <w:r>
        <w:rPr>
          <w:rtl w:val="true"/>
        </w:rPr>
        <w:t xml:space="preserve">, </w:t>
      </w:r>
      <w:r>
        <w:rPr>
          <w:rtl w:val="true"/>
        </w:rPr>
        <w:t>וחשף את ישבנה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המערער נגע באצבעו באזור פי הטבעת שלה</w:t>
      </w:r>
      <w:r>
        <w:rPr>
          <w:rtl w:val="true"/>
        </w:rPr>
        <w:t xml:space="preserve">, </w:t>
      </w:r>
      <w:r>
        <w:rPr>
          <w:rtl w:val="true"/>
        </w:rPr>
        <w:t>ניסה להחדיר שם את אצבעו</w:t>
      </w:r>
      <w:r>
        <w:rPr>
          <w:rtl w:val="true"/>
        </w:rPr>
        <w:t xml:space="preserve">, </w:t>
      </w:r>
      <w:r>
        <w:rPr>
          <w:rtl w:val="true"/>
        </w:rPr>
        <w:t>וכתוצאה מכך חשה נפגעת העבירה כאב</w:t>
      </w:r>
      <w:r>
        <w:rPr>
          <w:rtl w:val="true"/>
        </w:rPr>
        <w:t xml:space="preserve">. </w:t>
      </w:r>
      <w:r>
        <w:rPr>
          <w:rtl w:val="true"/>
        </w:rPr>
        <w:t>בשלב זה הפסיק המערער את מעשיו ויצא מן החדר</w:t>
      </w:r>
      <w:r>
        <w:rPr>
          <w:rtl w:val="true"/>
        </w:rPr>
        <w:t xml:space="preserve">. </w:t>
      </w:r>
      <w:r>
        <w:rPr>
          <w:rtl w:val="true"/>
        </w:rPr>
        <w:t>לאחר מכן יצאו המערער ושותפו מן הבית</w:t>
      </w:r>
      <w:r>
        <w:rPr>
          <w:rtl w:val="true"/>
        </w:rPr>
        <w:t xml:space="preserve">, </w:t>
      </w:r>
      <w:r>
        <w:rPr>
          <w:rtl w:val="true"/>
        </w:rPr>
        <w:t>נסוּ בריצה אל המכונית</w:t>
      </w:r>
      <w:r>
        <w:rPr>
          <w:rtl w:val="true"/>
        </w:rPr>
        <w:t xml:space="preserve">, </w:t>
      </w:r>
      <w:r>
        <w:rPr>
          <w:rtl w:val="true"/>
        </w:rPr>
        <w:t>בה המתין להם השותף השלישי</w:t>
      </w:r>
      <w:r>
        <w:rPr>
          <w:rtl w:val="true"/>
        </w:rPr>
        <w:t xml:space="preserve">, </w:t>
      </w:r>
      <w:r>
        <w:rPr>
          <w:rtl w:val="true"/>
        </w:rPr>
        <w:t>ועזבו את המקום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 המתואר</w:t>
      </w:r>
      <w:r>
        <w:rPr>
          <w:rtl w:val="true"/>
        </w:rPr>
        <w:t xml:space="preserve">, </w:t>
      </w:r>
      <w:r>
        <w:rPr>
          <w:rtl w:val="true"/>
        </w:rPr>
        <w:t xml:space="preserve">הואשם המערער בביצוע עבירת ניסיון למעשה סדום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בביצוע עבירת מעשה מגונה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וכן בביצוע עבירת התפרצות למקום מגורים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הודאת המערער בביצוע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ובהתאם לסמכותו שלפי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הנוער</w:t>
      </w:r>
      <w:r>
        <w:rPr>
          <w:rtl w:val="true"/>
        </w:rPr>
        <w:t xml:space="preserve">), </w:t>
      </w:r>
      <w:r>
        <w:rPr>
          <w:rtl w:val="true"/>
        </w:rPr>
        <w:t xml:space="preserve">הרשיע בית המשפט המחוזי ביום </w:t>
      </w:r>
      <w:r>
        <w:rPr/>
        <w:t>10.11.2022</w:t>
      </w:r>
      <w:r>
        <w:rPr>
          <w:rtl w:val="true"/>
        </w:rPr>
        <w:t xml:space="preserve"> </w:t>
      </w:r>
      <w:r>
        <w:rPr>
          <w:rtl w:val="true"/>
        </w:rPr>
        <w:t>את המערער בעבירות שבהן הואשם</w:t>
      </w:r>
      <w:r>
        <w:rPr>
          <w:rtl w:val="true"/>
        </w:rPr>
        <w:t xml:space="preserve">, </w:t>
      </w:r>
      <w:r>
        <w:rPr>
          <w:rtl w:val="true"/>
        </w:rPr>
        <w:t>ובהמשך פנה לגזור את דינו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גזר הדין נפתח בתיאור התסקירים שהוגשו</w:t>
      </w:r>
      <w:r>
        <w:rPr>
          <w:rtl w:val="true"/>
        </w:rPr>
        <w:t xml:space="preserve">: </w:t>
      </w:r>
      <w:r>
        <w:rPr>
          <w:rtl w:val="true"/>
        </w:rPr>
        <w:t>תסקיר אחד בעניינה של נפגעת העבירה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תסקירים בעניינו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בתסקיר נפגעת העבירה </w:t>
      </w:r>
      <w:r>
        <w:rPr>
          <w:rtl w:val="true"/>
        </w:rPr>
        <w:t>–</w:t>
      </w:r>
      <w:r>
        <w:rPr>
          <w:rtl w:val="true"/>
        </w:rPr>
        <w:t xml:space="preserve"> אשר לבקשת ההורים</w:t>
      </w:r>
      <w:r>
        <w:rPr>
          <w:rtl w:val="true"/>
        </w:rPr>
        <w:t xml:space="preserve">, </w:t>
      </w:r>
      <w:r>
        <w:rPr>
          <w:rtl w:val="true"/>
        </w:rPr>
        <w:t>מחשש לפגיעה נוספת בה</w:t>
      </w:r>
      <w:r>
        <w:rPr>
          <w:rtl w:val="true"/>
        </w:rPr>
        <w:t xml:space="preserve">, </w:t>
      </w:r>
      <w:r>
        <w:rPr>
          <w:rtl w:val="true"/>
        </w:rPr>
        <w:t xml:space="preserve">נערך מבלי שעורכת התסקיר שוחחה עִמה </w:t>
      </w:r>
      <w:r>
        <w:rPr>
          <w:rtl w:val="true"/>
        </w:rPr>
        <w:t>–</w:t>
      </w:r>
      <w:r>
        <w:rPr>
          <w:rtl w:val="true"/>
        </w:rPr>
        <w:t xml:space="preserve"> מתוארות השלכות הפגיעה על נפגעת העבירה ועל משפחתה</w:t>
      </w:r>
      <w:r>
        <w:rPr>
          <w:rtl w:val="true"/>
        </w:rPr>
        <w:t xml:space="preserve">. </w:t>
      </w:r>
      <w:r>
        <w:rPr>
          <w:rtl w:val="true"/>
        </w:rPr>
        <w:t>בתסקיר מובא תיאור אותו לילה מזעזע</w:t>
      </w:r>
      <w:r>
        <w:rPr>
          <w:rtl w:val="true"/>
        </w:rPr>
        <w:t xml:space="preserve">, </w:t>
      </w:r>
      <w:r>
        <w:rPr>
          <w:rtl w:val="true"/>
        </w:rPr>
        <w:t>מנקודת מבטה של נפגעת העבירה</w:t>
      </w:r>
      <w:r>
        <w:rPr>
          <w:rtl w:val="true"/>
        </w:rPr>
        <w:t xml:space="preserve">. </w:t>
      </w:r>
      <w:r>
        <w:rPr>
          <w:rtl w:val="true"/>
        </w:rPr>
        <w:t>כיצד</w:t>
      </w:r>
      <w:r>
        <w:rPr>
          <w:rtl w:val="true"/>
        </w:rPr>
        <w:t xml:space="preserve">, </w:t>
      </w:r>
      <w:r>
        <w:rPr>
          <w:rtl w:val="true"/>
        </w:rPr>
        <w:t>לאחר שנפגעה</w:t>
      </w:r>
      <w:r>
        <w:rPr>
          <w:rtl w:val="true"/>
        </w:rPr>
        <w:t xml:space="preserve">, </w:t>
      </w:r>
      <w:r>
        <w:rPr>
          <w:rtl w:val="true"/>
        </w:rPr>
        <w:t>נכנסה לחדר ההורים ופרצה בבכי</w:t>
      </w:r>
      <w:r>
        <w:rPr>
          <w:rtl w:val="true"/>
        </w:rPr>
        <w:t xml:space="preserve">; </w:t>
      </w:r>
      <w:r>
        <w:rPr>
          <w:rtl w:val="true"/>
        </w:rPr>
        <w:t>כיצד חִלְחלה בהורים אט אט ההבנה</w:t>
      </w:r>
      <w:r>
        <w:rPr>
          <w:rtl w:val="true"/>
        </w:rPr>
        <w:t xml:space="preserve">, </w:t>
      </w:r>
      <w:r>
        <w:rPr>
          <w:rtl w:val="true"/>
        </w:rPr>
        <w:t>שתיאורי בִּתם על זרים שפרצו לביתם אינם ביעותי לילה וחלומות רעים</w:t>
      </w:r>
      <w:r>
        <w:rPr>
          <w:rtl w:val="true"/>
        </w:rPr>
        <w:t xml:space="preserve">, </w:t>
      </w:r>
      <w:r>
        <w:rPr>
          <w:rtl w:val="true"/>
        </w:rPr>
        <w:t>כי אם תיאור עובדתי מדויק ומחריד</w:t>
      </w:r>
      <w:r>
        <w:rPr>
          <w:rtl w:val="true"/>
        </w:rPr>
        <w:t xml:space="preserve">; </w:t>
      </w:r>
      <w:r>
        <w:rPr>
          <w:rtl w:val="true"/>
        </w:rPr>
        <w:t xml:space="preserve">כיצד חשו חוסר אונים שעה שהתחוור להם </w:t>
      </w:r>
      <w:r>
        <w:rPr>
          <w:rFonts w:ascii="Century" w:hAnsi="Century" w:cs="Century"/>
          <w:sz w:val="22"/>
          <w:sz w:val="22"/>
          <w:rtl w:val="true"/>
        </w:rPr>
        <w:t>כרעם ביום בהיר</w:t>
      </w:r>
      <w:r>
        <w:rPr>
          <w:rtl w:val="true"/>
        </w:rPr>
        <w:t xml:space="preserve"> שאחד מן הפורצים לא הסתפק בחדירה לביתם ובבזיזת רכושם</w:t>
      </w:r>
      <w:r>
        <w:rPr>
          <w:rtl w:val="true"/>
        </w:rPr>
        <w:t xml:space="preserve">, </w:t>
      </w:r>
      <w:r>
        <w:rPr>
          <w:rtl w:val="true"/>
        </w:rPr>
        <w:t>אלא הוסיף ותקף מינית את בִּתם הקטינה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מתוארות בתסקיר נפגעת העבירה</w:t>
      </w:r>
      <w:r>
        <w:rPr>
          <w:rtl w:val="true"/>
        </w:rPr>
        <w:t xml:space="preserve">, </w:t>
      </w:r>
      <w:r>
        <w:rPr>
          <w:rtl w:val="true"/>
        </w:rPr>
        <w:t>ההשלכות הקשות של הפגיעה בה</w:t>
      </w:r>
      <w:r>
        <w:rPr>
          <w:rtl w:val="true"/>
        </w:rPr>
        <w:t xml:space="preserve">. </w:t>
      </w:r>
      <w:r>
        <w:rPr>
          <w:rtl w:val="true"/>
        </w:rPr>
        <w:t>מטעמים שבצנעת הפרט</w:t>
      </w:r>
      <w:r>
        <w:rPr>
          <w:rtl w:val="true"/>
        </w:rPr>
        <w:t xml:space="preserve">, </w:t>
      </w:r>
      <w:r>
        <w:rPr>
          <w:rtl w:val="true"/>
        </w:rPr>
        <w:t>ולאור ההערה שנכתבה בתחילת התסקיר</w:t>
      </w:r>
      <w:r>
        <w:rPr>
          <w:rtl w:val="true"/>
        </w:rPr>
        <w:t xml:space="preserve">, </w:t>
      </w:r>
      <w:r>
        <w:rPr>
          <w:rtl w:val="true"/>
        </w:rPr>
        <w:t>בית המשפט המחוזי צמצם מאוד בתיאור הנזקים</w:t>
      </w:r>
      <w:r>
        <w:rPr>
          <w:rtl w:val="true"/>
        </w:rPr>
        <w:t xml:space="preserve">, </w:t>
      </w:r>
      <w:r>
        <w:rPr>
          <w:rtl w:val="true"/>
        </w:rPr>
        <w:t xml:space="preserve">אך ציין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המתפרשת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ומשפיעה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אף אני אמנע מהרחבה נוספת על אודות מסכת הנזקים החמורים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די שאזכיר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הוּשׂם דגש מיוחד על חומרת הפגיעה המינית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רקע מקום ביצוע המעשים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שיש בו כדי לנתץ לחלוטין את תחושת מוּגנוּתה של נפגעת העבירה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מגולל התסקיר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הפגיעה הקשה שנגרמה ליתר בני המשפחה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שגרת חייהם השתבשה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תחושת הביטחון התערערה קשות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אורחות חייהם השתנו</w:t>
      </w:r>
      <w:r>
        <w:rPr>
          <w:rtl w:val="true"/>
        </w:rPr>
        <w:t xml:space="preserve">; </w:t>
      </w:r>
      <w:r>
        <w:rPr>
          <w:rtl w:val="true"/>
        </w:rPr>
        <w:t>הן בביתם פנימה</w:t>
      </w:r>
      <w:r>
        <w:rPr>
          <w:rtl w:val="true"/>
        </w:rPr>
        <w:t xml:space="preserve">, </w:t>
      </w:r>
      <w:r>
        <w:rPr>
          <w:rtl w:val="true"/>
        </w:rPr>
        <w:t>הן מחוצה לו</w:t>
      </w:r>
      <w:r>
        <w:rPr>
          <w:rtl w:val="true"/>
        </w:rPr>
        <w:t xml:space="preserve">. </w:t>
      </w:r>
      <w:r>
        <w:rPr>
          <w:rtl w:val="true"/>
        </w:rPr>
        <w:t>במבט צופה פני עתיד</w:t>
      </w:r>
      <w:r>
        <w:rPr>
          <w:rtl w:val="true"/>
        </w:rPr>
        <w:t xml:space="preserve">, </w:t>
      </w:r>
      <w:r>
        <w:rPr>
          <w:rtl w:val="true"/>
        </w:rPr>
        <w:t>מתואר בתסקיר כי עוד נכונה לנפגעת העבירה ולבני משפחתה דרך שיקום ארוכה וסבוכה</w:t>
      </w:r>
      <w:r>
        <w:rPr>
          <w:rtl w:val="true"/>
        </w:rPr>
        <w:t xml:space="preserve">, </w:t>
      </w:r>
      <w:r>
        <w:rPr>
          <w:rtl w:val="true"/>
        </w:rPr>
        <w:t>שתצריך טיפול ותמיכה נפשית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סִבְלהּ הרב של נפגעת העבירה עולה מכל שורה בתסקיר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תוצאותיה ההרסניות של העבירה נותנות 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ובמשפחתה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אותותיהן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המועקה הקשה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המלווה את נפגעת העבירה ומשפחתה יום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יום מאז אירוע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ניכרת היטב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תסקירים הוגשו לבית המשפט המחוזי בעניינו של המערער</w:t>
      </w:r>
      <w:r>
        <w:rPr>
          <w:rtl w:val="true"/>
        </w:rPr>
        <w:t xml:space="preserve">. </w:t>
      </w:r>
      <w:r>
        <w:rPr>
          <w:rtl w:val="true"/>
        </w:rPr>
        <w:t>בתסקירים נפרשׂ הרקע האישי והמשפחתי הקשה</w:t>
      </w:r>
      <w:r>
        <w:rPr>
          <w:rtl w:val="true"/>
        </w:rPr>
        <w:t xml:space="preserve">, </w:t>
      </w:r>
      <w:r>
        <w:rPr>
          <w:rtl w:val="true"/>
        </w:rPr>
        <w:t>ונסיבות החיים המצערות בצִלן גדל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התמונה המתקבלת </w:t>
      </w:r>
      <w:r>
        <w:rPr>
          <w:rtl w:val="true"/>
        </w:rPr>
        <w:t>–</w:t>
      </w:r>
      <w:r>
        <w:rPr>
          <w:rtl w:val="true"/>
        </w:rPr>
        <w:t xml:space="preserve"> עגומה</w:t>
      </w:r>
      <w:r>
        <w:rPr>
          <w:rtl w:val="true"/>
        </w:rPr>
        <w:t xml:space="preserve">. </w:t>
      </w:r>
      <w:r>
        <w:rPr>
          <w:rtl w:val="true"/>
        </w:rPr>
        <w:t>בתמצית אזכיר</w:t>
      </w:r>
      <w:r>
        <w:rPr>
          <w:rtl w:val="true"/>
        </w:rPr>
        <w:t xml:space="preserve">, </w:t>
      </w:r>
      <w:r>
        <w:rPr>
          <w:rtl w:val="true"/>
        </w:rPr>
        <w:t>כי עקב נישואי אביו לאישה נוספת</w:t>
      </w:r>
      <w:r>
        <w:rPr>
          <w:rtl w:val="true"/>
        </w:rPr>
        <w:t xml:space="preserve">, </w:t>
      </w:r>
      <w:r>
        <w:rPr>
          <w:rtl w:val="true"/>
        </w:rPr>
        <w:t>הפכה אִמו לחסרת מעמד</w:t>
      </w:r>
      <w:r>
        <w:rPr>
          <w:rtl w:val="true"/>
        </w:rPr>
        <w:t xml:space="preserve">. </w:t>
      </w:r>
      <w:r>
        <w:rPr>
          <w:rtl w:val="true"/>
        </w:rPr>
        <w:t>משפחתו מתגוררת בצריף רעוע שאינו מחובר לחשמל</w:t>
      </w:r>
      <w:r>
        <w:rPr>
          <w:rtl w:val="true"/>
        </w:rPr>
        <w:t xml:space="preserve">, </w:t>
      </w:r>
      <w:r>
        <w:rPr>
          <w:rtl w:val="true"/>
        </w:rPr>
        <w:t>והם מתקיימים</w:t>
      </w:r>
      <w:r>
        <w:rPr>
          <w:rtl w:val="true"/>
        </w:rPr>
        <w:t xml:space="preserve">, </w:t>
      </w:r>
      <w:r>
        <w:rPr>
          <w:rtl w:val="true"/>
        </w:rPr>
        <w:t>בקושי</w:t>
      </w:r>
      <w:r>
        <w:rPr>
          <w:rtl w:val="true"/>
        </w:rPr>
        <w:t xml:space="preserve">, </w:t>
      </w:r>
      <w:r>
        <w:rPr>
          <w:rtl w:val="true"/>
        </w:rPr>
        <w:t>מקצבאות הביטוח הלאומי</w:t>
      </w:r>
      <w:r>
        <w:rPr>
          <w:rtl w:val="true"/>
        </w:rPr>
        <w:t xml:space="preserve">. </w:t>
      </w:r>
      <w:r>
        <w:rPr>
          <w:rtl w:val="true"/>
        </w:rPr>
        <w:t>התסקיר האחרון שהונח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הוגש ביום </w:t>
      </w:r>
      <w:r>
        <w:rPr/>
        <w:t>4.9.2022</w:t>
      </w:r>
      <w:r>
        <w:rPr>
          <w:rtl w:val="true"/>
        </w:rPr>
        <w:t xml:space="preserve">, </w:t>
      </w:r>
      <w:r>
        <w:rPr>
          <w:rtl w:val="true"/>
        </w:rPr>
        <w:t>ובו דוּוח על התנהלות תקינה של המערער במהלך שהותו במעון</w:t>
      </w:r>
      <w:r>
        <w:rPr>
          <w:rtl w:val="true"/>
        </w:rPr>
        <w:t xml:space="preserve">, </w:t>
      </w:r>
      <w:r>
        <w:rPr>
          <w:rtl w:val="true"/>
        </w:rPr>
        <w:t>ואף צוינה ההתקדמות הטיפולית המשמעותית שעבר</w:t>
      </w:r>
      <w:r>
        <w:rPr>
          <w:rtl w:val="true"/>
        </w:rPr>
        <w:t xml:space="preserve">; </w:t>
      </w:r>
      <w:r>
        <w:rPr>
          <w:rtl w:val="true"/>
        </w:rPr>
        <w:t>המערער עשה כברת דרך</w:t>
      </w:r>
      <w:r>
        <w:rPr>
          <w:rtl w:val="true"/>
        </w:rPr>
        <w:t xml:space="preserve">, </w:t>
      </w:r>
      <w:r>
        <w:rPr>
          <w:rtl w:val="true"/>
        </w:rPr>
        <w:t>לקח אחריות על מעשיו</w:t>
      </w:r>
      <w:r>
        <w:rPr>
          <w:rtl w:val="true"/>
        </w:rPr>
        <w:t xml:space="preserve">, </w:t>
      </w:r>
      <w:r>
        <w:rPr>
          <w:rtl w:val="true"/>
        </w:rPr>
        <w:t>גם אם בתהליך איטי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חומרת העבירות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להטיל על המערער עונש מאסר בפועל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בשים לב להתקדמותו הניכרת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כמו גם ההערכה כי הטיפול במעון הפחית משמעותית את הסיכון הנשקף ממנו </w:t>
      </w:r>
      <w:r>
        <w:rPr>
          <w:rtl w:val="true"/>
        </w:rPr>
        <w:t>–</w:t>
      </w:r>
      <w:r>
        <w:rPr>
          <w:rtl w:val="true"/>
        </w:rPr>
        <w:t xml:space="preserve"> הומלץ כי העונש ירוצה במסגרת המעון הנעול למשך שנה וחצי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. </w:t>
      </w:r>
      <w:r>
        <w:rPr>
          <w:rtl w:val="true"/>
        </w:rPr>
        <w:t>קצין המבחן הדגיש כי רק לעתים נדירות בא שירות המבחן בהמלצה על מאסר בפועל</w:t>
      </w:r>
      <w:r>
        <w:rPr>
          <w:rtl w:val="true"/>
        </w:rPr>
        <w:t xml:space="preserve">, </w:t>
      </w:r>
      <w:r>
        <w:rPr>
          <w:rtl w:val="true"/>
        </w:rPr>
        <w:t>על אחת כמה וכמה כשעסקינן בקטין</w:t>
      </w:r>
      <w:r>
        <w:rPr>
          <w:rtl w:val="true"/>
        </w:rPr>
        <w:t xml:space="preserve">;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נעשה כך בשל חומרת העבירות</w:t>
      </w:r>
      <w:r>
        <w:rPr>
          <w:rtl w:val="true"/>
        </w:rPr>
        <w:t xml:space="preserve">, </w:t>
      </w:r>
      <w:r>
        <w:rPr>
          <w:rtl w:val="true"/>
        </w:rPr>
        <w:t>ועובדת התקיימותם של גורמי סיכון נוספים במערער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ציין בית המשפט המחוזי לקוּלה את השיקולים הבאים</w:t>
      </w:r>
      <w:r>
        <w:rPr>
          <w:rtl w:val="true"/>
        </w:rPr>
        <w:t xml:space="preserve">: </w:t>
      </w:r>
      <w:r>
        <w:rPr>
          <w:rtl w:val="true"/>
        </w:rPr>
        <w:t>היות המערער קטין בעת ביצוע העבירות</w:t>
      </w:r>
      <w:r>
        <w:rPr>
          <w:rtl w:val="true"/>
        </w:rPr>
        <w:t xml:space="preserve">, </w:t>
      </w:r>
      <w:r>
        <w:rPr>
          <w:rtl w:val="true"/>
        </w:rPr>
        <w:t>ואת המשקל הנכבד שיש ליתן לשיקולי השיקום בשל כך</w:t>
      </w:r>
      <w:r>
        <w:rPr>
          <w:rtl w:val="true"/>
        </w:rPr>
        <w:t xml:space="preserve">; </w:t>
      </w:r>
      <w:r>
        <w:rPr>
          <w:rtl w:val="true"/>
        </w:rPr>
        <w:t>ההתקדמות המשמעותית שחלה בהפנמתו את חומרת העבירות ואת ההכרה בפגיעתו הרעה</w:t>
      </w:r>
      <w:r>
        <w:rPr>
          <w:rtl w:val="true"/>
        </w:rPr>
        <w:t xml:space="preserve">, </w:t>
      </w:r>
      <w:r>
        <w:rPr>
          <w:rtl w:val="true"/>
        </w:rPr>
        <w:t>שהלכה והתבססה עם הטיפול</w:t>
      </w:r>
      <w:r>
        <w:rPr>
          <w:rtl w:val="true"/>
        </w:rPr>
        <w:t xml:space="preserve">, </w:t>
      </w:r>
      <w:r>
        <w:rPr>
          <w:rtl w:val="true"/>
        </w:rPr>
        <w:t>גם אם בהתקדמות איטית יחסית</w:t>
      </w:r>
      <w:r>
        <w:rPr>
          <w:rtl w:val="true"/>
        </w:rPr>
        <w:t xml:space="preserve">, </w:t>
      </w:r>
      <w:r>
        <w:rPr>
          <w:rtl w:val="true"/>
        </w:rPr>
        <w:t>וגם אם טרם הגיעה לכדי הבשלה מלאה</w:t>
      </w:r>
      <w:r>
        <w:rPr>
          <w:rtl w:val="true"/>
        </w:rPr>
        <w:t xml:space="preserve">; </w:t>
      </w:r>
      <w:r>
        <w:rPr>
          <w:rtl w:val="true"/>
        </w:rPr>
        <w:t>החיסכון בזמן שיפוטי</w:t>
      </w:r>
      <w:r>
        <w:rPr>
          <w:rtl w:val="true"/>
        </w:rPr>
        <w:t xml:space="preserve">, </w:t>
      </w:r>
      <w:r>
        <w:rPr>
          <w:rtl w:val="true"/>
        </w:rPr>
        <w:t>וייתור הצורך בשמיעת עדותה של נפגעת העבירה</w:t>
      </w:r>
      <w:r>
        <w:rPr>
          <w:rtl w:val="true"/>
        </w:rPr>
        <w:t xml:space="preserve">, </w:t>
      </w:r>
      <w:r>
        <w:rPr>
          <w:rtl w:val="true"/>
        </w:rPr>
        <w:t>עקב הודאת המערער במעשים שיוחסו לו</w:t>
      </w:r>
      <w:r>
        <w:rPr>
          <w:rtl w:val="true"/>
        </w:rPr>
        <w:t xml:space="preserve">; </w:t>
      </w:r>
      <w:r>
        <w:rPr>
          <w:rtl w:val="true"/>
        </w:rPr>
        <w:t>ונסיבות החיים האישיות והמשפחתיות הלא פשוטות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לחומרה את גילו של המערער</w:t>
      </w:r>
      <w:r>
        <w:rPr>
          <w:rtl w:val="true"/>
        </w:rPr>
        <w:t xml:space="preserve">, </w:t>
      </w:r>
      <w:r>
        <w:rPr>
          <w:rtl w:val="true"/>
        </w:rPr>
        <w:t>שהיה קרוב מאוד לגיל בגירות במועד האירוע</w:t>
      </w:r>
      <w:r>
        <w:rPr>
          <w:rtl w:val="true"/>
        </w:rPr>
        <w:t xml:space="preserve">; </w:t>
      </w:r>
      <w:r>
        <w:rPr>
          <w:rtl w:val="true"/>
        </w:rPr>
        <w:t>את העובדה שהגם שבאופן פורמלי אין למערער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מתנהל נגדו הליך משפטי נוסף בגין ריבוי עבירות רכוש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44156-02-21</w:t>
        </w:r>
      </w:hyperlink>
      <w:r>
        <w:rPr>
          <w:rtl w:val="true"/>
        </w:rPr>
        <w:t xml:space="preserve">), </w:t>
      </w:r>
      <w:r>
        <w:rPr>
          <w:rtl w:val="true"/>
        </w:rPr>
        <w:t>אשר בוצעו בחלקן לאחר האירוע החמור שבו עסקינן</w:t>
      </w:r>
      <w:r>
        <w:rPr>
          <w:rtl w:val="true"/>
        </w:rPr>
        <w:t xml:space="preserve">; </w:t>
      </w:r>
      <w:r>
        <w:rPr>
          <w:rtl w:val="true"/>
        </w:rPr>
        <w:t>וכן את חומרת המעשים</w:t>
      </w:r>
      <w:r>
        <w:rPr>
          <w:rtl w:val="true"/>
        </w:rPr>
        <w:t xml:space="preserve">, </w:t>
      </w:r>
      <w:r>
        <w:rPr>
          <w:rtl w:val="true"/>
        </w:rPr>
        <w:t>ובפרט את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המשווֹת למעשיו חומרה נוספת</w:t>
      </w:r>
      <w:r>
        <w:rPr>
          <w:rtl w:val="true"/>
        </w:rPr>
        <w:t xml:space="preserve">, </w:t>
      </w:r>
      <w:r>
        <w:rPr>
          <w:rtl w:val="true"/>
        </w:rPr>
        <w:t>כבדת משקל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שעמד על האמור בתסקירים</w:t>
      </w:r>
      <w:r>
        <w:rPr>
          <w:rtl w:val="true"/>
        </w:rPr>
        <w:t xml:space="preserve">, </w:t>
      </w:r>
      <w:r>
        <w:rPr>
          <w:rtl w:val="true"/>
        </w:rPr>
        <w:t>וציין את השיקולים לכאן ולכאן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את דינו של המערער</w:t>
      </w:r>
      <w:r>
        <w:rPr>
          <w:rtl w:val="true"/>
        </w:rPr>
        <w:t xml:space="preserve">, </w:t>
      </w:r>
      <w:r>
        <w:rPr>
          <w:rtl w:val="true"/>
        </w:rPr>
        <w:t>תוך שדחה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נוכח כובד משקלן של הנסיבות המחמירות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טענתו העיקרית של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המערער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ביחס לגזר הדין הי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 שמדובר בעונש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ועיקר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ומהווה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החמרה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הנוהגת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דומות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של קטינים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 המערער אמנם מכירה בכך ש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קטינות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מהווה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חסינות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tl w:val="true"/>
        </w:rPr>
        <w:t>,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וכן בכך ש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בגילו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הגמול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ברם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לדבריה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עדיין יש להקל עם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מכיוון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שהתסקירים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הצביעו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על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חוסר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בשלות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 האישיותית בעת ביצוע המעשים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וכן על אי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הפנמה של חומרת המעשים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כל זאת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בשל חינוך קלוקל והזנחה ממנה סבל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עוד נטען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כי שגה בית המשפט המחוזי בכך ש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 יִחס משקל מספ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ק לנסיבותיו האישיות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של המערער ולתהליך שיקומו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כפי ש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הדברים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משתק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פים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בתסקיר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 שירות המבחן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בתוך כך טענה 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 המערער גם כי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שגה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בית המשפט המחוזי בדחותו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את המלצת שירות המבחן בתסקיר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האחרון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הרשעה ומאסר בפועל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לפרק זמן של שנה וחצי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אשר ירוצה במעון נעול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ולא מאחורי סורג ובריח בבית הסוהר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לגישת 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העונש עליו המליץ שירות המבחן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הולם את עקרון השיקום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מעניק משקל ראוי לשיקולי ההקלה בענישה שתוארו לעיל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וממקם את העונש בשורה אחת עם עונשים אחרים שהושתו על עבריינים קטינים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כמתחייב מעקרון אחידות הענישה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לצד זאת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ביקשה 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כי ינוכו מהעונש ימי שהייתו של המערער במעון נעול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וכי יופחת סכום הפיצוי הכספי שהוטל עליו לשלם לנפגעת העבירה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המדינה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מנגד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סבורה כי העונש שהוטל על </w:t>
      </w:r>
      <w:r>
        <w:rPr>
          <w:rtl w:val="true"/>
        </w:rPr>
        <w:t>המערער לא רק שאינו חמור יתר על המידה</w:t>
      </w:r>
      <w:r>
        <w:rPr>
          <w:rtl w:val="true"/>
        </w:rPr>
        <w:t xml:space="preserve">, </w:t>
      </w:r>
      <w:r>
        <w:rPr>
          <w:rtl w:val="true"/>
        </w:rPr>
        <w:t xml:space="preserve">אלא להפך </w:t>
      </w:r>
      <w:r>
        <w:rPr>
          <w:rtl w:val="true"/>
        </w:rPr>
        <w:t>–</w:t>
      </w:r>
      <w:r>
        <w:rPr>
          <w:rtl w:val="true"/>
        </w:rPr>
        <w:t xml:space="preserve"> מדובר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בעונש ש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הוסיפה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 המדינה וטענה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חלק ניכר מטענותיה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יִחדה ב</w:t>
      </w:r>
      <w:r>
        <w:rPr>
          <w:rtl w:val="true"/>
        </w:rPr>
        <w:t>"</w:t>
      </w:r>
      <w:r>
        <w:rPr>
          <w:rtl w:val="true"/>
        </w:rPr>
        <w:t xml:space="preserve">כ המדינה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לשילוב המחריד שבין עבירת ההתפרצות לבין עבירת המין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אשר יוצר מסכת עובדתית חמורה במיוחד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; '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קוקטייל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רעיל והרסני במידה יוצאת דופן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אשר מחייב ענישה מחמירה במיוחד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התעוזה המצטיירת מתיאור המעשה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כך נטען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אף היא מלמדת על כך שנדרש למצות עם המערער את חומרת הדין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שלוּבוֹת בדברים אלה גם הטענות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גזר הדין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לוקה בשגיאות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באשר למשקל הרב שניתן בו לשיקול השיקום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לעומת יתר שיקולי הענישה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כי בית המשפט המחוזי לא שיווה לנגד עיניו את הצורך בהרתעת הרבים ואת האינטרס הציבורי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וכן כי נסיבותיו האישיות של המערער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גילו הקרוב לסף הבגירות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העבירות הנוספות שביצע לפני מועד המסכת הנדונה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ושב וביצע אף לאחר מכן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מוליכות אף הן למסקנה כי בית המשפט המחוזי הפליג ביחסו המקל עם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באופן המצדיק את התערבות בית משפט זה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לצד הטענות באשר לעניינו הפרטני של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הוסיפה 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 המדינה וטענה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עתירתה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</w:rPr>
        <w:t>10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מכוונת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וביה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להעלאת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לא רק בנסיבות הפרטניות החמורות דנן</w:t>
      </w:r>
      <w:r>
        <w:rPr>
          <w:rtl w:val="true"/>
        </w:rPr>
        <w:t xml:space="preserve">, </w:t>
      </w:r>
      <w:r>
        <w:rPr>
          <w:rtl w:val="true"/>
        </w:rPr>
        <w:t>אלא לצורך עדכון מדיניות הענישה הכללית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ביחס לעבירות מסוג זה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בהחלטה מיום </w:t>
      </w:r>
      <w:r>
        <w:rPr/>
        <w:t>12.6.2023</w:t>
      </w:r>
      <w:r>
        <w:rPr>
          <w:rtl w:val="true"/>
        </w:rPr>
        <w:t xml:space="preserve">, </w:t>
      </w:r>
      <w:r>
        <w:rPr>
          <w:rtl w:val="true"/>
        </w:rPr>
        <w:t>הורֵנו על הגשת הודעת עדכון</w:t>
      </w:r>
      <w:r>
        <w:rPr>
          <w:rtl w:val="true"/>
        </w:rPr>
        <w:t xml:space="preserve">, </w:t>
      </w:r>
      <w:r>
        <w:rPr>
          <w:rtl w:val="true"/>
        </w:rPr>
        <w:t>לכשיינתן גזר הדין בעניינו של המערער ב</w:t>
      </w:r>
      <w:hyperlink r:id="rId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44156-02-21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שהוזכר לעיל </w:t>
      </w:r>
      <w:r>
        <w:rPr>
          <w:rtl w:val="true"/>
        </w:rPr>
        <w:t xml:space="preserve">–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ריבוי עבירות של התפרצות</w:t>
      </w:r>
      <w:r>
        <w:rPr>
          <w:rtl w:val="true"/>
        </w:rPr>
        <w:t xml:space="preserve">, </w:t>
      </w:r>
      <w:r>
        <w:rPr>
          <w:rtl w:val="true"/>
        </w:rPr>
        <w:t>גניבה ועבירות נלוות</w:t>
      </w:r>
      <w:r>
        <w:rPr>
          <w:rtl w:val="true"/>
        </w:rPr>
        <w:t xml:space="preserve">. </w:t>
      </w:r>
      <w:r>
        <w:rPr>
          <w:rtl w:val="true"/>
        </w:rPr>
        <w:t>בהליך זה</w:t>
      </w:r>
      <w:r>
        <w:rPr>
          <w:rtl w:val="true"/>
        </w:rPr>
        <w:t xml:space="preserve">, </w:t>
      </w:r>
      <w:r>
        <w:rPr>
          <w:rtl w:val="true"/>
        </w:rPr>
        <w:t>כך הוּדע לנו</w:t>
      </w:r>
      <w:r>
        <w:rPr>
          <w:rtl w:val="true"/>
        </w:rPr>
        <w:t xml:space="preserve">, </w:t>
      </w:r>
      <w:r>
        <w:rPr>
          <w:rtl w:val="true"/>
        </w:rPr>
        <w:t>גזר בית משפט לנוער בבית משפט השלום בבאר שבע את עונשו של המערער כדלקמן</w:t>
      </w:r>
      <w:r>
        <w:rPr>
          <w:rtl w:val="true"/>
        </w:rPr>
        <w:t xml:space="preserve">: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מחציתם ירוצו במצטבר לעונשו כאן</w:t>
      </w:r>
      <w:r>
        <w:rPr>
          <w:rtl w:val="true"/>
        </w:rPr>
        <w:t xml:space="preserve">, </w:t>
      </w:r>
      <w:r>
        <w:rPr>
          <w:rtl w:val="true"/>
        </w:rPr>
        <w:t>ומחציתם בחופף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עבירת רכוש מסוג פשע</w:t>
      </w:r>
      <w:r>
        <w:rPr>
          <w:rtl w:val="true"/>
        </w:rPr>
        <w:t xml:space="preserve">;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עבירת רכוש מסוג עוון</w:t>
      </w:r>
      <w:r>
        <w:rPr>
          <w:rtl w:val="true"/>
        </w:rPr>
        <w:t xml:space="preserve">;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ישלם פיצוי כספי בסך של </w:t>
      </w:r>
      <w:r>
        <w:rPr/>
        <w:t>4,000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לנפגעי העבירה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טרם הכרעה בערעור גופו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נזכיר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מושכלות ראשוני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: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פסוקה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ברגיל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מתערבת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מוטעים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מתערבת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הנחוץ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8445/11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31.12.2012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עוד ראו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8500/22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אביטבול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</w:t>
      </w:r>
      <w:r>
        <w:rPr/>
        <w:t>7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8378/22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</w:t>
      </w:r>
      <w:r>
        <w:rPr/>
        <w:t>7</w:t>
      </w:r>
      <w:r>
        <w:rPr/>
        <w:t>.2023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עלינו לבחון אפוא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האם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הורם הנטל להראות כי גזר דינו של בית המשפט המחוזי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מצדיק את התערבותנו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אומר כבר עתה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כי לאחר עיון בערעורים מזה ומזה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 מצאתי טעם טוב ל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התערבותנו בגזר הדין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לא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לקו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ּ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גם לא לחומרה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ענישת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הרי ענישת קטינים כהרי ענישת בגירים</w:t>
      </w:r>
      <w:r>
        <w:rPr>
          <w:rtl w:val="true"/>
        </w:rPr>
        <w:t xml:space="preserve">; </w:t>
      </w:r>
      <w:r>
        <w:rPr>
          <w:rtl w:val="true"/>
        </w:rPr>
        <w:t xml:space="preserve">הצד השווה שבהן </w:t>
      </w:r>
      <w:r>
        <w:rPr>
          <w:rtl w:val="true"/>
        </w:rPr>
        <w:t>–</w:t>
      </w:r>
      <w:r>
        <w:rPr>
          <w:rtl w:val="true"/>
        </w:rPr>
        <w:t xml:space="preserve"> הצורך לאזן בין תכליות ענישה שונות</w:t>
      </w:r>
      <w:r>
        <w:rPr>
          <w:rtl w:val="true"/>
        </w:rPr>
        <w:t xml:space="preserve">. </w:t>
      </w:r>
      <w:r>
        <w:rPr>
          <w:rtl w:val="true"/>
        </w:rPr>
        <w:t>בכל הנוגע לענישת קטינים</w:t>
      </w:r>
      <w:r>
        <w:rPr>
          <w:rtl w:val="true"/>
        </w:rPr>
        <w:t xml:space="preserve">, </w:t>
      </w:r>
      <w:r>
        <w:rPr>
          <w:rtl w:val="true"/>
        </w:rPr>
        <w:t>מצא המחוקק לנכון לשנות את משקלן היחסי של תכליות הענישה</w:t>
      </w:r>
      <w:r>
        <w:rPr>
          <w:rtl w:val="true"/>
        </w:rPr>
        <w:t xml:space="preserve">, </w:t>
      </w:r>
      <w:r>
        <w:rPr>
          <w:rtl w:val="true"/>
        </w:rPr>
        <w:t>והתווה דרך יחודית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רבות הן תכליות הענישה</w:t>
      </w:r>
      <w:r>
        <w:rPr>
          <w:rtl w:val="true"/>
        </w:rPr>
        <w:t xml:space="preserve">; </w:t>
      </w:r>
      <w:r>
        <w:rPr>
          <w:rtl w:val="true"/>
        </w:rPr>
        <w:t>ישנן</w:t>
      </w:r>
      <w:r>
        <w:rPr>
          <w:rtl w:val="true"/>
        </w:rPr>
        <w:t xml:space="preserve"> </w:t>
      </w:r>
      <w:r>
        <w:rPr>
          <w:rtl w:val="true"/>
        </w:rPr>
        <w:t>תכליות</w:t>
      </w:r>
      <w:r>
        <w:rPr>
          <w:rtl w:val="true"/>
        </w:rPr>
        <w:t xml:space="preserve"> </w:t>
      </w:r>
      <w:r>
        <w:rPr>
          <w:rtl w:val="true"/>
        </w:rPr>
        <w:t>תוצאתניות</w:t>
      </w:r>
      <w:r>
        <w:rPr>
          <w:rtl w:val="true"/>
        </w:rPr>
        <w:t xml:space="preserve"> – </w:t>
      </w:r>
      <w:r>
        <w:rPr>
          <w:rtl w:val="true"/>
        </w:rPr>
        <w:t>הרואות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לקידומם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יעדים</w:t>
      </w:r>
      <w:r>
        <w:rPr>
          <w:rtl w:val="true"/>
        </w:rPr>
        <w:t xml:space="preserve">, </w:t>
      </w:r>
      <w:r>
        <w:rPr>
          <w:rtl w:val="true"/>
        </w:rPr>
        <w:t xml:space="preserve">דוגמת </w:t>
      </w:r>
      <w:r>
        <w:rPr>
          <w:rtl w:val="true"/>
        </w:rPr>
        <w:t>הרתעה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כללית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פרטנית</w:t>
      </w:r>
      <w:r>
        <w:rPr>
          <w:rtl w:val="true"/>
        </w:rPr>
        <w:t xml:space="preserve">); </w:t>
      </w:r>
      <w:r>
        <w:rPr>
          <w:rtl w:val="true"/>
        </w:rPr>
        <w:t>מניעה</w:t>
      </w:r>
      <w:r>
        <w:rPr>
          <w:rtl w:val="true"/>
        </w:rPr>
        <w:t xml:space="preserve">;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לענישה גם תכלית</w:t>
      </w:r>
      <w:r>
        <w:rPr>
          <w:rtl w:val="true"/>
        </w:rPr>
        <w:t xml:space="preserve"> </w:t>
      </w:r>
      <w:r>
        <w:rPr>
          <w:rtl w:val="true"/>
        </w:rPr>
        <w:t>דאונטולוגית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בוחנת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מתמקדת</w:t>
      </w:r>
      <w:r>
        <w:rPr>
          <w:rtl w:val="true"/>
        </w:rPr>
        <w:t xml:space="preserve"> </w:t>
      </w:r>
      <w:r>
        <w:rPr>
          <w:rtl w:val="true"/>
        </w:rPr>
        <w:t>בגמול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לעבריין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לאשמו</w:t>
      </w:r>
      <w:r>
        <w:rPr>
          <w:rtl w:val="true"/>
        </w:rPr>
        <w:t xml:space="preserve"> </w:t>
      </w:r>
      <w:r>
        <w:rPr>
          <w:rtl w:val="true"/>
        </w:rPr>
        <w:t>ולחומרת</w:t>
      </w:r>
      <w:r>
        <w:rPr>
          <w:rtl w:val="true"/>
        </w:rPr>
        <w:t xml:space="preserve"> </w:t>
      </w:r>
      <w:r>
        <w:rPr>
          <w:rtl w:val="true"/>
        </w:rPr>
        <w:t>מעש</w:t>
      </w:r>
      <w:r>
        <w:rPr>
          <w:rtl w:val="true"/>
        </w:rPr>
        <w:t>י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49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בועז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סנג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'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רו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ביקורת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העונשין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הישראליים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פרק ב</w:t>
      </w:r>
      <w:r>
        <w:rPr>
          <w:rtl w:val="true"/>
        </w:rPr>
        <w:t xml:space="preserve">' </w:t>
      </w:r>
      <w:r>
        <w:rPr>
          <w:rtl w:val="true"/>
        </w:rPr>
        <w:t>(</w:t>
      </w:r>
      <w:r>
        <w:rPr/>
        <w:t>2020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דורון</w:t>
      </w:r>
      <w:r>
        <w:rPr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טייכמן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הבניית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שיקול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הדעת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בענישה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נקודת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הראות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/>
        <w:t>649</w:t>
      </w:r>
      <w:r>
        <w:rPr>
          <w:rtl w:val="true"/>
        </w:rPr>
        <w:t xml:space="preserve">, </w:t>
      </w:r>
      <w:r>
        <w:rPr/>
        <w:t>654-653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 xml:space="preserve">הרפורמה להבניית שיקול הדעת השיפוטי בענישה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תיקון מספר </w:t>
      </w:r>
      <w:r>
        <w:rPr/>
        <w:t>113</w:t>
      </w:r>
      <w:r>
        <w:rPr>
          <w:rtl w:val="true"/>
        </w:rPr>
        <w:t xml:space="preserve">)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עיגן המחוקק בחקיקה את תכליות הענישה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הבניית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; </w:t>
      </w:r>
      <w:r>
        <w:rPr>
          <w:rtl w:val="true"/>
        </w:rPr>
        <w:t>מ</w:t>
      </w:r>
      <w:r>
        <w:rPr>
          <w:rtl w:val="true"/>
        </w:rPr>
        <w:t xml:space="preserve">בין </w:t>
      </w:r>
      <w:r>
        <w:rPr>
          <w:rtl w:val="true"/>
        </w:rPr>
        <w:t>מטרות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 xml:space="preserve">העניק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בכורה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בלעדיות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לעקרון</w:t>
      </w:r>
      <w:r>
        <w:rPr>
          <w:rtl w:val="true"/>
        </w:rPr>
        <w:t xml:space="preserve"> </w:t>
      </w:r>
      <w:r>
        <w:rPr>
          <w:rtl w:val="true"/>
        </w:rPr>
        <w:t>ההלימ</w:t>
      </w:r>
      <w:r>
        <w:rPr>
          <w:rtl w:val="true"/>
        </w:rPr>
        <w:t xml:space="preserve">ה </w:t>
      </w:r>
      <w:r>
        <w:rPr>
          <w:rtl w:val="true"/>
        </w:rPr>
        <w:t>–</w:t>
      </w:r>
      <w:r>
        <w:rPr>
          <w:rtl w:val="true"/>
        </w:rPr>
        <w:t xml:space="preserve"> הוא עקרון הגמול </w:t>
      </w:r>
      <w:r>
        <w:rPr>
          <w:rtl w:val="true"/>
        </w:rPr>
        <w:t>–</w:t>
      </w:r>
      <w:r>
        <w:rPr>
          <w:rtl w:val="true"/>
        </w:rPr>
        <w:t xml:space="preserve"> שעל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shd w:fill="FFFFFF" w:val="clear"/>
          <w:rtl w:val="true"/>
        </w:rPr>
        <w:t xml:space="preserve">העונש הראוי לעבריין </w:t>
      </w:r>
      <w:r>
        <w:rPr>
          <w:shd w:fill="FFFFFF" w:val="clear"/>
          <w:rtl w:val="true"/>
        </w:rPr>
        <w:t>יִ</w:t>
      </w:r>
      <w:r>
        <w:rPr>
          <w:shd w:fill="FFFFFF" w:val="clear"/>
          <w:rtl w:val="true"/>
        </w:rPr>
        <w:t>גזר ממידת אשמו ומחומרת מעשיו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21-20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</w:t>
      </w:r>
      <w:r>
        <w:rPr/>
        <w:t>.</w:t>
      </w:r>
      <w:r>
        <w:rPr/>
        <w:t>8</w:t>
      </w:r>
      <w:r>
        <w:rPr/>
        <w:t>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אשחאדאת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שונים הם פני הדברים בכל הנוגע לענישת קטינים</w:t>
      </w:r>
      <w:r>
        <w:rPr>
          <w:rtl w:val="true"/>
        </w:rPr>
        <w:t xml:space="preserve">.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 מורנו כדלקמן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סמכויות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ונקיטת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ייעשו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שילובו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ותקנת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הֱוֵי</w:t>
      </w:r>
      <w:r>
        <w:rPr>
          <w:rtl w:val="true"/>
        </w:rPr>
        <w:t xml:space="preserve"> אומר</w:t>
      </w:r>
      <w:r>
        <w:rPr>
          <w:rtl w:val="true"/>
        </w:rPr>
        <w:t xml:space="preserve">: </w:t>
      </w:r>
      <w:r>
        <w:rPr>
          <w:rtl w:val="true"/>
        </w:rPr>
        <w:t>בענישת קטינים</w:t>
      </w:r>
      <w:r>
        <w:rPr>
          <w:rtl w:val="true"/>
        </w:rPr>
        <w:t xml:space="preserve">, </w:t>
      </w:r>
      <w:r>
        <w:rPr>
          <w:rtl w:val="true"/>
        </w:rPr>
        <w:t>רוֹמם המחוקק את מעמדם של שיקולי השיקום ושל שיקולים אינדיבידואליים</w:t>
      </w:r>
      <w:r>
        <w:rPr>
          <w:rtl w:val="true"/>
        </w:rPr>
        <w:t xml:space="preserve">. </w:t>
      </w:r>
      <w:r>
        <w:rPr>
          <w:rtl w:val="true"/>
        </w:rPr>
        <w:t>הפסיקה אף היא שבה והדגישה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מערכת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להפעיל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וייחודית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להפעיל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בגיר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קטין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במיוחד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אינדיבידואליים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הנוגעים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ולאזן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ההרתעה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hyperlink r:id="rId5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49/09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פ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ד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סג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1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shd w:fill="FFFFFF" w:val="clear"/>
        </w:rPr>
        <w:t>752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hd w:fill="FFFFFF" w:val="clear"/>
        </w:rPr>
        <w:t>760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hd w:fill="FFFFFF" w:val="clear"/>
        </w:rPr>
        <w:t>2009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hyperlink r:id="rId5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shd w:fill="FFFFFF" w:val="clear"/>
          </w:rPr>
          <w:t>4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shd w:fill="FFFFFF" w:val="clear"/>
          </w:rPr>
          <w:t>9/09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ראו עוד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6163/10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20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14.</w:t>
      </w:r>
      <w:r>
        <w:rPr>
          <w:rFonts w:cs="FrankRuehl" w:ascii="FrankRuehl" w:hAnsi="FrankRuehl"/>
          <w:color w:val="000000"/>
          <w:sz w:val="28"/>
          <w:shd w:fill="FFFFFF" w:val="clear"/>
        </w:rPr>
        <w:t>3</w:t>
      </w:r>
      <w:r>
        <w:rPr>
          <w:rFonts w:cs="FrankRuehl" w:ascii="FrankRuehl" w:hAnsi="FrankRuehl"/>
          <w:color w:val="000000"/>
          <w:sz w:val="28"/>
          <w:shd w:fill="FFFFFF" w:val="clear"/>
        </w:rPr>
        <w:t>.2011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;</w:t>
      </w:r>
      <w:r>
        <w:rPr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8378/22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</w:t>
      </w:r>
      <w:r>
        <w:rPr/>
        <w:t>7</w:t>
      </w:r>
      <w:r>
        <w:rPr/>
        <w:t>.2023</w:t>
      </w:r>
      <w:r>
        <w:rPr>
          <w:rtl w:val="true"/>
        </w:rPr>
        <w:t xml:space="preserve">)).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מטרה מרכזית בענישה</w:t>
      </w:r>
      <w:r>
        <w:rPr>
          <w:rtl w:val="true"/>
        </w:rPr>
        <w:t xml:space="preserve">, </w:t>
      </w:r>
      <w:r>
        <w:rPr>
          <w:rtl w:val="true"/>
        </w:rPr>
        <w:t>בכל הנוגע לקטינים</w:t>
      </w:r>
      <w:r>
        <w:rPr>
          <w:rtl w:val="true"/>
        </w:rPr>
        <w:t xml:space="preserve">, </w:t>
      </w:r>
      <w:r>
        <w:rPr>
          <w:rtl w:val="true"/>
        </w:rPr>
        <w:t>היא ש</w:t>
      </w:r>
      <w:r>
        <w:rPr>
          <w:rtl w:val="true"/>
        </w:rPr>
        <w:t>'</w:t>
      </w:r>
      <w:r>
        <w:rPr>
          <w:rtl w:val="true"/>
        </w:rPr>
        <w:t>יִתַּמּוּ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חַטָּאִים</w:t>
      </w:r>
      <w:r>
        <w:rPr>
          <w:rtl w:val="true"/>
        </w:rPr>
        <w:t xml:space="preserve"> </w:t>
      </w:r>
      <w:r>
        <w:rPr>
          <w:rtl w:val="true"/>
        </w:rPr>
        <w:t>מִן</w:t>
      </w:r>
      <w:r>
        <w:rPr>
          <w:rtl w:val="true"/>
        </w:rPr>
        <w:t xml:space="preserve"> </w:t>
      </w:r>
      <w:r>
        <w:rPr>
          <w:rtl w:val="true"/>
        </w:rPr>
        <w:t>הָאָרֶץ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תהלים קד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tl w:val="true"/>
        </w:rPr>
        <w:t xml:space="preserve">); </w:t>
      </w:r>
      <w:r>
        <w:rPr>
          <w:rtl w:val="true"/>
        </w:rPr>
        <w:t xml:space="preserve">ולא בהכרח הרחקתם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חוטאים</w:t>
      </w:r>
      <w:r>
        <w:rPr>
          <w:rtl w:val="true"/>
        </w:rPr>
        <w:t xml:space="preserve"> מן החברה</w:t>
      </w:r>
      <w:r>
        <w:rPr>
          <w:rtl w:val="true"/>
        </w:rPr>
        <w:t xml:space="preserve">, </w:t>
      </w:r>
      <w:r>
        <w:rPr>
          <w:rtl w:val="true"/>
        </w:rPr>
        <w:t xml:space="preserve">או השבה להם כגמולם </w:t>
      </w:r>
      <w:r>
        <w:rPr>
          <w:rtl w:val="true"/>
        </w:rPr>
        <w:t>(</w:t>
      </w:r>
      <w:r>
        <w:rPr>
          <w:rtl w:val="true"/>
        </w:rPr>
        <w:t xml:space="preserve">כדבריה </w:t>
      </w:r>
      <w:r>
        <w:rPr>
          <w:rtl w:val="true"/>
        </w:rPr>
        <w:t>הידועים ש</w:t>
      </w:r>
      <w:r>
        <w:rPr>
          <w:rtl w:val="true"/>
        </w:rPr>
        <w:t xml:space="preserve">ל ברוריה </w:t>
      </w:r>
      <w:r>
        <w:rPr>
          <w:rtl w:val="true"/>
        </w:rPr>
        <w:t>–</w:t>
      </w:r>
      <w:r>
        <w:rPr>
          <w:rtl w:val="true"/>
        </w:rPr>
        <w:t xml:space="preserve"> ראו</w:t>
      </w:r>
      <w:r>
        <w:rPr>
          <w:rtl w:val="true"/>
        </w:rPr>
        <w:t xml:space="preserve">: 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ברכות י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נמצאנו למדים</w:t>
      </w:r>
      <w:r>
        <w:rPr>
          <w:rtl w:val="true"/>
        </w:rPr>
        <w:t xml:space="preserve">, </w:t>
      </w:r>
      <w:r>
        <w:rPr>
          <w:rtl w:val="true"/>
        </w:rPr>
        <w:t>כי בעוד שביחס לנאשם בגיר</w:t>
      </w:r>
      <w:r>
        <w:rPr>
          <w:rtl w:val="true"/>
        </w:rPr>
        <w:t xml:space="preserve">, </w:t>
      </w:r>
      <w:r>
        <w:rPr>
          <w:rtl w:val="true"/>
        </w:rPr>
        <w:t>העיקרון המנחה בענישה הוא הגמול</w:t>
      </w:r>
      <w:r>
        <w:rPr>
          <w:rtl w:val="true"/>
        </w:rPr>
        <w:t xml:space="preserve">, </w:t>
      </w:r>
      <w:r>
        <w:rPr>
          <w:rtl w:val="true"/>
        </w:rPr>
        <w:t>הרי שבעניינו של נאשם קטין</w:t>
      </w:r>
      <w:r>
        <w:rPr>
          <w:rtl w:val="true"/>
        </w:rPr>
        <w:t xml:space="preserve">, </w:t>
      </w:r>
      <w:r>
        <w:rPr>
          <w:rtl w:val="true"/>
        </w:rPr>
        <w:t>שומה על בית המשפט להתחשב בגילו הצעיר</w:t>
      </w:r>
      <w:r>
        <w:rPr>
          <w:rtl w:val="true"/>
        </w:rPr>
        <w:t xml:space="preserve">, </w:t>
      </w:r>
      <w:r>
        <w:rPr>
          <w:rtl w:val="true"/>
        </w:rPr>
        <w:t xml:space="preserve">ולהעניק מעמד מרכזי לשיקולי השיקום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.11.2016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22.12.2016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הציב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 </w:t>
      </w:r>
      <w:r>
        <w:rPr>
          <w:rtl w:val="true"/>
        </w:rPr>
        <w:t>דרכי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 </w:t>
      </w:r>
      <w:r>
        <w:rPr>
          <w:rtl w:val="true"/>
        </w:rPr>
        <w:t>יחודיות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עומדות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שנמצא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 xml:space="preserve">לפי האמור </w:t>
      </w:r>
      <w:hyperlink r:id="rId6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ציין המחוקק בפירוש</w:t>
      </w:r>
      <w:r>
        <w:rPr>
          <w:rtl w:val="true"/>
        </w:rPr>
        <w:t xml:space="preserve">, </w:t>
      </w:r>
      <w:hyperlink r:id="rId6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טו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hyperlink r:id="rId6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הנוער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שפיטה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ענישה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ודרכי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טיפול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1971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ללמדנו</w:t>
      </w:r>
      <w:r>
        <w:rPr>
          <w:rtl w:val="true"/>
        </w:rPr>
        <w:t xml:space="preserve">, </w:t>
      </w:r>
      <w:r>
        <w:rPr>
          <w:rtl w:val="true"/>
        </w:rPr>
        <w:t xml:space="preserve">כי הוראות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לא תחולנה במישרין על ענישת קטין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המחוקק לא עצר כאן</w:t>
      </w:r>
      <w:r>
        <w:rPr>
          <w:rtl w:val="true"/>
        </w:rPr>
        <w:t xml:space="preserve">, </w:t>
      </w:r>
      <w:hyperlink r:id="rId65">
        <w:r>
          <w:rPr>
            <w:rStyle w:val="Hyperlink"/>
            <w:rtl w:val="true"/>
          </w:rPr>
          <w:t>ובסעיף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טו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התאמתם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FrankRuehl" w:ascii="FrankRuehl" w:hAnsi="FrankRuehl"/>
          <w:color w:val="000000"/>
          <w:sz w:val="26"/>
          <w:szCs w:val="26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כלומר</w:t>
      </w:r>
      <w:r>
        <w:rPr>
          <w:rtl w:val="true"/>
        </w:rPr>
        <w:t xml:space="preserve">: </w:t>
      </w:r>
      <w:r>
        <w:rPr>
          <w:rtl w:val="true"/>
        </w:rPr>
        <w:t xml:space="preserve">תחולה במישרין </w:t>
      </w:r>
      <w:r>
        <w:rPr>
          <w:rtl w:val="true"/>
        </w:rPr>
        <w:t>–</w:t>
      </w:r>
      <w:r>
        <w:rPr>
          <w:rtl w:val="true"/>
        </w:rPr>
        <w:t xml:space="preserve"> לא</w:t>
      </w:r>
      <w:r>
        <w:rPr>
          <w:rtl w:val="true"/>
        </w:rPr>
        <w:t xml:space="preserve">; </w:t>
      </w:r>
      <w:r>
        <w:rPr>
          <w:rtl w:val="true"/>
        </w:rPr>
        <w:t xml:space="preserve">התחשבות בעקרונות ובשיקולים המנחים </w:t>
      </w:r>
      <w:r>
        <w:rPr>
          <w:rtl w:val="true"/>
        </w:rPr>
        <w:t>–</w:t>
      </w:r>
      <w:r>
        <w:rPr>
          <w:rtl w:val="true"/>
        </w:rPr>
        <w:t xml:space="preserve"> כן</w:t>
      </w:r>
      <w:r>
        <w:rPr>
          <w:rtl w:val="true"/>
        </w:rPr>
        <w:t xml:space="preserve">. </w:t>
      </w:r>
      <w:r>
        <w:rPr>
          <w:rtl w:val="true"/>
        </w:rPr>
        <w:t>תוספת זו חשובה היא</w:t>
      </w:r>
      <w:r>
        <w:rPr>
          <w:rtl w:val="true"/>
        </w:rPr>
        <w:t xml:space="preserve">, </w:t>
      </w:r>
      <w:r>
        <w:rPr>
          <w:rtl w:val="true"/>
        </w:rPr>
        <w:t>משום שהיא מבהירה את כוונת המחוקק שלא ליצור שתי מערכות ענישה מנותקות זו מזו</w:t>
      </w:r>
      <w:r>
        <w:rPr>
          <w:rtl w:val="true"/>
        </w:rPr>
        <w:t xml:space="preserve">, </w:t>
      </w:r>
      <w:r>
        <w:rPr>
          <w:rtl w:val="true"/>
        </w:rPr>
        <w:t>אלא לשמור על זיקה בין ענישת בגירים לענישת קטינים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רוחו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7</w:t>
      </w:r>
      <w:r>
        <w:rPr/>
        <w:t>.2019</w:t>
      </w:r>
      <w:r>
        <w:rPr>
          <w:rtl w:val="true"/>
        </w:rPr>
        <w:t xml:space="preserve">); </w:t>
      </w:r>
      <w:r>
        <w:rPr>
          <w:rtl w:val="true"/>
        </w:rPr>
        <w:t>כמו כן ראו</w:t>
      </w:r>
      <w:r>
        <w:rPr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7512/11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מ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</w:t>
      </w:r>
      <w:r>
        <w:rPr/>
        <w:t>5</w:t>
      </w:r>
      <w:r>
        <w:rPr/>
        <w:t>.2012</w:t>
      </w:r>
      <w:r>
        <w:rPr>
          <w:rtl w:val="true"/>
        </w:rPr>
        <w:t>))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להבדיל ממדינות שביקשו לשלול את האפשרות להתחשב בעקרונות ובשיקולים הנוגעים לענישת בגירים</w:t>
      </w:r>
      <w:r>
        <w:rPr>
          <w:rtl w:val="true"/>
        </w:rPr>
        <w:t xml:space="preserve">, </w:t>
      </w:r>
      <w:r>
        <w:rPr>
          <w:rtl w:val="true"/>
        </w:rPr>
        <w:t>כגון הרתעת הרבים והיחיד</w:t>
      </w:r>
      <w:r>
        <w:rPr>
          <w:rtl w:val="true"/>
        </w:rPr>
        <w:t xml:space="preserve">, </w:t>
      </w:r>
      <w:r>
        <w:rPr>
          <w:rtl w:val="true"/>
        </w:rPr>
        <w:t xml:space="preserve">או הגינוי והגמול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את פסק הדין של בית המשפט העליון של קנדה בנוגע ל</w:t>
      </w:r>
      <w:r>
        <w:rPr>
          <w:rtl w:val="true"/>
        </w:rPr>
        <w:t>-</w:t>
      </w:r>
      <w:r>
        <w:rPr/>
        <w:t>Youth Criminal Justice Act, 2003</w:t>
      </w:r>
      <w:r>
        <w:rPr/>
        <w:t xml:space="preserve"> </w:t>
      </w:r>
      <w:r>
        <w:rPr/>
        <w:t>(</w:t>
      </w:r>
      <w:r>
        <w:rPr/>
        <w:t>YCJA</w:t>
      </w:r>
      <w:r>
        <w:rPr/>
        <w:t>)</w:t>
      </w:r>
      <w:r>
        <w:rPr>
          <w:rtl w:val="true"/>
        </w:rPr>
        <w:t xml:space="preserve"> </w:t>
      </w:r>
      <w:r>
        <w:rPr>
          <w:rtl w:val="true"/>
        </w:rPr>
        <w:t>העוסק בענישת קטינים</w:t>
      </w:r>
      <w:r>
        <w:rPr>
          <w:rtl w:val="true"/>
        </w:rPr>
        <w:t xml:space="preserve">: </w:t>
      </w:r>
      <w:r>
        <w:rPr/>
        <w:t>R. v. B.W.P.; R. v. B.V.N., 2006 SCC 27 (CanLII), [2006] 1 SCR 941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 xml:space="preserve">. </w:t>
      </w:r>
      <w:r>
        <w:rPr>
          <w:rtl w:val="true"/>
        </w:rPr>
        <w:t>מכאן מובנת גם המימרה הנשנית תדיר בפסיקה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קטינוּת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חסינות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8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190/79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דורון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589</w:t>
      </w:r>
      <w:r>
        <w:rPr>
          <w:rtl w:val="true"/>
        </w:rPr>
        <w:t xml:space="preserve"> (</w:t>
      </w:r>
      <w:r>
        <w:rPr/>
        <w:t>1979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לאמור</w:t>
      </w:r>
      <w:r>
        <w:rPr>
          <w:rtl w:val="true"/>
        </w:rPr>
        <w:t xml:space="preserve">: </w:t>
      </w:r>
      <w:r>
        <w:rPr>
          <w:rtl w:val="true"/>
        </w:rPr>
        <w:t>שיקום אינו מילת קסם</w:t>
      </w:r>
      <w:r>
        <w:rPr>
          <w:rtl w:val="true"/>
        </w:rPr>
        <w:t xml:space="preserve">, </w:t>
      </w:r>
      <w:r>
        <w:rPr>
          <w:rtl w:val="true"/>
        </w:rPr>
        <w:t>אינו שיקול שכלל שיקולי הענישה ניגפים לפניו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המורם מן האמור</w:t>
      </w:r>
      <w:r>
        <w:rPr>
          <w:rtl w:val="true"/>
        </w:rPr>
        <w:t xml:space="preserve">, </w:t>
      </w:r>
      <w:r>
        <w:rPr>
          <w:rtl w:val="true"/>
        </w:rPr>
        <w:t>שבבואו לגזור את דינו של קטין</w:t>
      </w:r>
      <w:r>
        <w:rPr>
          <w:rtl w:val="true"/>
        </w:rPr>
        <w:t xml:space="preserve">, </w:t>
      </w:r>
      <w:r>
        <w:rPr>
          <w:rtl w:val="true"/>
        </w:rPr>
        <w:t>נדרש בית המשפט לשקול את כלל השיקולים הנוגעים לענישה</w:t>
      </w:r>
      <w:r>
        <w:rPr>
          <w:rtl w:val="true"/>
        </w:rPr>
        <w:t xml:space="preserve">, </w:t>
      </w:r>
      <w:r>
        <w:rPr>
          <w:rtl w:val="true"/>
        </w:rPr>
        <w:t>אך ליתן משקל דומיננטי לשיקול השיקום</w:t>
      </w:r>
      <w:r>
        <w:rPr>
          <w:rtl w:val="true"/>
        </w:rPr>
        <w:t xml:space="preserve">, </w:t>
      </w:r>
      <w:r>
        <w:rPr>
          <w:rtl w:val="true"/>
        </w:rPr>
        <w:t xml:space="preserve">בשל הערך החברתי הרב הגלום בהחזרת הקטין למוטב </w:t>
      </w:r>
      <w:r>
        <w:rPr>
          <w:rtl w:val="true"/>
        </w:rPr>
        <w:t>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21.10.2021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פסיקת בית משפט זה בעשורים האחרונים מלמדת על כך שהכל מודים שעקרונות אלה ראוי להם שינחו את המותב בעת גזירת דינו של קטין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לצד הסכמה על העקרונות המנחים</w:t>
      </w:r>
      <w:r>
        <w:rPr>
          <w:rtl w:val="true"/>
        </w:rPr>
        <w:t xml:space="preserve">, </w:t>
      </w:r>
      <w:r>
        <w:rPr>
          <w:rtl w:val="true"/>
        </w:rPr>
        <w:t>התגלעו במהלך השנים ויכוחים נוקבים באשר ליישום העקרונות</w:t>
      </w:r>
      <w:r>
        <w:rPr>
          <w:rtl w:val="true"/>
        </w:rPr>
        <w:t xml:space="preserve">, </w:t>
      </w:r>
      <w:r>
        <w:rPr>
          <w:rtl w:val="true"/>
        </w:rPr>
        <w:t xml:space="preserve">ולתוצאות הרצויות בגזרי דין של קטינים </w:t>
      </w:r>
      <w:r>
        <w:rPr>
          <w:rtl w:val="true"/>
        </w:rPr>
        <w:t>–</w:t>
      </w:r>
      <w:r>
        <w:rPr>
          <w:rtl w:val="true"/>
        </w:rPr>
        <w:t xml:space="preserve"> ועל כך ארחיב מעט את הדיבור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בייחוד בעבירות חמורות</w:t>
      </w:r>
      <w:r>
        <w:rPr>
          <w:rtl w:val="true"/>
        </w:rPr>
        <w:t xml:space="preserve">, </w:t>
      </w:r>
      <w:r>
        <w:rPr>
          <w:rtl w:val="true"/>
        </w:rPr>
        <w:t>הבחירה להעניק לשיקול השיקום ולנסיבות האישיות של העבריין מעמד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>
          <w:rtl w:val="true"/>
        </w:rPr>
        <w:t xml:space="preserve">על חשבון יתר שיקולי הענישה </w:t>
      </w:r>
      <w:r>
        <w:rPr>
          <w:rtl w:val="true"/>
        </w:rPr>
        <w:t>–</w:t>
      </w:r>
      <w:r>
        <w:rPr>
          <w:rtl w:val="true"/>
        </w:rPr>
        <w:t xml:space="preserve"> מעוררת תחושה קשה</w:t>
      </w:r>
      <w:r>
        <w:rPr>
          <w:rtl w:val="true"/>
        </w:rPr>
        <w:t xml:space="preserve">; </w:t>
      </w:r>
      <w:r>
        <w:rPr>
          <w:rtl w:val="true"/>
        </w:rPr>
        <w:t>לעיתים הדעת אינה סובלת אפשרות שכזו</w:t>
      </w:r>
      <w:r>
        <w:rPr>
          <w:rtl w:val="true"/>
        </w:rPr>
        <w:t xml:space="preserve">, </w:t>
      </w:r>
      <w:r>
        <w:rPr>
          <w:rtl w:val="true"/>
        </w:rPr>
        <w:t>מחמת הנזק הרב שנגרם לנפגעי העבירה</w:t>
      </w:r>
      <w:r>
        <w:rPr>
          <w:rtl w:val="true"/>
        </w:rPr>
        <w:t xml:space="preserve">; </w:t>
      </w:r>
      <w:r>
        <w:rPr>
          <w:rtl w:val="true"/>
        </w:rPr>
        <w:t>תחושת צדק בסיסית</w:t>
      </w:r>
      <w:r>
        <w:rPr>
          <w:rtl w:val="true"/>
        </w:rPr>
        <w:t xml:space="preserve">; </w:t>
      </w:r>
      <w:r>
        <w:rPr>
          <w:rtl w:val="true"/>
        </w:rPr>
        <w:t>סלידה עזה ממעשים קשים</w:t>
      </w:r>
      <w:r>
        <w:rPr>
          <w:rtl w:val="true"/>
        </w:rPr>
        <w:t xml:space="preserve">, </w:t>
      </w:r>
      <w:r>
        <w:rPr>
          <w:rtl w:val="true"/>
        </w:rPr>
        <w:t xml:space="preserve">אכזריים ופוגעניים </w:t>
      </w:r>
      <w:r>
        <w:rPr>
          <w:rtl w:val="true"/>
        </w:rPr>
        <w:t>–</w:t>
      </w:r>
      <w:r>
        <w:rPr>
          <w:rtl w:val="true"/>
        </w:rPr>
        <w:t xml:space="preserve"> כל אלה עשויים לנקר בחוזקה בלב השופט היושב על מִדִין</w:t>
      </w:r>
      <w:r>
        <w:rPr>
          <w:rtl w:val="true"/>
        </w:rPr>
        <w:t xml:space="preserve">, </w:t>
      </w:r>
      <w:r>
        <w:rPr>
          <w:rtl w:val="true"/>
        </w:rPr>
        <w:t>לא ליתן לו מנוח</w:t>
      </w:r>
      <w:r>
        <w:rPr>
          <w:rtl w:val="true"/>
        </w:rPr>
        <w:t xml:space="preserve">, </w:t>
      </w:r>
      <w:r>
        <w:rPr>
          <w:rtl w:val="true"/>
        </w:rPr>
        <w:t>ולהביא להורדת שיקול השיקום מגדולתו</w:t>
      </w:r>
      <w:r>
        <w:rPr>
          <w:rtl w:val="true"/>
        </w:rPr>
        <w:t xml:space="preserve">, </w:t>
      </w:r>
      <w:r>
        <w:rPr>
          <w:rtl w:val="true"/>
        </w:rPr>
        <w:t>על רקע אותו מקרה יִחודי וקשה העומד על הפרק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 משפט זה קבע לא פעם</w:t>
      </w:r>
      <w:r>
        <w:rPr>
          <w:rtl w:val="true"/>
        </w:rPr>
        <w:t xml:space="preserve">, </w:t>
      </w:r>
      <w:r>
        <w:rPr>
          <w:rtl w:val="true"/>
        </w:rPr>
        <w:t>כי בהתקיים נסיבות חמורות כאמור</w:t>
      </w:r>
      <w:r>
        <w:rPr>
          <w:rtl w:val="true"/>
        </w:rPr>
        <w:t xml:space="preserve">, </w:t>
      </w:r>
      <w:r>
        <w:rPr>
          <w:rtl w:val="true"/>
        </w:rPr>
        <w:t>שיקול השיקום ירד מרום מעלתו</w:t>
      </w:r>
      <w:r>
        <w:rPr>
          <w:rtl w:val="true"/>
        </w:rPr>
        <w:t xml:space="preserve">, </w:t>
      </w:r>
      <w:r>
        <w:rPr>
          <w:rtl w:val="true"/>
        </w:rPr>
        <w:t>ועל פניו יבוּכּרוּ שיקולי ענישה אחרים</w:t>
      </w:r>
      <w:r>
        <w:rPr>
          <w:rtl w:val="true"/>
        </w:rPr>
        <w:t xml:space="preserve">, </w:t>
      </w:r>
      <w:r>
        <w:rPr>
          <w:rtl w:val="true"/>
        </w:rPr>
        <w:t>אשר יביאו להחמרה בעונשו של הנאשם הקטין</w:t>
      </w:r>
      <w:r>
        <w:rPr>
          <w:rtl w:val="true"/>
        </w:rPr>
        <w:t xml:space="preserve">; </w:t>
      </w:r>
      <w:r>
        <w:rPr>
          <w:rtl w:val="true"/>
        </w:rPr>
        <w:t xml:space="preserve">דברים אלו נאמרו ביתר שאת ביחס לעבירות מין </w:t>
      </w:r>
      <w:r>
        <w:rPr>
          <w:rtl w:val="true"/>
        </w:rPr>
        <w:t>(</w:t>
      </w:r>
      <w:r>
        <w:rPr>
          <w:rtl w:val="true"/>
        </w:rPr>
        <w:t>ראו מִני רבים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/>
        <w:t>606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</w:t>
      </w:r>
      <w:r>
        <w:rPr/>
        <w:t>.</w:t>
      </w:r>
      <w:r>
        <w:rPr/>
        <w:t>8</w:t>
      </w:r>
      <w:r>
        <w:rPr/>
        <w:t>.2009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9828/06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</w:t>
      </w:r>
      <w:r>
        <w:rPr/>
        <w:t>6</w:t>
      </w:r>
      <w:r>
        <w:rPr/>
        <w:t>.2007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6209/13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</w:t>
      </w:r>
      <w:r>
        <w:rPr/>
        <w:t>1</w:t>
      </w:r>
      <w:r>
        <w:rPr/>
        <w:t>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7113/08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15.12.2008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שומה עלינו לזכור כי אין זו דרך המלך בעניינם של קטינים</w:t>
      </w:r>
      <w:r>
        <w:rPr>
          <w:rtl w:val="true"/>
        </w:rPr>
        <w:t xml:space="preserve">. </w:t>
      </w:r>
      <w:r>
        <w:rPr>
          <w:rtl w:val="true"/>
        </w:rPr>
        <w:t>בעניינם של אלו יש לנהוג בגזר הדין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במתינות</w:t>
      </w:r>
      <w:r>
        <w:rPr>
          <w:rtl w:val="true"/>
        </w:rPr>
        <w:t xml:space="preserve">, </w:t>
      </w:r>
      <w:r>
        <w:rPr>
          <w:rtl w:val="true"/>
        </w:rPr>
        <w:t xml:space="preserve">ובהתאם </w:t>
      </w:r>
      <w:r>
        <w:rPr>
          <w:rtl w:val="true"/>
        </w:rPr>
        <w:t>–</w:t>
      </w:r>
      <w:r>
        <w:rPr>
          <w:rtl w:val="true"/>
        </w:rPr>
        <w:t xml:space="preserve"> לגזור עליהם עונשים קלים מן העונש שהיה נגזר עליהם</w:t>
      </w:r>
      <w:r>
        <w:rPr>
          <w:rtl w:val="true"/>
        </w:rPr>
        <w:t xml:space="preserve">, </w:t>
      </w:r>
      <w:r>
        <w:rPr>
          <w:rtl w:val="true"/>
        </w:rPr>
        <w:t>לוּ היו בגירים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בחירה זו </w:t>
      </w:r>
      <w:r>
        <w:rPr>
          <w:rtl w:val="true"/>
        </w:rPr>
        <w:t>–</w:t>
      </w:r>
      <w:r>
        <w:rPr>
          <w:rtl w:val="true"/>
        </w:rPr>
        <w:t xml:space="preserve"> להקל עם עבריינים קטינים </w:t>
      </w:r>
      <w:r>
        <w:rPr>
          <w:rtl w:val="true"/>
        </w:rPr>
        <w:t>–</w:t>
      </w:r>
      <w:r>
        <w:rPr>
          <w:rtl w:val="true"/>
        </w:rPr>
        <w:t xml:space="preserve"> מעוררת קשיים במישורים שונים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על הדבקות בשיקולי השיקום משלם הציבור מחיר כבד</w:t>
      </w:r>
      <w:r>
        <w:rPr>
          <w:rtl w:val="true"/>
        </w:rPr>
        <w:t xml:space="preserve">: </w:t>
      </w:r>
      <w:r>
        <w:rPr>
          <w:rtl w:val="true"/>
        </w:rPr>
        <w:t>הגנה על ערכים חשובים נשחקת</w:t>
      </w:r>
      <w:r>
        <w:rPr>
          <w:rtl w:val="true"/>
        </w:rPr>
        <w:t xml:space="preserve">; </w:t>
      </w:r>
      <w:r>
        <w:rPr>
          <w:rtl w:val="true"/>
        </w:rPr>
        <w:t>ההרתעה נפגמת</w:t>
      </w:r>
      <w:r>
        <w:rPr>
          <w:rtl w:val="true"/>
        </w:rPr>
        <w:t xml:space="preserve">; </w:t>
      </w:r>
      <w:r>
        <w:rPr>
          <w:rtl w:val="true"/>
        </w:rPr>
        <w:t>תחושת הביטחון האישי נפרמת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: </w:t>
      </w:r>
      <w:r>
        <w:rPr>
          <w:rtl w:val="true"/>
        </w:rPr>
        <w:t>גם באשר לשיקול השיקום עצמו</w:t>
      </w:r>
      <w:r>
        <w:rPr>
          <w:rtl w:val="true"/>
        </w:rPr>
        <w:t xml:space="preserve">, </w:t>
      </w:r>
      <w:r>
        <w:rPr>
          <w:rtl w:val="true"/>
        </w:rPr>
        <w:t>לא אחת הקלה בעונש אינה מיטיבה עם הנאשם הקטין</w:t>
      </w:r>
      <w:r>
        <w:rPr>
          <w:rtl w:val="true"/>
        </w:rPr>
        <w:t xml:space="preserve">, </w:t>
      </w:r>
      <w:r>
        <w:rPr>
          <w:rtl w:val="true"/>
        </w:rPr>
        <w:t>אלא דווקא פוגעת בו</w:t>
      </w:r>
      <w:r>
        <w:rPr>
          <w:rtl w:val="true"/>
        </w:rPr>
        <w:t xml:space="preserve">, </w:t>
      </w:r>
      <w:r>
        <w:rPr>
          <w:rtl w:val="true"/>
        </w:rPr>
        <w:t>כפי שאבהיר בהמשך</w:t>
      </w:r>
      <w:r>
        <w:rPr>
          <w:rtl w:val="true"/>
        </w:rPr>
        <w:t xml:space="preserve">. </w:t>
      </w:r>
      <w:r>
        <w:rPr>
          <w:rtl w:val="true"/>
        </w:rPr>
        <w:t>בשל מתח מתמיד זה בין שיקולי הענישה השונים</w:t>
      </w:r>
      <w:r>
        <w:rPr>
          <w:rtl w:val="true"/>
        </w:rPr>
        <w:t xml:space="preserve">, </w:t>
      </w:r>
      <w:r>
        <w:rPr>
          <w:rtl w:val="true"/>
        </w:rPr>
        <w:t xml:space="preserve">ניכרות במשפט המשווה גישות שונות באשר לענישת קטינים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smallCaps/>
        </w:rPr>
        <w:t>Juvenile Law Violators, Human Rights, and the Development of New Juvenile Justice Systems</w:t>
      </w:r>
      <w:r>
        <w:rPr>
          <w:smallCaps/>
          <w:szCs w:val="24"/>
        </w:rPr>
        <w:t xml:space="preserve">, </w:t>
      </w:r>
      <w:r>
        <w:rPr>
          <w:szCs w:val="24"/>
        </w:rPr>
        <w:t>Section Two: Juvenile Justice Systems</w:t>
      </w:r>
      <w:r>
        <w:rPr>
          <w:smallCaps/>
        </w:rPr>
        <w:t xml:space="preserve"> </w:t>
      </w:r>
      <w:r>
        <w:rPr/>
        <w:t xml:space="preserve"> (Eric L. Jensen &amp; Jørgen Jepsen eds., 2006)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smallCaps/>
          <w:rtl w:val="true"/>
        </w:rPr>
        <w:t xml:space="preserve"> </w:t>
      </w:r>
      <w:r>
        <w:rPr>
          <w:smallCaps/>
        </w:rPr>
        <w:t>Juvenile Law Violators</w:t>
      </w:r>
      <w:r>
        <w:rPr>
          <w:rtl w:val="true"/>
        </w:rPr>
        <w:t xml:space="preserve">)). </w:t>
      </w:r>
      <w:r>
        <w:rPr>
          <w:rtl w:val="true"/>
        </w:rPr>
        <w:t>גם בתוך מדינות עצמן</w:t>
      </w:r>
      <w:r>
        <w:rPr>
          <w:rtl w:val="true"/>
        </w:rPr>
        <w:t xml:space="preserve">, </w:t>
      </w:r>
      <w:r>
        <w:rPr>
          <w:rtl w:val="true"/>
        </w:rPr>
        <w:t>במרוצת השנים</w:t>
      </w:r>
      <w:r>
        <w:rPr>
          <w:rtl w:val="true"/>
        </w:rPr>
        <w:t xml:space="preserve">, </w:t>
      </w:r>
      <w:r>
        <w:rPr>
          <w:rtl w:val="true"/>
        </w:rPr>
        <w:t xml:space="preserve">מטוטלת ענישת הקטינים נעה בין החמרה להקלה </w:t>
      </w:r>
      <w:r>
        <w:rPr>
          <w:rtl w:val="true"/>
        </w:rPr>
        <w:t>(</w:t>
      </w:r>
      <w:r>
        <w:rPr>
          <w:rtl w:val="true"/>
        </w:rPr>
        <w:t>להיסטוריה של ענישת קטינים בארה</w:t>
      </w:r>
      <w:r>
        <w:rPr>
          <w:rtl w:val="true"/>
        </w:rPr>
        <w:t>"</w:t>
      </w:r>
      <w:r>
        <w:rPr>
          <w:rtl w:val="true"/>
        </w:rPr>
        <w:t>ב ראו</w:t>
      </w:r>
      <w:r>
        <w:rPr>
          <w:rtl w:val="true"/>
        </w:rPr>
        <w:t xml:space="preserve">: </w:t>
      </w:r>
      <w:r>
        <w:rPr/>
        <w:t>E</w:t>
      </w:r>
      <w:r>
        <w:rPr/>
        <w:t xml:space="preserve">ric L. Jensen, </w:t>
      </w:r>
      <w:r>
        <w:rPr>
          <w:i/>
          <w:iCs/>
        </w:rPr>
        <w:t>An Historical Overview of the American Juvenile Justice System</w:t>
      </w:r>
      <w:r>
        <w:rPr/>
        <w:t xml:space="preserve">, in: </w:t>
      </w:r>
      <w:r>
        <w:rPr>
          <w:smallCaps/>
        </w:rPr>
        <w:t>Juvenile Law Violators</w:t>
      </w:r>
      <w:r>
        <w:rPr>
          <w:rtl w:val="true"/>
        </w:rPr>
        <w:t xml:space="preserve">; </w:t>
      </w:r>
      <w:r>
        <w:rPr>
          <w:rtl w:val="true"/>
        </w:rPr>
        <w:t>לתנועת המטוטלת במגמות הענישה בארצות הברית</w:t>
      </w:r>
      <w:r>
        <w:rPr>
          <w:rtl w:val="true"/>
        </w:rPr>
        <w:t xml:space="preserve">, </w:t>
      </w:r>
      <w:r>
        <w:rPr>
          <w:rtl w:val="true"/>
        </w:rPr>
        <w:t>ראו גם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/>
        <w:t xml:space="preserve">Lucien A. Beaulieu &amp; Carla Cesaroni, The Changing Role of the Youth Court Judge, </w:t>
      </w:r>
      <w:r>
        <w:rPr>
          <w:smallCaps/>
        </w:rPr>
        <w:t>7 Eur. J. on Crim. Pol'y &amp; Rsch.</w:t>
      </w:r>
      <w:r>
        <w:rPr/>
        <w:t xml:space="preserve"> 363</w:t>
      </w:r>
      <w:r>
        <w:rPr/>
        <w:t xml:space="preserve"> </w:t>
      </w:r>
      <w:r>
        <w:rPr/>
        <w:t>(1999)</w:t>
      </w:r>
      <w:r>
        <w:rPr/>
        <w:t xml:space="preserve">; </w:t>
      </w:r>
      <w:r>
        <w:rPr/>
        <w:t xml:space="preserve">Barry C. Feld, </w:t>
      </w:r>
      <w:r>
        <w:rPr>
          <w:i/>
          <w:iCs/>
        </w:rPr>
        <w:t>The Juvenile Court Meets the Principle of Offense: Punishment, Treatment, and the Difference It Makes</w:t>
      </w:r>
      <w:r>
        <w:rPr/>
        <w:t>, 68 B.U. L. R</w:t>
      </w:r>
      <w:r>
        <w:rPr>
          <w:smallCaps/>
        </w:rPr>
        <w:t>ev</w:t>
      </w:r>
      <w:r>
        <w:rPr/>
        <w:t>.  821 (1988)</w:t>
      </w:r>
      <w:r>
        <w:rPr>
          <w:rtl w:val="true"/>
        </w:rPr>
        <w:t xml:space="preserve">; </w:t>
      </w:r>
      <w:hyperlink r:id="rId75">
        <w:r>
          <w:rPr>
            <w:rStyle w:val="Hyperlink"/>
            <w:rtl w:val="true"/>
          </w:rPr>
          <w:t>לסלי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סבה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שיפוט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הנוער</w:t>
        </w:r>
        <w:r>
          <w:rPr>
            <w:rStyle w:val="Hyperlink"/>
            <w:rtl w:val="true"/>
          </w:rPr>
          <w:t xml:space="preserve"> – </w:t>
        </w:r>
        <w:r>
          <w:rPr>
            <w:rStyle w:val="Hyperlink"/>
            <w:rtl w:val="true"/>
          </w:rPr>
          <w:t>האם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יופר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האיזון</w:t>
        </w:r>
      </w:hyperlink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לז</w:t>
      </w:r>
      <w:r>
        <w:rPr>
          <w:rtl w:val="true"/>
        </w:rPr>
        <w:t xml:space="preserve">, </w:t>
      </w:r>
      <w:r>
        <w:rPr/>
        <w:t>225</w:t>
      </w:r>
      <w:r>
        <w:rPr>
          <w:rtl w:val="true"/>
        </w:rPr>
        <w:t xml:space="preserve">, </w:t>
      </w:r>
      <w:r>
        <w:rPr/>
        <w:t>226-225</w:t>
      </w:r>
      <w:r>
        <w:rPr>
          <w:rtl w:val="true"/>
        </w:rPr>
        <w:t xml:space="preserve"> (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שיפוט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האיזון</w:t>
      </w:r>
      <w:r>
        <w:rPr>
          <w:rtl w:val="true"/>
        </w:rPr>
        <w:t xml:space="preserve">); </w:t>
      </w:r>
      <w:r>
        <w:rPr>
          <w:rtl w:val="true"/>
        </w:rPr>
        <w:t>מימי</w:t>
      </w:r>
      <w:r>
        <w:rPr>
          <w:rtl w:val="true"/>
        </w:rPr>
        <w:t xml:space="preserve"> </w:t>
      </w:r>
      <w:r>
        <w:rPr>
          <w:rtl w:val="true"/>
        </w:rPr>
        <w:t>אייזנשטדט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מונה</w:t>
      </w:r>
      <w:r>
        <w:rPr>
          <w:rtl w:val="true"/>
        </w:rPr>
        <w:t xml:space="preserve"> </w:t>
      </w:r>
      <w:r>
        <w:rPr>
          <w:rtl w:val="true"/>
        </w:rPr>
        <w:t>חורי</w:t>
      </w:r>
      <w:r>
        <w:rPr>
          <w:rtl w:val="true"/>
        </w:rPr>
        <w:t>-</w:t>
      </w:r>
      <w:hyperlink r:id="rId76">
        <w:r>
          <w:rPr>
            <w:rStyle w:val="Hyperlink"/>
            <w:color w:val="0000FF"/>
            <w:u w:val="single"/>
            <w:rtl w:val="true"/>
          </w:rPr>
          <w:t>כסאברי</w:t>
        </w:r>
        <w:r>
          <w:rPr>
            <w:rStyle w:val="Hyperlink"/>
            <w:color w:val="0000FF"/>
            <w:u w:val="single"/>
            <w:rtl w:val="true"/>
          </w:rPr>
          <w:t>, "</w:t>
        </w:r>
        <w:r>
          <w:rPr>
            <w:rStyle w:val="Hyperlink"/>
            <w:color w:val="0000FF"/>
            <w:u w:val="single"/>
            <w:rtl w:val="true"/>
          </w:rPr>
          <w:t>ההקשר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התרבותי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סוציאלי</w:t>
      </w:r>
      <w:r>
        <w:rPr>
          <w:rtl w:val="true"/>
        </w:rPr>
        <w:t xml:space="preserve"> </w:t>
      </w:r>
      <w:r>
        <w:rPr/>
        <w:t>92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/>
        <w:t>13-9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אייזנשטדט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וחורי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כסאברי</w:t>
      </w:r>
      <w:r>
        <w:rPr>
          <w:rtl w:val="true"/>
        </w:rPr>
        <w:t xml:space="preserve">)). </w:t>
      </w:r>
      <w:r>
        <w:rPr>
          <w:rtl w:val="true"/>
        </w:rPr>
        <w:t>על כל פנים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המחוקק הישראלי גילה דעתו בסוגיה זו</w:t>
      </w:r>
      <w:r>
        <w:rPr>
          <w:rtl w:val="true"/>
        </w:rPr>
        <w:t xml:space="preserve">, </w:t>
      </w:r>
      <w:r>
        <w:rPr>
          <w:rtl w:val="true"/>
        </w:rPr>
        <w:t>והתווה יחס שונה לקטינים ולבגירים</w:t>
      </w:r>
      <w:r>
        <w:rPr>
          <w:rtl w:val="true"/>
        </w:rPr>
        <w:t xml:space="preserve">; </w:t>
      </w:r>
      <w:r>
        <w:rPr>
          <w:rtl w:val="true"/>
        </w:rPr>
        <w:t>עלינו לפעול אפוא כמצוותו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sz w:val="14"/>
          <w:szCs w:val="14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ניתנת האמת להֵאמר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>בשים לב למצוות המחוקק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ועל רקע עיון בהלכות שנקבעו בבית משפט זה ביחס לענישת קטינים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על המערער נגזר עונש חמור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כפי שאפרט להלן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העונש שגזר בית המשפט המחוזי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מצוי ברף הגבוה של ענישת קטינים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ברם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למקרא גזר הדין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ובשים לב למעשים מסמרי השיער שבהם עסקינן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לא מצאתי כי בית המשפט המחוזי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שקל שיקולים פסולים או מוטעים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ואינ</w:t>
      </w:r>
      <w:r>
        <w:rPr>
          <w:shd w:fill="FFFFFF" w:val="clear"/>
          <w:rtl w:val="true"/>
        </w:rPr>
        <w:t>נ</w:t>
      </w:r>
      <w:r>
        <w:rPr>
          <w:shd w:fill="FFFFFF" w:val="clear"/>
          <w:rtl w:val="true"/>
        </w:rPr>
        <w:t xml:space="preserve">י סבור כי </w:t>
      </w:r>
      <w:r>
        <w:rPr>
          <w:shd w:fill="FFFFFF" w:val="clear"/>
          <w:rtl w:val="true"/>
        </w:rPr>
        <w:t>חרג מן הענישה הראויה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או שנמנע מלשקול שיקולים שאותם היה עליו להביא במניין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8197/22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צודקת ב</w:t>
      </w:r>
      <w:r>
        <w:rPr>
          <w:rtl w:val="true"/>
        </w:rPr>
        <w:t>"</w:t>
      </w:r>
      <w:r>
        <w:rPr>
          <w:rtl w:val="true"/>
        </w:rPr>
        <w:t>כ המערער בטענתה</w:t>
      </w:r>
      <w:r>
        <w:rPr>
          <w:rtl w:val="true"/>
        </w:rPr>
        <w:t xml:space="preserve">, </w:t>
      </w:r>
      <w:r>
        <w:rPr>
          <w:rtl w:val="true"/>
        </w:rPr>
        <w:t xml:space="preserve">כי העונש שנגזר על המערער </w:t>
      </w:r>
      <w:r>
        <w:rPr>
          <w:rtl w:val="true"/>
        </w:rPr>
        <w:t>–</w:t>
      </w:r>
      <w:r>
        <w:rPr>
          <w:rtl w:val="true"/>
        </w:rPr>
        <w:t xml:space="preserve"> הריהו חמור</w:t>
      </w:r>
      <w:r>
        <w:rPr>
          <w:rtl w:val="true"/>
        </w:rPr>
        <w:t xml:space="preserve">;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איני סבור שהצדק עמה</w:t>
      </w:r>
      <w:r>
        <w:rPr>
          <w:rtl w:val="true"/>
        </w:rPr>
        <w:t xml:space="preserve">, </w:t>
      </w:r>
      <w:r>
        <w:rPr>
          <w:rtl w:val="true"/>
        </w:rPr>
        <w:t>בטענתה על כך שהשיקולים הייחודיים שיש לשקול בגזירת עונשם של קטינים</w:t>
      </w:r>
      <w:r>
        <w:rPr>
          <w:rtl w:val="true"/>
        </w:rPr>
        <w:t xml:space="preserve">, </w:t>
      </w:r>
      <w:r>
        <w:rPr>
          <w:rtl w:val="true"/>
        </w:rPr>
        <w:t>תומכים בדרישתה להתערב 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ולהקל בעונשו של המערער</w:t>
      </w:r>
      <w:r>
        <w:rPr>
          <w:rtl w:val="true"/>
        </w:rPr>
        <w:t xml:space="preserve">. </w:t>
      </w:r>
      <w:r>
        <w:rPr>
          <w:rtl w:val="true"/>
        </w:rPr>
        <w:t>הפרמטרים הנשקלים בעת גזירת דינו של קטין פורטו בהרחבה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49/09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גילו של הקטין</w:t>
      </w:r>
      <w:r>
        <w:rPr>
          <w:rtl w:val="true"/>
        </w:rPr>
        <w:t xml:space="preserve">; </w:t>
      </w:r>
      <w:r>
        <w:rPr>
          <w:rtl w:val="true"/>
        </w:rPr>
        <w:t>הבעת חרטה כנה ואמיתית על ביצוע העבירה</w:t>
      </w:r>
      <w:r>
        <w:rPr>
          <w:rtl w:val="true"/>
        </w:rPr>
        <w:t xml:space="preserve">, </w:t>
      </w:r>
      <w:r>
        <w:rPr>
          <w:rtl w:val="true"/>
        </w:rPr>
        <w:t>ונטילת אחריות על המעשים</w:t>
      </w:r>
      <w:r>
        <w:rPr>
          <w:rtl w:val="true"/>
        </w:rPr>
        <w:t xml:space="preserve">; </w:t>
      </w:r>
      <w:r>
        <w:rPr>
          <w:rtl w:val="true"/>
        </w:rPr>
        <w:t>עברו הפלילי של הקטין</w:t>
      </w:r>
      <w:r>
        <w:rPr>
          <w:rtl w:val="true"/>
        </w:rPr>
        <w:t xml:space="preserve">; </w:t>
      </w:r>
      <w:r>
        <w:rPr>
          <w:rtl w:val="true"/>
        </w:rPr>
        <w:t>סיכויי שיקום הקטין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חוות דעת של גורמי מקצוע</w:t>
      </w:r>
      <w:r>
        <w:rPr>
          <w:rtl w:val="true"/>
        </w:rPr>
        <w:t xml:space="preserve">; </w:t>
      </w:r>
      <w:r>
        <w:rPr>
          <w:rtl w:val="true"/>
        </w:rPr>
        <w:t>וחומרת המעשים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פועלים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וחלקם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החומרא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אך בהמשך הוסיף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]"</w:t>
      </w:r>
      <w:r>
        <w:rPr>
          <w:rtl w:val="true"/>
        </w:rPr>
        <w:t xml:space="preserve">. </w:t>
      </w:r>
      <w:r>
        <w:rPr>
          <w:rtl w:val="true"/>
        </w:rPr>
        <w:t>את מסקנתו זו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מבקשת ב</w:t>
      </w:r>
      <w:r>
        <w:rPr>
          <w:rtl w:val="true"/>
        </w:rPr>
        <w:t>"</w:t>
      </w:r>
      <w:r>
        <w:rPr>
          <w:rtl w:val="true"/>
        </w:rPr>
        <w:t>כ המערער לקעקע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הפרמטר </w:t>
      </w:r>
      <w:r>
        <w:rPr>
          <w:rFonts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 הוא הגיל</w:t>
      </w:r>
      <w:r>
        <w:rPr>
          <w:rtl w:val="true"/>
        </w:rPr>
        <w:t xml:space="preserve">;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אמנם היה כבן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וחצי בעת ביצוע העבירה</w:t>
      </w:r>
      <w:r>
        <w:rPr>
          <w:rtl w:val="true"/>
        </w:rPr>
        <w:t xml:space="preserve">, </w:t>
      </w:r>
      <w:r>
        <w:rPr>
          <w:rtl w:val="true"/>
        </w:rPr>
        <w:t>אלא ש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גיל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אינו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חזות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הכל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ונדרש היה לבחון גם את מידת בשלותו האישית</w:t>
      </w:r>
      <w:r>
        <w:rPr>
          <w:rtl w:val="true"/>
        </w:rPr>
        <w:t xml:space="preserve">. </w:t>
      </w:r>
      <w:r>
        <w:rPr>
          <w:rtl w:val="true"/>
        </w:rPr>
        <w:t>עוד הוסיפה ב</w:t>
      </w:r>
      <w:r>
        <w:rPr>
          <w:rtl w:val="true"/>
        </w:rPr>
        <w:t>"</w:t>
      </w:r>
      <w:r>
        <w:rPr>
          <w:rtl w:val="true"/>
        </w:rPr>
        <w:t>כ המערער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העובדה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שמערער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15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18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כדי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ללמד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האחד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יותר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ממשנהו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עקב נסיבות חייו הקשות</w:t>
      </w:r>
      <w:r>
        <w:rPr>
          <w:rtl w:val="true"/>
        </w:rPr>
        <w:t xml:space="preserve">, </w:t>
      </w:r>
      <w:r>
        <w:rPr>
          <w:rtl w:val="true"/>
        </w:rPr>
        <w:t>שבעטיין לא זכה לחינוך ולטיפוח הולמים</w:t>
      </w:r>
      <w:r>
        <w:rPr>
          <w:rtl w:val="true"/>
        </w:rPr>
        <w:t xml:space="preserve">, </w:t>
      </w:r>
      <w:r>
        <w:rPr>
          <w:rtl w:val="true"/>
        </w:rPr>
        <w:t>סבורה ב</w:t>
      </w:r>
      <w:r>
        <w:rPr>
          <w:rtl w:val="true"/>
        </w:rPr>
        <w:t>"</w:t>
      </w:r>
      <w:r>
        <w:rPr>
          <w:rtl w:val="true"/>
        </w:rPr>
        <w:t>כ המערער כי הוא זכאי ליחס מקל</w:t>
      </w:r>
      <w:r>
        <w:rPr>
          <w:rtl w:val="true"/>
        </w:rPr>
        <w:t xml:space="preserve">, </w:t>
      </w:r>
      <w:r>
        <w:rPr>
          <w:rtl w:val="true"/>
        </w:rPr>
        <w:t>כאילו היה צעיר בהרבה מכפי גילו האמיתי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עמדה זו איני יכול לקבל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 להתחשב גם במידת בגרותו של המערער</w:t>
      </w:r>
      <w:r>
        <w:rPr>
          <w:rtl w:val="true"/>
        </w:rPr>
        <w:t xml:space="preserve">, </w:t>
      </w:r>
      <w:r>
        <w:rPr>
          <w:rtl w:val="true"/>
        </w:rPr>
        <w:t>אך לגילו בעת ביצוע העבירה יש משמעות רבה</w:t>
      </w:r>
      <w:r>
        <w:rPr>
          <w:rtl w:val="true"/>
        </w:rPr>
        <w:t xml:space="preserve">; </w:t>
      </w:r>
      <w:r>
        <w:rPr>
          <w:rtl w:val="true"/>
        </w:rPr>
        <w:t xml:space="preserve">לא ניתן לנהוג בבן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וחצי כאילו היה בן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 xml:space="preserve">וכפי שמורנו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הנוער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לנוער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השאר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בגילו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בשעת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המערער היה סמוך</w:t>
      </w:r>
      <w:r>
        <w:rPr>
          <w:rtl w:val="true"/>
        </w:rPr>
        <w:t xml:space="preserve">, </w:t>
      </w:r>
      <w:r>
        <w:rPr>
          <w:rtl w:val="true"/>
        </w:rPr>
        <w:t>סמוך מאוד</w:t>
      </w:r>
      <w:r>
        <w:rPr>
          <w:rtl w:val="true"/>
        </w:rPr>
        <w:t xml:space="preserve">, </w:t>
      </w:r>
      <w:r>
        <w:rPr>
          <w:rtl w:val="true"/>
        </w:rPr>
        <w:t>לגיל בגירות</w:t>
      </w:r>
      <w:r>
        <w:rPr>
          <w:rtl w:val="true"/>
        </w:rPr>
        <w:t xml:space="preserve">, </w:t>
      </w:r>
      <w:r>
        <w:rPr>
          <w:rtl w:val="true"/>
        </w:rPr>
        <w:t xml:space="preserve">ולוּ היה חוצה את רף הבגירות </w:t>
      </w:r>
      <w:r>
        <w:rPr>
          <w:rtl w:val="true"/>
        </w:rPr>
        <w:t>–</w:t>
      </w:r>
      <w:r>
        <w:rPr>
          <w:rtl w:val="true"/>
        </w:rPr>
        <w:t xml:space="preserve"> היה עונשו חמור בהרבה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כל עוד לא חצה המערער את גיל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בעת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הוא משתייך לקטגוריה של </w:t>
      </w:r>
      <w:r>
        <w:rPr>
          <w:rtl w:val="true"/>
        </w:rPr>
        <w:t>'</w:t>
      </w:r>
      <w:r>
        <w:rPr>
          <w:rtl w:val="true"/>
        </w:rPr>
        <w:t>קטין</w:t>
      </w:r>
      <w:r>
        <w:rPr>
          <w:rtl w:val="true"/>
        </w:rPr>
        <w:t xml:space="preserve">' </w:t>
      </w:r>
      <w:r>
        <w:rPr>
          <w:rtl w:val="true"/>
        </w:rPr>
        <w:t xml:space="preserve">ואין לייחס לו מעמד משפטי של </w:t>
      </w:r>
      <w:r>
        <w:rPr>
          <w:rtl w:val="true"/>
        </w:rPr>
        <w:t>'</w:t>
      </w:r>
      <w:r>
        <w:rPr>
          <w:rtl w:val="true"/>
        </w:rPr>
        <w:t>בגיר</w:t>
      </w:r>
      <w:r>
        <w:rPr>
          <w:rtl w:val="true"/>
        </w:rPr>
        <w:t xml:space="preserve">' </w:t>
      </w:r>
      <w:r>
        <w:rPr>
          <w:rtl w:val="true"/>
        </w:rPr>
        <w:t>טרם זמנו</w:t>
      </w:r>
      <w:r>
        <w:rPr>
          <w:rtl w:val="true"/>
        </w:rPr>
        <w:t xml:space="preserve">, </w:t>
      </w:r>
      <w:r>
        <w:rPr>
          <w:rtl w:val="true"/>
        </w:rPr>
        <w:t xml:space="preserve">גם אם היה כפסע מגיל בגרות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6590/17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11.11.2018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אך שומה עלינו</w:t>
      </w:r>
      <w:r>
        <w:rPr>
          <w:rtl w:val="true"/>
        </w:rPr>
        <w:t xml:space="preserve">, </w:t>
      </w:r>
      <w:r>
        <w:rPr>
          <w:rtl w:val="true"/>
        </w:rPr>
        <w:t xml:space="preserve">בהתאם למצוות המחוקק </w:t>
      </w:r>
      <w:hyperlink r:id="rId7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tl w:val="true"/>
        </w:rPr>
        <w:t>להתחשב בגילו</w:t>
      </w:r>
      <w:r>
        <w:rPr>
          <w:rtl w:val="true"/>
        </w:rPr>
        <w:t xml:space="preserve">, </w:t>
      </w:r>
      <w:r>
        <w:rPr>
          <w:rtl w:val="true"/>
        </w:rPr>
        <w:t>ולזקוף לחובתו את הסמיכות הרבה לגיל הבגירות בעת קרות האירוע הפלילי</w:t>
      </w:r>
      <w:r>
        <w:rPr>
          <w:rtl w:val="true"/>
        </w:rPr>
        <w:t xml:space="preserve">. </w:t>
      </w:r>
      <w:r>
        <w:rPr>
          <w:rtl w:val="true"/>
        </w:rPr>
        <w:t>כפי שציין בית משפט זה בעבר</w:t>
      </w:r>
      <w:r>
        <w:rPr>
          <w:rtl w:val="true"/>
        </w:rPr>
        <w:t xml:space="preserve">,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במסגרת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שיקולי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הענישה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</w:t>
      </w:r>
      <w:r>
        <w:rPr>
          <w:rFonts w:cs="Miriam"/>
          <w:b/>
          <w:b/>
          <w:spacing w:val="0"/>
          <w:szCs w:val="24"/>
          <w:rtl w:val="true"/>
        </w:rPr>
        <w:t>ידרש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לגילו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העבריין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הקטין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ולשאלה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מצוי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סף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הבגירות</w:t>
      </w:r>
      <w:r>
        <w:rPr>
          <w:rFonts w:cs="Miriam"/>
          <w:b/>
          <w:spacing w:val="0"/>
          <w:szCs w:val="24"/>
          <w:rtl w:val="true"/>
        </w:rPr>
        <w:t xml:space="preserve">', </w:t>
      </w:r>
      <w:r>
        <w:rPr>
          <w:rFonts w:cs="Miriam"/>
          <w:b/>
          <w:b/>
          <w:spacing w:val="0"/>
          <w:szCs w:val="24"/>
          <w:rtl w:val="true"/>
        </w:rPr>
        <w:t>כשאז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המשקל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שיינתן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לעובדת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קטינותו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אינו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דרמטי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4618/12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</w:t>
      </w:r>
      <w:r>
        <w:rPr/>
        <w:t>7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8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4618/12</w:t>
        </w:r>
      </w:hyperlink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לגילו של המערער</w:t>
      </w:r>
      <w:r>
        <w:rPr>
          <w:rtl w:val="true"/>
        </w:rPr>
        <w:t xml:space="preserve">, </w:t>
      </w:r>
      <w:r>
        <w:rPr>
          <w:rtl w:val="true"/>
        </w:rPr>
        <w:t>הסמוך מאוד לגיל הבגירות</w:t>
      </w:r>
      <w:r>
        <w:rPr>
          <w:rtl w:val="true"/>
        </w:rPr>
        <w:t xml:space="preserve">, </w:t>
      </w:r>
      <w:r>
        <w:rPr>
          <w:rtl w:val="true"/>
        </w:rPr>
        <w:t>נודעת השפעה ניכרת על העונש שראוי לגזור עליו</w:t>
      </w:r>
      <w:r>
        <w:rPr>
          <w:rtl w:val="true"/>
        </w:rPr>
        <w:t xml:space="preserve">. </w:t>
      </w:r>
      <w:r>
        <w:rPr>
          <w:rtl w:val="true"/>
        </w:rPr>
        <w:t xml:space="preserve">למסקנה זו יש בית אחיזה בחקיקה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; </w:t>
      </w:r>
      <w:hyperlink r:id="rId8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לימור</w:t>
      </w:r>
      <w:r>
        <w:rPr>
          <w:rtl w:val="true"/>
        </w:rPr>
        <w:t xml:space="preserve"> </w:t>
      </w:r>
      <w:r>
        <w:rPr>
          <w:rtl w:val="true"/>
        </w:rPr>
        <w:t>עציוני</w:t>
      </w:r>
      <w:r>
        <w:rPr>
          <w:rtl w:val="true"/>
        </w:rPr>
        <w:t xml:space="preserve">, </w:t>
      </w:r>
      <w:hyperlink r:id="rId8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נוער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במשפט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/>
        <w:t>138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2019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20.12.2022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והיא כאמור עולה במובהק מן הפסיקה</w:t>
      </w:r>
      <w:r>
        <w:rPr>
          <w:rtl w:val="true"/>
        </w:rPr>
        <w:t xml:space="preserve">, </w:t>
      </w:r>
      <w:r>
        <w:rPr>
          <w:rtl w:val="true"/>
        </w:rPr>
        <w:t>אשר החמירה עם קטינים הסמוכים לרף הבגירות</w:t>
      </w:r>
      <w:r>
        <w:rPr>
          <w:rtl w:val="true"/>
        </w:rPr>
        <w:t xml:space="preserve">, </w:t>
      </w:r>
      <w:r>
        <w:rPr>
          <w:rtl w:val="true"/>
        </w:rPr>
        <w:t>יותר מאשר עם קטינים שביצעו עבירות בהיותם רחוקים מרף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אציין</w:t>
      </w:r>
      <w:r>
        <w:rPr>
          <w:rtl w:val="true"/>
        </w:rPr>
        <w:t xml:space="preserve">, </w:t>
      </w:r>
      <w:r>
        <w:rPr>
          <w:rtl w:val="true"/>
        </w:rPr>
        <w:t>כי מעיון בתסקירים כלל לא עולה</w:t>
      </w:r>
      <w:r>
        <w:rPr>
          <w:rtl w:val="true"/>
        </w:rPr>
        <w:t xml:space="preserve">, </w:t>
      </w:r>
      <w:r>
        <w:rPr>
          <w:rtl w:val="true"/>
        </w:rPr>
        <w:t>כפי שנטען על</w:t>
      </w:r>
      <w:r>
        <w:rPr>
          <w:rtl w:val="true"/>
        </w:rPr>
        <w:t>-</w:t>
      </w:r>
      <w:r>
        <w:rPr>
          <w:rtl w:val="true"/>
        </w:rPr>
        <w:t>ידי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שמדובר על נער שגילו אינו תואם את מידת בשלותו הפסיכולוגית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נראה שהמערער לא נחשף לשיח על מיניות טרם הגיעו למעון הנעול</w:t>
      </w:r>
      <w:r>
        <w:rPr>
          <w:rtl w:val="true"/>
        </w:rPr>
        <w:t xml:space="preserve">; </w:t>
      </w:r>
      <w:r>
        <w:rPr>
          <w:rtl w:val="true"/>
        </w:rPr>
        <w:t>ואולם מכך אין להסיק שמדובר באישיות כה בוסרית</w:t>
      </w:r>
      <w:r>
        <w:rPr>
          <w:rtl w:val="true"/>
        </w:rPr>
        <w:t xml:space="preserve">, </w:t>
      </w:r>
      <w:r>
        <w:rPr>
          <w:rtl w:val="true"/>
        </w:rPr>
        <w:t>המצדיקה התייחסות חריגה במיוחד</w:t>
      </w:r>
      <w:r>
        <w:rPr>
          <w:rtl w:val="true"/>
        </w:rPr>
        <w:t xml:space="preserve">, </w:t>
      </w:r>
      <w:r>
        <w:rPr>
          <w:rtl w:val="true"/>
        </w:rPr>
        <w:t>שלא בהתאם לגילה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ביחס לפרמטר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של הבעת חרטה כנה ואמיתית על ביצוע העבירה ונטילת אחריות על המעשים</w:t>
      </w:r>
      <w:r>
        <w:rPr>
          <w:rtl w:val="true"/>
        </w:rPr>
        <w:t xml:space="preserve">, </w:t>
      </w:r>
      <w:r>
        <w:rPr>
          <w:rtl w:val="true"/>
        </w:rPr>
        <w:t xml:space="preserve">נטען כי שגה בית המשפט המחוזי בקובעו שהמערער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להעמיק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ולגלות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אמפתיה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לסבלה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שכן קביעה זו עומדת בניגוד לתסקירי שירות המבחן המעודכנים</w:t>
      </w:r>
      <w:r>
        <w:rPr>
          <w:rtl w:val="true"/>
        </w:rPr>
        <w:t xml:space="preserve">, </w:t>
      </w:r>
      <w:r>
        <w:rPr>
          <w:rtl w:val="true"/>
        </w:rPr>
        <w:t>שהצביעו על חרטה ונטילת אחריות</w:t>
      </w:r>
      <w:r>
        <w:rPr>
          <w:rtl w:val="true"/>
        </w:rPr>
        <w:t xml:space="preserve">.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מן התסקירים בהחלט משתקפת מגמת שיפור משמעותית בהכרה מצדו של המערער בעבירה וקבלת אחריות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גם בתסקיר האחרון שהוגש לבית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4.9.2022</w:t>
      </w:r>
      <w:r>
        <w:rPr>
          <w:rtl w:val="true"/>
        </w:rPr>
        <w:t xml:space="preserve">, </w:t>
      </w:r>
      <w:r>
        <w:rPr>
          <w:rtl w:val="true"/>
        </w:rPr>
        <w:t xml:space="preserve">נאמר במפורש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התחיל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בהעמקת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עיבוד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העבירות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ההדגשות הוּספוּ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 xml:space="preserve">'); </w:t>
      </w:r>
      <w:r>
        <w:rPr>
          <w:rFonts w:ascii="Century" w:hAnsi="Century" w:cs="Century"/>
          <w:sz w:val="22"/>
          <w:sz w:val="22"/>
          <w:rtl w:val="true"/>
        </w:rPr>
        <w:t xml:space="preserve">קרי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בפני המערער עוד דרך ארוכה במישור החרטה וקבלת האחריות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דברים דומים עולים גם מהתסקיר מיום </w:t>
      </w:r>
      <w:r>
        <w:rPr/>
        <w:t>16.5.2023</w:t>
      </w:r>
      <w:r>
        <w:rPr>
          <w:rtl w:val="true"/>
        </w:rPr>
        <w:t xml:space="preserve">, </w:t>
      </w:r>
      <w:r>
        <w:rPr>
          <w:rtl w:val="true"/>
        </w:rPr>
        <w:t>שהוגש לעיוננו לקראת הדיון בערעור</w:t>
      </w:r>
      <w:r>
        <w:rPr>
          <w:rtl w:val="true"/>
        </w:rPr>
        <w:t xml:space="preserve">; </w:t>
      </w:r>
      <w:r>
        <w:rPr>
          <w:rtl w:val="true"/>
        </w:rPr>
        <w:t>מתסקיר עדכני זה</w:t>
      </w:r>
      <w:r>
        <w:rPr>
          <w:rtl w:val="true"/>
        </w:rPr>
        <w:t xml:space="preserve">, </w:t>
      </w:r>
      <w:r>
        <w:rPr>
          <w:rtl w:val="true"/>
        </w:rPr>
        <w:t>נושבת מחד גיסא</w:t>
      </w:r>
      <w:r>
        <w:rPr>
          <w:rtl w:val="true"/>
        </w:rPr>
        <w:t xml:space="preserve">, </w:t>
      </w:r>
      <w:r>
        <w:rPr>
          <w:rtl w:val="true"/>
        </w:rPr>
        <w:t>רוח חיובית מצד גורמי הטיפול</w:t>
      </w:r>
      <w:r>
        <w:rPr>
          <w:rtl w:val="true"/>
        </w:rPr>
        <w:t xml:space="preserve">, </w:t>
      </w:r>
      <w:r>
        <w:rPr>
          <w:rtl w:val="true"/>
        </w:rPr>
        <w:t>המזהים תהליך משמעותי מאוד של הבעת חרטה</w:t>
      </w:r>
      <w:r>
        <w:rPr>
          <w:rtl w:val="true"/>
        </w:rPr>
        <w:t xml:space="preserve">, </w:t>
      </w:r>
      <w:r>
        <w:rPr>
          <w:rtl w:val="true"/>
        </w:rPr>
        <w:t>אשר ניכר כי היא כנה ואמיתית</w:t>
      </w:r>
      <w:r>
        <w:rPr>
          <w:rtl w:val="true"/>
        </w:rPr>
        <w:t xml:space="preserve">;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גם תסקיר זה מדבר במונחים של הדרגתיות</w:t>
      </w:r>
      <w:r>
        <w:rPr>
          <w:rtl w:val="true"/>
        </w:rPr>
        <w:t xml:space="preserve">, </w:t>
      </w:r>
      <w:r>
        <w:rPr>
          <w:rtl w:val="true"/>
        </w:rPr>
        <w:t>ומציין כי עוד נדרש מהמערער לעבור כברת דרך</w:t>
      </w:r>
      <w:r>
        <w:rPr>
          <w:rtl w:val="true"/>
        </w:rPr>
        <w:t xml:space="preserve">. </w:t>
      </w:r>
      <w:r>
        <w:rPr>
          <w:rtl w:val="true"/>
        </w:rPr>
        <w:t>עולה אפוא</w:t>
      </w:r>
      <w:r>
        <w:rPr>
          <w:rtl w:val="true"/>
        </w:rPr>
        <w:t xml:space="preserve">, </w:t>
      </w:r>
      <w:r>
        <w:rPr>
          <w:rtl w:val="true"/>
        </w:rPr>
        <w:t>שהתייחסות בית המשפט המחוזי לתסקירים</w:t>
      </w:r>
      <w:r>
        <w:rPr>
          <w:rtl w:val="true"/>
        </w:rPr>
        <w:t xml:space="preserve">, </w:t>
      </w:r>
      <w:r>
        <w:rPr>
          <w:rtl w:val="true"/>
        </w:rPr>
        <w:t>גם אם אינה מקיפה את מלוא הישגיו של התהליך עד לנקודת הזמן שבה ניתן גזר הדין</w:t>
      </w:r>
      <w:r>
        <w:rPr>
          <w:rtl w:val="true"/>
        </w:rPr>
        <w:t xml:space="preserve">, </w:t>
      </w:r>
      <w:r>
        <w:rPr>
          <w:rtl w:val="true"/>
        </w:rPr>
        <w:t>ודאי לא סוטה במידה משמעותית מהתמונה המצטיירת בהם</w:t>
      </w:r>
      <w:r>
        <w:rPr>
          <w:rtl w:val="true"/>
        </w:rPr>
        <w:t xml:space="preserve">. </w:t>
      </w:r>
      <w:r>
        <w:rPr>
          <w:rtl w:val="true"/>
        </w:rPr>
        <w:t>לא זו בלבד</w:t>
      </w:r>
      <w:r>
        <w:rPr>
          <w:rtl w:val="true"/>
        </w:rPr>
        <w:t xml:space="preserve">, </w:t>
      </w:r>
      <w:r>
        <w:rPr>
          <w:rtl w:val="true"/>
        </w:rPr>
        <w:t>אלא שבית המשפט המחוזי לא הסתפק בכך</w:t>
      </w:r>
      <w:r>
        <w:rPr>
          <w:rtl w:val="true"/>
        </w:rPr>
        <w:t xml:space="preserve">, </w:t>
      </w:r>
      <w:r>
        <w:rPr>
          <w:rtl w:val="true"/>
        </w:rPr>
        <w:t>והוסיף במפורש ביחס לפרמטר זה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להודאתו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ביחס לפרמטר של הבעת חרטה ונטילת אחריות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לזכותו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]"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שהמערער כלל לא קוּפח בשעה שבית המשפט המחוזי שקל פרמטר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לגבי הפרמטר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עברוֹ הפלילי של הקטין </w:t>
      </w:r>
      <w:r>
        <w:rPr>
          <w:rtl w:val="true"/>
        </w:rPr>
        <w:t>–</w:t>
      </w:r>
      <w:r>
        <w:rPr>
          <w:rtl w:val="true"/>
        </w:rPr>
        <w:t xml:space="preserve"> נטען כי אין לראות את עבירות ההתפרצות בנפרד</w:t>
      </w:r>
      <w:r>
        <w:rPr>
          <w:rtl w:val="true"/>
        </w:rPr>
        <w:t xml:space="preserve">, </w:t>
      </w:r>
      <w:r>
        <w:rPr>
          <w:rtl w:val="true"/>
        </w:rPr>
        <w:t>אלא כעניין השזור יחד עם הנדון דידן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לאור העובדה ששותפו לעבירת ההתפרצות </w:t>
      </w:r>
      <w:r>
        <w:rPr>
          <w:rtl w:val="true"/>
        </w:rPr>
        <w:t>–</w:t>
      </w:r>
      <w:r>
        <w:rPr>
          <w:rtl w:val="true"/>
        </w:rPr>
        <w:t xml:space="preserve"> אשר חלקו בביצוע העבירות היה גדול יותר</w:t>
      </w:r>
      <w:r>
        <w:rPr>
          <w:rtl w:val="true"/>
        </w:rPr>
        <w:t xml:space="preserve">, </w:t>
      </w:r>
      <w:r>
        <w:rPr>
          <w:rtl w:val="true"/>
        </w:rPr>
        <w:t xml:space="preserve">והליך שיקומו היה נחות באיכותו </w:t>
      </w:r>
      <w:r>
        <w:rPr>
          <w:rtl w:val="true"/>
        </w:rPr>
        <w:t>–</w:t>
      </w:r>
      <w:r>
        <w:rPr>
          <w:rtl w:val="true"/>
        </w:rPr>
        <w:t xml:space="preserve"> נשפט לדרכי טיפול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הנתונים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עיינתי בגזר הדין</w:t>
      </w:r>
      <w:r>
        <w:rPr>
          <w:rtl w:val="true"/>
        </w:rPr>
        <w:t xml:space="preserve">, </w:t>
      </w:r>
      <w:r>
        <w:rPr>
          <w:rtl w:val="true"/>
        </w:rPr>
        <w:t>ואיני סבור שבית המשפט המחוזי ראה פרמטר זה 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כדברי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. </w:t>
      </w:r>
      <w:r>
        <w:rPr>
          <w:rtl w:val="true"/>
        </w:rPr>
        <w:t>בית המשפט המחוזי התייחס לכך שאין למערער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עובר לראשית שנת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שנתון זה אינו ממצה את התמונה המלאה</w:t>
      </w:r>
      <w:r>
        <w:rPr>
          <w:rtl w:val="true"/>
        </w:rPr>
        <w:t xml:space="preserve">, </w:t>
      </w:r>
      <w:r>
        <w:rPr>
          <w:rtl w:val="true"/>
        </w:rPr>
        <w:t>שכן התנהל נגד המערער</w:t>
      </w:r>
      <w:r>
        <w:rPr>
          <w:rtl w:val="true"/>
        </w:rPr>
        <w:t xml:space="preserve">, </w:t>
      </w:r>
      <w:r>
        <w:rPr>
          <w:rtl w:val="true"/>
        </w:rPr>
        <w:t>אותה שעה</w:t>
      </w:r>
      <w:r>
        <w:rPr>
          <w:rtl w:val="true"/>
        </w:rPr>
        <w:t xml:space="preserve">, </w:t>
      </w:r>
      <w:r>
        <w:rPr>
          <w:rtl w:val="true"/>
        </w:rPr>
        <w:t>הליך משפטי נוסף בגין ריבוי עבירות רכוש</w:t>
      </w:r>
      <w:r>
        <w:rPr>
          <w:rtl w:val="true"/>
        </w:rPr>
        <w:t xml:space="preserve">. </w:t>
      </w:r>
      <w:r>
        <w:rPr>
          <w:rtl w:val="true"/>
        </w:rPr>
        <w:t>מנקודת מבטי</w:t>
      </w:r>
      <w:r>
        <w:rPr>
          <w:rtl w:val="true"/>
        </w:rPr>
        <w:t xml:space="preserve">, </w:t>
      </w:r>
      <w:r>
        <w:rPr>
          <w:rtl w:val="true"/>
        </w:rPr>
        <w:t>ובניגוד לדברי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עמדתו של בית המשפט המחוזי בסוגיה זו</w:t>
      </w:r>
      <w:r>
        <w:rPr>
          <w:rtl w:val="true"/>
        </w:rPr>
        <w:t xml:space="preserve">, </w:t>
      </w:r>
      <w:r>
        <w:rPr>
          <w:rtl w:val="true"/>
        </w:rPr>
        <w:t>לא רק שאינה מחמירה עמו יתר על המידה</w:t>
      </w:r>
      <w:r>
        <w:rPr>
          <w:rtl w:val="true"/>
        </w:rPr>
        <w:t xml:space="preserve">, </w:t>
      </w:r>
      <w:r>
        <w:rPr>
          <w:rtl w:val="true"/>
        </w:rPr>
        <w:t>אלא במידה רבה</w:t>
      </w:r>
      <w:r>
        <w:rPr>
          <w:rtl w:val="true"/>
        </w:rPr>
        <w:t xml:space="preserve">, </w:t>
      </w:r>
      <w:r>
        <w:rPr>
          <w:rtl w:val="true"/>
        </w:rPr>
        <w:t>עושה עִמו חסד</w:t>
      </w:r>
      <w:r>
        <w:rPr>
          <w:rtl w:val="true"/>
        </w:rPr>
        <w:t xml:space="preserve">.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חומרה יתרה</w:t>
      </w:r>
      <w:r>
        <w:rPr>
          <w:rtl w:val="true"/>
        </w:rPr>
        <w:t xml:space="preserve">, </w:t>
      </w:r>
      <w:r>
        <w:rPr>
          <w:rtl w:val="true"/>
        </w:rPr>
        <w:t>מרחיקת לכת</w:t>
      </w:r>
      <w:r>
        <w:rPr>
          <w:rtl w:val="true"/>
        </w:rPr>
        <w:t xml:space="preserve">, </w:t>
      </w:r>
      <w:r>
        <w:rPr>
          <w:rtl w:val="true"/>
        </w:rPr>
        <w:t>מצויה במעשים הפליליים הנוספים שביצע המערער</w:t>
      </w:r>
      <w:r>
        <w:rPr>
          <w:rtl w:val="true"/>
        </w:rPr>
        <w:t xml:space="preserve">, </w:t>
      </w:r>
      <w:r>
        <w:rPr>
          <w:rtl w:val="true"/>
        </w:rPr>
        <w:t>המצטרפים לאירוע החמור הנדון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לעובדה שהמערער ביצע עבירות התפרצות ועבירות רכוש סמוך לפני ביצוע העבירות הנדונות</w:t>
      </w:r>
      <w:r>
        <w:rPr>
          <w:rtl w:val="true"/>
        </w:rPr>
        <w:t xml:space="preserve">, </w:t>
      </w:r>
      <w:r>
        <w:rPr>
          <w:rtl w:val="true"/>
        </w:rPr>
        <w:t xml:space="preserve">וחמור בהרבה </w:t>
      </w:r>
      <w:r>
        <w:rPr>
          <w:rtl w:val="true"/>
        </w:rPr>
        <w:t>–</w:t>
      </w:r>
      <w:r>
        <w:rPr>
          <w:rtl w:val="true"/>
        </w:rPr>
        <w:t xml:space="preserve"> גם סמוך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ביצוע העבירות</w:t>
      </w:r>
      <w:r>
        <w:rPr>
          <w:rtl w:val="true"/>
        </w:rPr>
        <w:t xml:space="preserve">, </w:t>
      </w:r>
      <w:r>
        <w:rPr>
          <w:rtl w:val="true"/>
        </w:rPr>
        <w:t>יש משמעות נכבדה</w:t>
      </w:r>
      <w:r>
        <w:rPr>
          <w:rtl w:val="true"/>
        </w:rPr>
        <w:t xml:space="preserve">, </w:t>
      </w:r>
      <w:r>
        <w:rPr>
          <w:rtl w:val="true"/>
        </w:rPr>
        <w:t>הרבה יותר מזו הנודעת לעברו הפלילי הרחוק</w:t>
      </w:r>
      <w:r>
        <w:rPr>
          <w:rtl w:val="true"/>
        </w:rPr>
        <w:t xml:space="preserve">, </w:t>
      </w:r>
      <w:r>
        <w:rPr>
          <w:rtl w:val="true"/>
        </w:rPr>
        <w:t>שעשוי היה</w:t>
      </w:r>
      <w:r>
        <w:rPr>
          <w:rtl w:val="true"/>
        </w:rPr>
        <w:t xml:space="preserve">, </w:t>
      </w:r>
      <w:r>
        <w:rPr>
          <w:rtl w:val="true"/>
        </w:rPr>
        <w:t>תיאורטית</w:t>
      </w:r>
      <w:r>
        <w:rPr>
          <w:rtl w:val="true"/>
        </w:rPr>
        <w:t xml:space="preserve">, </w:t>
      </w:r>
      <w:r>
        <w:rPr>
          <w:rtl w:val="true"/>
        </w:rPr>
        <w:t>לכלול עבירות שאינן ממינן של אלו שעליהן נשפט כעת</w:t>
      </w:r>
      <w:r>
        <w:rPr>
          <w:rtl w:val="true"/>
        </w:rPr>
        <w:t xml:space="preserve">.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>מן הדין לשקול פרמטר זה לחומרה</w:t>
      </w:r>
      <w:r>
        <w:rPr>
          <w:rtl w:val="true"/>
        </w:rPr>
        <w:t xml:space="preserve">, </w:t>
      </w:r>
      <w:r>
        <w:rPr>
          <w:rtl w:val="true"/>
        </w:rPr>
        <w:t>ולזקוף אותו לחובת המערער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ביחס לפרמטר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שעניינו בסיכויי שיקומו של העבריין הקטין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עיינתי בנימוקי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מצאתי טרוניה על 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אך חזרה על קביעותיו המפורשות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חרף גורמי סיכון ממשיים שנזכרו בתסקירים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ואשר הובילו את שירות המבחן להמליץ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חריג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על הרשעת המערער ועל ענישתו במאסר במעון נעול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סיכויי השיקום של המערער משמעותיים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והסיכון הנשקף ממנו כיום פחת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לא בכדי אפוא</w:t>
      </w:r>
      <w:r>
        <w:rPr>
          <w:rtl w:val="true"/>
        </w:rPr>
        <w:t xml:space="preserve">, </w:t>
      </w:r>
      <w:r>
        <w:rPr>
          <w:rtl w:val="true"/>
        </w:rPr>
        <w:t>אף ב</w:t>
      </w:r>
      <w:r>
        <w:rPr>
          <w:rtl w:val="true"/>
        </w:rPr>
        <w:t>"</w:t>
      </w:r>
      <w:r>
        <w:rPr>
          <w:rtl w:val="true"/>
        </w:rPr>
        <w:t>כ המערער עצמה אינה סבורה שנפל פגם בקביעה זו</w:t>
      </w:r>
      <w:r>
        <w:rPr>
          <w:rtl w:val="true"/>
        </w:rPr>
        <w:t xml:space="preserve">, </w:t>
      </w:r>
      <w:r>
        <w:rPr>
          <w:rtl w:val="true"/>
        </w:rPr>
        <w:t>ופרמטר זה נשקל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בהתייחסו לפרמטר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עניינו בחומרת המעשים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קבע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מכירה אמנם ב</w:t>
      </w:r>
      <w:r>
        <w:rPr>
          <w:rtl w:val="true"/>
        </w:rPr>
        <w:t>"</w:t>
      </w:r>
      <w:r>
        <w:rPr>
          <w:rtl w:val="true"/>
        </w:rPr>
        <w:t>כ המערער בחומרת המעשים שביצע</w:t>
      </w:r>
      <w:r>
        <w:rPr>
          <w:rtl w:val="true"/>
        </w:rPr>
        <w:t xml:space="preserve">, </w:t>
      </w:r>
      <w:r>
        <w:rPr>
          <w:rtl w:val="true"/>
        </w:rPr>
        <w:t xml:space="preserve">אך סבורה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פרמטר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הפרמטרים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טענה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שהורשעו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במישור העקרוני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הצדק כמובן עִם דבריה אלו של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ראוי לייחס משקל נכבד לעצם מעמד הקטינוּת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כשמדובר בעבירות חמורות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הן בשל המידה הפחותה של האחריות והאשמה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הן מחמת פגיעתה הקשה יותר של הענישה בקטינים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הן בעטיים של שיקולי השיקום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המחוזי ציין זאת במפורש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ברור אפוא על מה קובלת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 המערער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מקומם של שיקולים אלו לא נפקד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והם נשקלו לזכות המערער במסגרת הפרמטר הרביעי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אין בהם כדי להקהות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בכהוא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מחומרתם היתרה של מעשיו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העולה מן האמור הוא</w:t>
      </w:r>
      <w:r>
        <w:rPr>
          <w:rtl w:val="true"/>
        </w:rPr>
        <w:t xml:space="preserve">, </w:t>
      </w:r>
      <w:r>
        <w:rPr>
          <w:rtl w:val="true"/>
        </w:rPr>
        <w:t>כי אין לקבל את מסקנת ב</w:t>
      </w:r>
      <w:r>
        <w:rPr>
          <w:rtl w:val="true"/>
        </w:rPr>
        <w:t>"</w:t>
      </w:r>
      <w:r>
        <w:rPr>
          <w:rtl w:val="true"/>
        </w:rPr>
        <w:t xml:space="preserve">כ המערער לפיה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שסקר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הקריטריונים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בצדק ציין בית המשפט המחוזי שמרבית השיקולים נוטים לחומרה</w:t>
      </w:r>
      <w:r>
        <w:rPr>
          <w:rtl w:val="true"/>
        </w:rPr>
        <w:t xml:space="preserve">, </w:t>
      </w:r>
      <w:r>
        <w:rPr>
          <w:rtl w:val="true"/>
        </w:rPr>
        <w:t>ולא מצאתי כי נפלה שגגה בקביעותיו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הטענה</w:t>
      </w:r>
      <w:r>
        <w:rPr>
          <w:rtl w:val="true"/>
        </w:rPr>
        <w:t xml:space="preserve">, </w:t>
      </w:r>
      <w:r>
        <w:rPr>
          <w:rtl w:val="true"/>
        </w:rPr>
        <w:t xml:space="preserve">לפיה התעלם בית המשפט המחוזי ממספר שיקולים נוספים </w:t>
      </w:r>
      <w:r>
        <w:rPr>
          <w:rtl w:val="true"/>
        </w:rPr>
        <w:t>–</w:t>
      </w:r>
      <w:r>
        <w:rPr>
          <w:rtl w:val="true"/>
        </w:rPr>
        <w:t xml:space="preserve"> אין לה על מה שתסמוך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שלא יוּחס משקל ממשי לתיקון שנעשה בכתב האישום</w:t>
      </w:r>
      <w:r>
        <w:rPr>
          <w:rtl w:val="true"/>
        </w:rPr>
        <w:t xml:space="preserve">, </w:t>
      </w:r>
      <w:r>
        <w:rPr>
          <w:rtl w:val="true"/>
        </w:rPr>
        <w:t>לעובדה שנחסכה העדת נפגעת העבירה</w:t>
      </w:r>
      <w:r>
        <w:rPr>
          <w:rtl w:val="true"/>
        </w:rPr>
        <w:t xml:space="preserve">, </w:t>
      </w:r>
      <w:r>
        <w:rPr>
          <w:rtl w:val="true"/>
        </w:rPr>
        <w:t>לקבלת האחריות ולגילוי האמפתיה מצדו של המערער</w:t>
      </w:r>
      <w:r>
        <w:rPr>
          <w:rtl w:val="true"/>
        </w:rPr>
        <w:t xml:space="preserve">, </w:t>
      </w:r>
      <w:r>
        <w:rPr>
          <w:rtl w:val="true"/>
        </w:rPr>
        <w:t>להליך השיקומי ולנסיבות חייו העגומות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שיקולים אלה נזכרו במפורש</w:t>
      </w:r>
      <w:r>
        <w:rPr>
          <w:rtl w:val="true"/>
        </w:rPr>
        <w:t xml:space="preserve">, </w:t>
      </w:r>
      <w:r>
        <w:rPr>
          <w:rtl w:val="true"/>
        </w:rPr>
        <w:t>נדונו בהרחבה בגזר הדין</w:t>
      </w:r>
      <w:r>
        <w:rPr>
          <w:rtl w:val="true"/>
        </w:rPr>
        <w:t xml:space="preserve">, </w:t>
      </w:r>
      <w:r>
        <w:rPr>
          <w:rtl w:val="true"/>
        </w:rPr>
        <w:t>ואף השפיעו על גזירת העונש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המערער הפנתה בנימוקי הערעור לשורה של גזרי דין</w:t>
      </w:r>
      <w:r>
        <w:rPr>
          <w:rtl w:val="true"/>
        </w:rPr>
        <w:t xml:space="preserve">, </w:t>
      </w:r>
      <w:r>
        <w:rPr>
          <w:rtl w:val="true"/>
        </w:rPr>
        <w:t>המסייעים לשיטתה</w:t>
      </w:r>
      <w:r>
        <w:rPr>
          <w:rtl w:val="true"/>
        </w:rPr>
        <w:t xml:space="preserve">, </w:t>
      </w:r>
      <w:r>
        <w:rPr>
          <w:rtl w:val="true"/>
        </w:rPr>
        <w:t>לטענתה כי בית המשפט המחוזי נהג בחומרה עם המערער</w:t>
      </w:r>
      <w:r>
        <w:rPr>
          <w:rtl w:val="true"/>
        </w:rPr>
        <w:t xml:space="preserve">, </w:t>
      </w:r>
      <w:r>
        <w:rPr>
          <w:rtl w:val="true"/>
        </w:rPr>
        <w:t>וכי מן הדין להקל בעונשו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 עלה בידי ב</w:t>
      </w:r>
      <w:r>
        <w:rPr>
          <w:rtl w:val="true"/>
        </w:rPr>
        <w:t>"</w:t>
      </w:r>
      <w:r>
        <w:rPr>
          <w:rtl w:val="true"/>
        </w:rPr>
        <w:t>כ המערער להצביע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עניין דומה</w:t>
      </w:r>
      <w:r>
        <w:rPr>
          <w:rtl w:val="true"/>
        </w:rPr>
        <w:t xml:space="preserve">, </w:t>
      </w:r>
      <w:r>
        <w:rPr>
          <w:rtl w:val="true"/>
        </w:rPr>
        <w:t xml:space="preserve">שבו נסיבות חריגות בחומרתן הדומות לאלו שלפנינו </w:t>
      </w:r>
      <w:r>
        <w:rPr>
          <w:rtl w:val="true"/>
        </w:rPr>
        <w:t>–</w:t>
      </w:r>
      <w:r>
        <w:rPr>
          <w:rtl w:val="true"/>
        </w:rPr>
        <w:t xml:space="preserve"> ביצוע עבירות מין</w:t>
      </w:r>
      <w:r>
        <w:rPr>
          <w:rtl w:val="true"/>
        </w:rPr>
        <w:t xml:space="preserve">, </w:t>
      </w:r>
      <w:r>
        <w:rPr>
          <w:rtl w:val="true"/>
        </w:rPr>
        <w:t>במיטה של הנפגעת הקטינה</w:t>
      </w:r>
      <w:r>
        <w:rPr>
          <w:rtl w:val="true"/>
        </w:rPr>
        <w:t xml:space="preserve">, </w:t>
      </w:r>
      <w:r>
        <w:rPr>
          <w:rtl w:val="true"/>
        </w:rPr>
        <w:t>אגב עבירת התפרצות לבית</w:t>
      </w:r>
      <w:r>
        <w:rPr>
          <w:rtl w:val="true"/>
        </w:rPr>
        <w:t xml:space="preserve">, </w:t>
      </w:r>
      <w:r>
        <w:rPr>
          <w:rtl w:val="true"/>
        </w:rPr>
        <w:t>באישון ליל</w:t>
      </w:r>
      <w:r>
        <w:rPr>
          <w:rtl w:val="true"/>
        </w:rPr>
        <w:t xml:space="preserve">. </w:t>
      </w:r>
      <w:r>
        <w:rPr>
          <w:rtl w:val="true"/>
        </w:rPr>
        <w:t>כפי שציינה ב</w:t>
      </w:r>
      <w:r>
        <w:rPr>
          <w:rtl w:val="true"/>
        </w:rPr>
        <w:t>"</w:t>
      </w:r>
      <w:r>
        <w:rPr>
          <w:rtl w:val="true"/>
        </w:rPr>
        <w:t xml:space="preserve">כ המדינה </w:t>
      </w:r>
      <w:r>
        <w:rPr>
          <w:rtl w:val="true"/>
        </w:rPr>
        <w:t>–</w:t>
      </w:r>
      <w:r>
        <w:rPr>
          <w:rtl w:val="true"/>
        </w:rPr>
        <w:t xml:space="preserve"> ואף ב</w:t>
      </w:r>
      <w:r>
        <w:rPr>
          <w:rtl w:val="true"/>
        </w:rPr>
        <w:t>"</w:t>
      </w:r>
      <w:r>
        <w:rPr>
          <w:rtl w:val="true"/>
        </w:rPr>
        <w:t xml:space="preserve">כ המערער הכירה בכך במהלך הדיון בערעור </w:t>
      </w:r>
      <w:r>
        <w:rPr>
          <w:rtl w:val="true"/>
        </w:rPr>
        <w:t>–</w:t>
      </w:r>
      <w:r>
        <w:rPr>
          <w:rtl w:val="true"/>
        </w:rPr>
        <w:t xml:space="preserve"> בפסיקה לא נדונה מסכת עובדתית דומה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דברי ב</w:t>
      </w:r>
      <w:r>
        <w:rPr>
          <w:rtl w:val="true"/>
        </w:rPr>
        <w:t>"</w:t>
      </w:r>
      <w:r>
        <w:rPr>
          <w:rtl w:val="true"/>
        </w:rPr>
        <w:t>כ המערער ב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דיון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24.5.2023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אף אני יגעתי </w:t>
      </w:r>
      <w:r>
        <w:rPr>
          <w:rtl w:val="true"/>
        </w:rPr>
        <w:t>–</w:t>
      </w:r>
      <w:r>
        <w:rPr>
          <w:rtl w:val="true"/>
        </w:rPr>
        <w:t xml:space="preserve"> ולא מצאתי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בכל גזרי הדין שאליהם הפנתה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שהצדיקו לדבריה הקלה בעונש</w:t>
      </w:r>
      <w:r>
        <w:rPr>
          <w:rtl w:val="true"/>
        </w:rPr>
        <w:t xml:space="preserve">, </w:t>
      </w:r>
      <w:r>
        <w:rPr>
          <w:rtl w:val="true"/>
        </w:rPr>
        <w:t>ניתן להצביע על צדדים לקוּלא וצדדים לחומרה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בחלק מגזרי הדין בהם העבירה אכן היתה חמורה יותר</w:t>
      </w:r>
      <w:r>
        <w:rPr>
          <w:rtl w:val="true"/>
        </w:rPr>
        <w:t xml:space="preserve">, </w:t>
      </w:r>
      <w:r>
        <w:rPr>
          <w:rtl w:val="true"/>
        </w:rPr>
        <w:t xml:space="preserve">או שהאופק השיקומי לא נחזה להיות חיובי </w:t>
      </w:r>
      <w:r>
        <w:rPr>
          <w:rtl w:val="true"/>
        </w:rPr>
        <w:t>–</w:t>
      </w:r>
      <w:r>
        <w:rPr>
          <w:rtl w:val="true"/>
        </w:rPr>
        <w:t xml:space="preserve"> נסיבות הביצוע היו פחותות בחומרתן במידה ניכרת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/>
        <w:t>3732/19</w:t>
      </w:r>
      <w:r>
        <w:rPr>
          <w:rtl w:val="true"/>
        </w:rPr>
        <w:t xml:space="preserve">;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4150/09</w:t>
        </w:r>
      </w:hyperlink>
      <w:r>
        <w:rPr>
          <w:rtl w:val="true"/>
        </w:rPr>
        <w:t xml:space="preserve">); </w:t>
      </w:r>
      <w:r>
        <w:rPr>
          <w:rtl w:val="true"/>
        </w:rPr>
        <w:t>בגזרי דין אחרים</w:t>
      </w:r>
      <w:r>
        <w:rPr>
          <w:rtl w:val="true"/>
        </w:rPr>
        <w:t xml:space="preserve">, </w:t>
      </w:r>
      <w:r>
        <w:rPr>
          <w:rtl w:val="true"/>
        </w:rPr>
        <w:t xml:space="preserve">שאופי העבירה בהם היה חמור </w:t>
      </w:r>
      <w:r>
        <w:rPr>
          <w:rtl w:val="true"/>
        </w:rPr>
        <w:t>–</w:t>
      </w:r>
      <w:r>
        <w:rPr>
          <w:rtl w:val="true"/>
        </w:rPr>
        <w:t xml:space="preserve"> גילו של העבריין היה נמוך מזה של המערער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8863/15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5776/22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כאשר הנסיבות היו חמורות</w:t>
      </w:r>
      <w:r>
        <w:rPr>
          <w:rtl w:val="true"/>
        </w:rPr>
        <w:t xml:space="preserve">, </w:t>
      </w:r>
      <w:r>
        <w:rPr>
          <w:rtl w:val="true"/>
        </w:rPr>
        <w:t>לא היתה הסתבכות פלילית נוספת</w:t>
      </w:r>
      <w:r>
        <w:rPr>
          <w:rtl w:val="true"/>
        </w:rPr>
        <w:t xml:space="preserve">, </w:t>
      </w:r>
      <w:r>
        <w:rPr>
          <w:rtl w:val="true"/>
        </w:rPr>
        <w:t>אלא דוּבּר באירוע חד</w:t>
      </w:r>
      <w:r>
        <w:rPr>
          <w:rtl w:val="true"/>
        </w:rPr>
        <w:t>-</w:t>
      </w:r>
      <w:r>
        <w:rPr>
          <w:rtl w:val="true"/>
        </w:rPr>
        <w:t xml:space="preserve">פעמי והתסקירים היו נחרצים הרבה יותר בהמלצתם החיובית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7870/19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או שפער הגילאים היה קטן</w:t>
      </w:r>
      <w:r>
        <w:rPr>
          <w:rtl w:val="true"/>
        </w:rPr>
        <w:t xml:space="preserve">, </w:t>
      </w:r>
      <w:r>
        <w:rPr>
          <w:rtl w:val="true"/>
        </w:rPr>
        <w:t>והנזק שנגרם לנפגע העבירה היה מוגבל יחסית בהיקפו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8978/18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</w:t>
      </w:r>
      <w:r>
        <w:rPr/>
        <w:t>.</w:t>
      </w:r>
      <w:r>
        <w:rPr/>
        <w:t>2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וכן על זו הדרך </w:t>
      </w:r>
      <w:r>
        <w:rPr>
          <w:rtl w:val="true"/>
        </w:rPr>
        <w:t>–</w:t>
      </w:r>
      <w:r>
        <w:rPr>
          <w:rtl w:val="true"/>
        </w:rPr>
        <w:t xml:space="preserve"> בחינת כלל גזרי הדין שאליהם הפנתה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המצביעים לכאורה על ענישה מקילה מזו שהושתה על המערער</w:t>
      </w:r>
      <w:r>
        <w:rPr>
          <w:rtl w:val="true"/>
        </w:rPr>
        <w:t xml:space="preserve">, </w:t>
      </w:r>
      <w:r>
        <w:rPr>
          <w:rtl w:val="true"/>
        </w:rPr>
        <w:t>מעלה כי ניתן לזהות בהם רכיב אחד לפחות</w:t>
      </w:r>
      <w:r>
        <w:rPr>
          <w:rtl w:val="true"/>
        </w:rPr>
        <w:t xml:space="preserve">, </w:t>
      </w:r>
      <w:r>
        <w:rPr>
          <w:rtl w:val="true"/>
        </w:rPr>
        <w:t>המספק הסבר לעונש קל יחסית שניתן בהם</w:t>
      </w:r>
      <w:r>
        <w:rPr>
          <w:rtl w:val="true"/>
        </w:rPr>
        <w:t xml:space="preserve">, </w:t>
      </w:r>
      <w:r>
        <w:rPr>
          <w:rtl w:val="true"/>
        </w:rPr>
        <w:t>בהשוואה לעונשו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מבין השיטין</w:t>
      </w:r>
      <w:r>
        <w:rPr>
          <w:rtl w:val="true"/>
        </w:rPr>
        <w:t xml:space="preserve">, </w:t>
      </w:r>
      <w:r>
        <w:rPr>
          <w:rtl w:val="true"/>
        </w:rPr>
        <w:t>ועל יסוד המסקנה שאליה מבקשת ב</w:t>
      </w:r>
      <w:r>
        <w:rPr>
          <w:rtl w:val="true"/>
        </w:rPr>
        <w:t>"</w:t>
      </w:r>
      <w:r>
        <w:rPr>
          <w:rtl w:val="true"/>
        </w:rPr>
        <w:t>כ המערער להוליך אותנו למקרא פסקי הדין השונים</w:t>
      </w:r>
      <w:r>
        <w:rPr>
          <w:rtl w:val="true"/>
        </w:rPr>
        <w:t xml:space="preserve">, </w:t>
      </w:r>
      <w:r>
        <w:rPr>
          <w:rtl w:val="true"/>
        </w:rPr>
        <w:t>עולה כי היא אינה רואה עין בעין עם בית המשפט המחוזי</w:t>
      </w:r>
      <w:r>
        <w:rPr>
          <w:rtl w:val="true"/>
        </w:rPr>
        <w:t xml:space="preserve">, </w:t>
      </w:r>
      <w:r>
        <w:rPr>
          <w:rtl w:val="true"/>
        </w:rPr>
        <w:t>את הנסיבה של התפרצות לבית</w:t>
      </w:r>
      <w:r>
        <w:rPr>
          <w:rtl w:val="true"/>
        </w:rPr>
        <w:t xml:space="preserve">, </w:t>
      </w:r>
      <w:r>
        <w:rPr>
          <w:rtl w:val="true"/>
        </w:rPr>
        <w:t xml:space="preserve">שהתלוותה לעבירת המין </w:t>
      </w:r>
      <w:r>
        <w:rPr>
          <w:rtl w:val="true"/>
        </w:rPr>
        <w:t>–</w:t>
      </w:r>
      <w:r>
        <w:rPr>
          <w:rtl w:val="true"/>
        </w:rPr>
        <w:t xml:space="preserve"> כנסיבה כה חמורה</w:t>
      </w:r>
      <w:r>
        <w:rPr>
          <w:rtl w:val="true"/>
        </w:rPr>
        <w:t xml:space="preserve">. </w:t>
      </w:r>
      <w:r>
        <w:rPr>
          <w:rtl w:val="true"/>
        </w:rPr>
        <w:t>הגם שהטענה לא הומשׂגה כך בערעור במפורש</w:t>
      </w:r>
      <w:r>
        <w:rPr>
          <w:rtl w:val="true"/>
        </w:rPr>
        <w:t xml:space="preserve">, </w:t>
      </w:r>
      <w:r>
        <w:rPr>
          <w:rtl w:val="true"/>
        </w:rPr>
        <w:t>מאופן ההשוואה ניתן להבין כי מנקודת מבטה של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הנסיבות הסובבות את ביצוע העבירה</w:t>
      </w:r>
      <w:r>
        <w:rPr>
          <w:rtl w:val="true"/>
        </w:rPr>
        <w:t xml:space="preserve">, </w:t>
      </w:r>
      <w:r>
        <w:rPr>
          <w:rtl w:val="true"/>
        </w:rPr>
        <w:t>אינן צריכות להוות גורם משמעותי בגזירת העונש</w:t>
      </w:r>
      <w:r>
        <w:rPr>
          <w:rtl w:val="true"/>
        </w:rPr>
        <w:t xml:space="preserve">. </w:t>
      </w:r>
      <w:r>
        <w:rPr>
          <w:rtl w:val="true"/>
        </w:rPr>
        <w:t xml:space="preserve">גישה זו </w:t>
      </w:r>
      <w:r>
        <w:rPr>
          <w:rtl w:val="true"/>
        </w:rPr>
        <w:t>–</w:t>
      </w:r>
      <w:r>
        <w:rPr>
          <w:rtl w:val="true"/>
        </w:rPr>
        <w:t xml:space="preserve"> אין לקבל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בניגוד לעמדת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כי לנסיבות ביצוע העבירה יש לייחס משקל ממשי</w:t>
      </w:r>
      <w:r>
        <w:rPr>
          <w:rtl w:val="true"/>
        </w:rPr>
        <w:t xml:space="preserve">, </w:t>
      </w:r>
      <w:r>
        <w:rPr>
          <w:rtl w:val="true"/>
        </w:rPr>
        <w:t xml:space="preserve">ובנסיבות העבירה הנדונה </w:t>
      </w:r>
      <w:r>
        <w:rPr>
          <w:rtl w:val="true"/>
        </w:rPr>
        <w:t>–</w:t>
      </w:r>
      <w:r>
        <w:rPr>
          <w:rtl w:val="true"/>
        </w:rPr>
        <w:t xml:space="preserve"> משקל כבד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כשלעצמה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להעדפת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וההרתעה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הנובעים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מקטינותו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תמים דעים אני עם הצורך לייחס לנסיבה זו משקל רב</w:t>
      </w:r>
      <w:r>
        <w:rPr>
          <w:rtl w:val="true"/>
        </w:rPr>
        <w:t xml:space="preserve">; </w:t>
      </w:r>
      <w:r>
        <w:rPr>
          <w:rtl w:val="true"/>
        </w:rPr>
        <w:t>אף שאינני סבור כי נוכח חומרת הנסיבות יש לזנוח את שיקולי השיקום</w:t>
      </w:r>
      <w:r>
        <w:rPr>
          <w:rtl w:val="true"/>
        </w:rPr>
        <w:t xml:space="preserve">. </w:t>
      </w:r>
      <w:r>
        <w:rPr>
          <w:rtl w:val="true"/>
        </w:rPr>
        <w:t>אעיר על כך בהמשך</w:t>
      </w:r>
      <w:r>
        <w:rPr>
          <w:rtl w:val="true"/>
        </w:rPr>
        <w:t xml:space="preserve">, </w:t>
      </w:r>
      <w:r>
        <w:rPr>
          <w:rtl w:val="true"/>
        </w:rPr>
        <w:t xml:space="preserve">אך על כל פנים </w:t>
      </w:r>
      <w:r>
        <w:rPr>
          <w:rtl w:val="true"/>
        </w:rPr>
        <w:t>–</w:t>
      </w:r>
      <w:r>
        <w:rPr>
          <w:rtl w:val="true"/>
        </w:rPr>
        <w:t xml:space="preserve"> ברי כי יש לדחות את טענת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המצמצמת את משקלן של הנסיבות שאפפו את מעשה העבירה</w:t>
      </w:r>
      <w:r>
        <w:rPr>
          <w:rtl w:val="true"/>
        </w:rPr>
        <w:t xml:space="preserve">; </w:t>
      </w:r>
      <w:r>
        <w:rPr>
          <w:rtl w:val="true"/>
        </w:rPr>
        <w:t>אין לייחס לשיקולי השיקום משקל בלעדי ולהתעלם משיקולים אחרים כשהעבירה בוצעה בנסיבות חמורות כל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רק לחומרת הנסיבות שׂוּמה ליתן מקום נכבד</w:t>
      </w:r>
      <w:r>
        <w:rPr>
          <w:rtl w:val="true"/>
        </w:rPr>
        <w:t xml:space="preserve">, </w:t>
      </w:r>
      <w:r>
        <w:rPr>
          <w:rtl w:val="true"/>
        </w:rPr>
        <w:t xml:space="preserve">אלא גם למצבה של נפגעת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</w:t>
      </w:r>
      <w:r>
        <w:rPr/>
        <w:t>8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3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3582/08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16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.11.2008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כפי שציינתי לעיל</w:t>
      </w:r>
      <w:r>
        <w:rPr>
          <w:rtl w:val="true"/>
        </w:rPr>
        <w:t xml:space="preserve">, </w:t>
      </w:r>
      <w:r>
        <w:rPr>
          <w:rtl w:val="true"/>
        </w:rPr>
        <w:t>נזקי הפגיעה הרעה נתנו</w:t>
      </w:r>
      <w:r>
        <w:rPr>
          <w:rtl w:val="true"/>
        </w:rPr>
        <w:t xml:space="preserve">, </w:t>
      </w:r>
      <w:r>
        <w:rPr>
          <w:rtl w:val="true"/>
        </w:rPr>
        <w:t>נותנים ועוד יתנו בה את אותותיהם</w:t>
      </w:r>
      <w:r>
        <w:rPr>
          <w:rtl w:val="true"/>
        </w:rPr>
        <w:t xml:space="preserve">; </w:t>
      </w:r>
      <w:r>
        <w:rPr>
          <w:rtl w:val="true"/>
        </w:rPr>
        <w:t>על פגיעות קשות אלה</w:t>
      </w:r>
      <w:r>
        <w:rPr>
          <w:rtl w:val="true"/>
        </w:rPr>
        <w:t xml:space="preserve">, </w:t>
      </w:r>
      <w:r>
        <w:rPr>
          <w:rtl w:val="true"/>
        </w:rPr>
        <w:t>על הצלקות שהותיר המערער בנפשה של נפגעת העבירה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 לעבור לסדר היום</w:t>
      </w:r>
      <w:r>
        <w:rPr>
          <w:rtl w:val="true"/>
        </w:rPr>
        <w:t xml:space="preserve">, </w:t>
      </w:r>
      <w:r>
        <w:rPr>
          <w:rtl w:val="true"/>
        </w:rPr>
        <w:t xml:space="preserve">ואף הן מחייבות יחס עונשי חמור כלפיו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7113/08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15.12.2008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סיכומם של דברים</w:t>
      </w:r>
      <w:r>
        <w:rPr>
          <w:rtl w:val="true"/>
        </w:rPr>
        <w:t xml:space="preserve">: </w:t>
      </w:r>
      <w:r>
        <w:rPr>
          <w:rtl w:val="true"/>
        </w:rPr>
        <w:t>בחינת עונשו של המערער</w:t>
      </w:r>
      <w:r>
        <w:rPr>
          <w:rtl w:val="true"/>
        </w:rPr>
        <w:t xml:space="preserve">, </w:t>
      </w:r>
      <w:r>
        <w:rPr>
          <w:rtl w:val="true"/>
        </w:rPr>
        <w:t>על יסוד קשת השיקולים הרלבנטית</w:t>
      </w:r>
      <w:r>
        <w:rPr>
          <w:rtl w:val="true"/>
        </w:rPr>
        <w:t xml:space="preserve">, </w:t>
      </w:r>
      <w:r>
        <w:rPr>
          <w:rtl w:val="true"/>
        </w:rPr>
        <w:t>ותוך השוואה לגזרי דין אחרים</w:t>
      </w:r>
      <w:r>
        <w:rPr>
          <w:rtl w:val="true"/>
        </w:rPr>
        <w:t xml:space="preserve">, </w:t>
      </w:r>
      <w:r>
        <w:rPr>
          <w:rtl w:val="true"/>
        </w:rPr>
        <w:t>מוליכה לטעמי למסקנה כי גזר הדין של בית המשפט המחוזי אכן החמיר עם המערער</w:t>
      </w:r>
      <w:r>
        <w:rPr>
          <w:rtl w:val="true"/>
        </w:rPr>
        <w:t xml:space="preserve">, </w:t>
      </w:r>
      <w:r>
        <w:rPr>
          <w:rtl w:val="true"/>
        </w:rPr>
        <w:t>אך לא באופן החורג מן המקובל והראוי</w:t>
      </w:r>
      <w:r>
        <w:rPr>
          <w:rtl w:val="true"/>
        </w:rPr>
        <w:t xml:space="preserve">; </w:t>
      </w:r>
      <w:r>
        <w:rPr>
          <w:rtl w:val="true"/>
        </w:rPr>
        <w:t>אינני רואה הצדקה להתערבות מצידנו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8905/23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בדרך הילוכי עד כה</w:t>
      </w:r>
      <w:r>
        <w:rPr>
          <w:rtl w:val="true"/>
        </w:rPr>
        <w:t xml:space="preserve">, </w:t>
      </w:r>
      <w:r>
        <w:rPr>
          <w:rtl w:val="true"/>
        </w:rPr>
        <w:t>כבר התייחסתי למספר נקודות שעלו בערעור המדינה</w:t>
      </w:r>
      <w:r>
        <w:rPr>
          <w:rtl w:val="true"/>
        </w:rPr>
        <w:t xml:space="preserve">, </w:t>
      </w:r>
      <w:r>
        <w:rPr>
          <w:rtl w:val="true"/>
        </w:rPr>
        <w:t>ולפיכך אסתפק בתוספות מעטות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המדינה הצביעה על מספר טעמים לחומרה היתרה שבמעשי המערער</w:t>
      </w:r>
      <w:r>
        <w:rPr>
          <w:rtl w:val="true"/>
        </w:rPr>
        <w:t xml:space="preserve">, </w:t>
      </w:r>
      <w:r>
        <w:rPr>
          <w:rtl w:val="true"/>
        </w:rPr>
        <w:t>אך כאמור</w:t>
      </w:r>
      <w:r>
        <w:rPr>
          <w:rtl w:val="true"/>
        </w:rPr>
        <w:t xml:space="preserve">, </w:t>
      </w:r>
      <w:r>
        <w:rPr>
          <w:rtl w:val="true"/>
        </w:rPr>
        <w:t>לא שוכנעתי שיש בטעמים אלה כדי להצדיק עונש חמור משנגזר עליו</w:t>
      </w:r>
      <w:r>
        <w:rPr>
          <w:rtl w:val="true"/>
        </w:rPr>
        <w:t xml:space="preserve">, </w:t>
      </w:r>
      <w:r>
        <w:rPr>
          <w:rtl w:val="true"/>
        </w:rPr>
        <w:t>בפרט בשים לב לשהותו הממושכת במעון נעול</w:t>
      </w:r>
      <w:r>
        <w:rPr>
          <w:rtl w:val="true"/>
        </w:rPr>
        <w:t xml:space="preserve">, </w:t>
      </w:r>
      <w:r>
        <w:rPr>
          <w:rtl w:val="true"/>
        </w:rPr>
        <w:t>ולעונש הנוסף שנגזר עליו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יש ממש בטענת ב</w:t>
      </w:r>
      <w:r>
        <w:rPr>
          <w:rtl w:val="true"/>
        </w:rPr>
        <w:t>"</w:t>
      </w:r>
      <w:r>
        <w:rPr>
          <w:rtl w:val="true"/>
        </w:rPr>
        <w:t xml:space="preserve">כ המדינה כי שילוב העבירות </w:t>
      </w:r>
      <w:r>
        <w:rPr>
          <w:rtl w:val="true"/>
        </w:rPr>
        <w:t>–</w:t>
      </w:r>
      <w:r>
        <w:rPr>
          <w:rtl w:val="true"/>
        </w:rPr>
        <w:t xml:space="preserve"> אותו </w:t>
      </w:r>
      <w:r>
        <w:rPr>
          <w:rtl w:val="true"/>
        </w:rPr>
        <w:t>'</w:t>
      </w:r>
      <w:r>
        <w:rPr>
          <w:rtl w:val="true"/>
        </w:rPr>
        <w:t>קוקטייל</w:t>
      </w:r>
      <w:r>
        <w:rPr>
          <w:rtl w:val="true"/>
        </w:rPr>
        <w:t xml:space="preserve">' </w:t>
      </w:r>
      <w:r>
        <w:rPr>
          <w:rtl w:val="true"/>
        </w:rPr>
        <w:t xml:space="preserve">רעיל </w:t>
      </w:r>
      <w:r>
        <w:rPr>
          <w:rtl w:val="true"/>
        </w:rPr>
        <w:t>–</w:t>
      </w:r>
      <w:r>
        <w:rPr>
          <w:rtl w:val="true"/>
        </w:rPr>
        <w:t xml:space="preserve"> מחמיר מאוד את מצבו של המערער ביחס לעבירות מין שמבוצעות</w:t>
      </w:r>
      <w:r>
        <w:rPr>
          <w:rtl w:val="true"/>
        </w:rPr>
        <w:t xml:space="preserve">, </w:t>
      </w:r>
      <w:r>
        <w:rPr>
          <w:rtl w:val="true"/>
        </w:rPr>
        <w:t>שלא אגב התפרצות</w:t>
      </w:r>
      <w:r>
        <w:rPr>
          <w:rtl w:val="true"/>
        </w:rPr>
        <w:t xml:space="preserve">. </w:t>
      </w:r>
      <w:r>
        <w:rPr>
          <w:rtl w:val="true"/>
        </w:rPr>
        <w:t>במצב שנוצר</w:t>
      </w:r>
      <w:r>
        <w:rPr>
          <w:rtl w:val="true"/>
        </w:rPr>
        <w:t xml:space="preserve">, </w:t>
      </w:r>
      <w:r>
        <w:rPr>
          <w:rtl w:val="true"/>
        </w:rPr>
        <w:t xml:space="preserve">עבירת המין שבוצעה אגב עבירת ההתפרצות </w:t>
      </w:r>
      <w:r>
        <w:rPr>
          <w:rtl w:val="true"/>
        </w:rPr>
        <w:t>'</w:t>
      </w:r>
      <w:r>
        <w:rPr>
          <w:rtl w:val="true"/>
        </w:rPr>
        <w:t>משחירה</w:t>
      </w:r>
      <w:r>
        <w:rPr>
          <w:rtl w:val="true"/>
        </w:rPr>
        <w:t xml:space="preserve">' </w:t>
      </w:r>
      <w:r>
        <w:rPr>
          <w:rtl w:val="true"/>
        </w:rPr>
        <w:t>את עבירת ההתפרצות</w:t>
      </w:r>
      <w:r>
        <w:rPr>
          <w:rtl w:val="true"/>
        </w:rPr>
        <w:t xml:space="preserve">; </w:t>
      </w:r>
      <w:r>
        <w:rPr>
          <w:rtl w:val="true"/>
        </w:rPr>
        <w:t>ולהיפך</w:t>
      </w:r>
      <w:r>
        <w:rPr>
          <w:rtl w:val="true"/>
        </w:rPr>
        <w:t xml:space="preserve">, </w:t>
      </w:r>
      <w:r>
        <w:rPr>
          <w:rtl w:val="true"/>
        </w:rPr>
        <w:t>עבירת ההתפרצות</w:t>
      </w:r>
      <w:r>
        <w:rPr>
          <w:rtl w:val="true"/>
        </w:rPr>
        <w:t xml:space="preserve">, </w:t>
      </w:r>
      <w:r>
        <w:rPr>
          <w:rtl w:val="true"/>
        </w:rPr>
        <w:t>צובעת אף היא את עבירת המין בצבעים קודרים במיוחד</w:t>
      </w:r>
      <w:r>
        <w:rPr>
          <w:rtl w:val="true"/>
        </w:rPr>
        <w:t xml:space="preserve">. </w:t>
      </w:r>
      <w:r>
        <w:rPr>
          <w:rtl w:val="true"/>
        </w:rPr>
        <w:t>אסביר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ביצועה של עבירת מין אגב התפרצות</w:t>
      </w:r>
      <w:r>
        <w:rPr>
          <w:rtl w:val="true"/>
        </w:rPr>
        <w:t xml:space="preserve">, </w:t>
      </w:r>
      <w:r>
        <w:rPr>
          <w:rtl w:val="true"/>
        </w:rPr>
        <w:t>מבהיר את הסיכון הכרוך בעבירת ההתפרצות עצמה</w:t>
      </w:r>
      <w:r>
        <w:rPr>
          <w:rtl w:val="true"/>
        </w:rPr>
        <w:t xml:space="preserve">. </w:t>
      </w:r>
      <w:r>
        <w:rPr>
          <w:rtl w:val="true"/>
        </w:rPr>
        <w:t>לדאבון הלב</w:t>
      </w:r>
      <w:r>
        <w:rPr>
          <w:rtl w:val="true"/>
        </w:rPr>
        <w:t xml:space="preserve">, </w:t>
      </w:r>
      <w:r>
        <w:rPr>
          <w:rtl w:val="true"/>
        </w:rPr>
        <w:t>העניין דנן ממחיש כיצד מה שכביכול נחזה אולי כמשובת נעורים</w:t>
      </w:r>
      <w:r>
        <w:rPr>
          <w:rtl w:val="true"/>
        </w:rPr>
        <w:t xml:space="preserve">, </w:t>
      </w:r>
      <w:r>
        <w:rPr>
          <w:rtl w:val="true"/>
        </w:rPr>
        <w:t xml:space="preserve">מעשה קונדס של המערער וחבריו </w:t>
      </w:r>
      <w:r>
        <w:rPr>
          <w:rtl w:val="true"/>
        </w:rPr>
        <w:t>–</w:t>
      </w:r>
      <w:r>
        <w:rPr>
          <w:rtl w:val="true"/>
        </w:rPr>
        <w:t xml:space="preserve"> מסתיים במעשים חמורים ביותר</w:t>
      </w:r>
      <w:r>
        <w:rPr>
          <w:rtl w:val="true"/>
        </w:rPr>
        <w:t xml:space="preserve">. </w:t>
      </w:r>
      <w:r>
        <w:rPr>
          <w:rtl w:val="true"/>
        </w:rPr>
        <w:t>לבד מעזות המצח יוצאת הדופן הטמונה במעשים</w:t>
      </w:r>
      <w:r>
        <w:rPr>
          <w:rtl w:val="true"/>
        </w:rPr>
        <w:t xml:space="preserve">, </w:t>
      </w:r>
      <w:r>
        <w:rPr>
          <w:rtl w:val="true"/>
        </w:rPr>
        <w:t>שאף היא מצדיקה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ענישה מחמירה</w:t>
      </w:r>
      <w:r>
        <w:rPr>
          <w:rtl w:val="true"/>
        </w:rPr>
        <w:t xml:space="preserve">, </w:t>
      </w:r>
      <w:r>
        <w:rPr>
          <w:rtl w:val="true"/>
        </w:rPr>
        <w:t>עבירת המין שבוצעה</w:t>
      </w:r>
      <w:r>
        <w:rPr>
          <w:rtl w:val="true"/>
        </w:rPr>
        <w:t xml:space="preserve">, </w:t>
      </w:r>
      <w:r>
        <w:rPr>
          <w:rtl w:val="true"/>
        </w:rPr>
        <w:t>כמו מבקשת להציב תמרור בוהק ובולט</w:t>
      </w:r>
      <w:r>
        <w:rPr>
          <w:rtl w:val="true"/>
        </w:rPr>
        <w:t xml:space="preserve">, </w:t>
      </w:r>
      <w:r>
        <w:rPr>
          <w:rtl w:val="true"/>
        </w:rPr>
        <w:t>הממחיש עד היכן יכולה להתדרדר עבירה זו</w:t>
      </w:r>
      <w:r>
        <w:rPr>
          <w:rtl w:val="true"/>
        </w:rPr>
        <w:t xml:space="preserve">. </w:t>
      </w:r>
      <w:r>
        <w:rPr>
          <w:rtl w:val="true"/>
        </w:rPr>
        <w:t>לא אחת נשמעת הטענה שמעשה ההתפרצות</w:t>
      </w:r>
      <w:r>
        <w:rPr>
          <w:rtl w:val="true"/>
        </w:rPr>
        <w:t xml:space="preserve">, </w:t>
      </w:r>
      <w:r>
        <w:rPr>
          <w:rtl w:val="true"/>
        </w:rPr>
        <w:t>בפרט כשהוא מבוצע על</w:t>
      </w:r>
      <w:r>
        <w:rPr>
          <w:rtl w:val="true"/>
        </w:rPr>
        <w:t>-</w:t>
      </w:r>
      <w:r>
        <w:rPr>
          <w:rtl w:val="true"/>
        </w:rPr>
        <w:t>ידי קטינים</w:t>
      </w:r>
      <w:r>
        <w:rPr>
          <w:rtl w:val="true"/>
        </w:rPr>
        <w:t xml:space="preserve">, </w:t>
      </w:r>
      <w:r>
        <w:rPr>
          <w:rtl w:val="true"/>
        </w:rPr>
        <w:t>ראוי ליחס סלחני</w:t>
      </w:r>
      <w:r>
        <w:rPr>
          <w:rtl w:val="true"/>
        </w:rPr>
        <w:t xml:space="preserve">;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האסקלציה החריפה בעניין דנן מזכירה לכולנו את חומרתה היתרה</w:t>
      </w:r>
      <w:r>
        <w:rPr>
          <w:rtl w:val="true"/>
        </w:rPr>
        <w:t xml:space="preserve">, </w:t>
      </w:r>
      <w:r>
        <w:rPr>
          <w:rtl w:val="true"/>
        </w:rPr>
        <w:t>ואת נזקיה הפוטנציאליים</w:t>
      </w:r>
      <w:r>
        <w:rPr>
          <w:rtl w:val="true"/>
        </w:rPr>
        <w:t xml:space="preserve">. </w:t>
      </w:r>
      <w:r>
        <w:rPr>
          <w:rtl w:val="true"/>
        </w:rPr>
        <w:t>המשפט העברי ידע לעמוד על פוט</w:t>
      </w:r>
      <w:r>
        <w:rPr>
          <w:rFonts w:ascii="Century" w:hAnsi="Century" w:cs="Century"/>
          <w:sz w:val="22"/>
          <w:sz w:val="22"/>
          <w:rtl w:val="true"/>
        </w:rPr>
        <w:t>נציאל ההידרדרות של מעשה פריצה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שתחילתו ממון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וסופו מי ישורנו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שחזקתו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ומנעו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יהרגנו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כרודף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להרגו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משנה תורה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גניבה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פרק 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הלכה ט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העניין שלפנינו לא הסתיים אמנם במחיר דמים</w:t>
      </w:r>
      <w:r>
        <w:rPr>
          <w:rtl w:val="true"/>
        </w:rPr>
        <w:t xml:space="preserve">, </w:t>
      </w:r>
      <w:r>
        <w:rPr>
          <w:rtl w:val="true"/>
        </w:rPr>
        <w:t>אך בהחלט עלה במחיר נפשי כבד</w:t>
      </w:r>
      <w:r>
        <w:rPr>
          <w:rtl w:val="true"/>
        </w:rPr>
        <w:t xml:space="preserve">. </w:t>
      </w:r>
      <w:r>
        <w:rPr>
          <w:rtl w:val="true"/>
        </w:rPr>
        <w:t>כפי שהעיד האב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החריב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בהינף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מרצח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לפרטיות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הקודשים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במסכת שלפנינו</w:t>
      </w:r>
      <w:r>
        <w:rPr>
          <w:rtl w:val="true"/>
        </w:rPr>
        <w:t xml:space="preserve">, </w:t>
      </w:r>
      <w:r>
        <w:rPr>
          <w:rtl w:val="true"/>
        </w:rPr>
        <w:t>לא זו בלבד שנחשף הסיכון העצום</w:t>
      </w:r>
      <w:r>
        <w:rPr>
          <w:rtl w:val="true"/>
        </w:rPr>
        <w:t xml:space="preserve">, </w:t>
      </w:r>
      <w:r>
        <w:rPr>
          <w:rtl w:val="true"/>
        </w:rPr>
        <w:t>הטמון בעבירת ההתפרצות</w:t>
      </w:r>
      <w:r>
        <w:rPr>
          <w:rtl w:val="true"/>
        </w:rPr>
        <w:t xml:space="preserve">, </w:t>
      </w:r>
      <w:r>
        <w:rPr>
          <w:rtl w:val="true"/>
        </w:rPr>
        <w:t>פועל יוצא של הסלמה אפשרית לעבר ביצוע עבירות קשות יותר</w:t>
      </w:r>
      <w:r>
        <w:rPr>
          <w:rtl w:val="true"/>
        </w:rPr>
        <w:t xml:space="preserve">; </w:t>
      </w:r>
      <w:r>
        <w:rPr>
          <w:rtl w:val="true"/>
        </w:rPr>
        <w:t>נחשף אף שעבירת ההתפרצות עצמה</w:t>
      </w:r>
      <w:r>
        <w:rPr>
          <w:rtl w:val="true"/>
        </w:rPr>
        <w:t xml:space="preserve">, </w:t>
      </w:r>
      <w:r>
        <w:rPr>
          <w:rtl w:val="true"/>
        </w:rPr>
        <w:t>מעמידה בסיכון ערכים נכבדים</w:t>
      </w:r>
      <w:r>
        <w:rPr>
          <w:rtl w:val="true"/>
        </w:rPr>
        <w:t xml:space="preserve">, </w:t>
      </w:r>
      <w:r>
        <w:rPr>
          <w:rtl w:val="true"/>
        </w:rPr>
        <w:t>מעבר לאלו הרכושיים גרידא</w:t>
      </w:r>
      <w:r>
        <w:rPr>
          <w:rtl w:val="true"/>
        </w:rPr>
        <w:t xml:space="preserve">. </w:t>
      </w:r>
      <w:r>
        <w:rPr>
          <w:rtl w:val="true"/>
        </w:rPr>
        <w:t>יפים לעניין זה הדברים שצוטטו בגזר הדין של בית המשפט המחוזי מ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אואזנה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31.12.2008</w:t>
      </w:r>
      <w:r>
        <w:rPr>
          <w:rtl w:val="true"/>
        </w:rPr>
        <w:t>)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פריצה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וגניבה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מבתים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הרכוש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שמקובל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לקרוא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הגדרה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מוטעית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שפריצה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לביתו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אדם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טומנת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בחובה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לעיתים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קרובות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כלכלי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רב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צער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ועוגמת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הנגרמים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לקרבנות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גרידא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המפרות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פרטיותו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הגבוהה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ביותר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ועוד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הגדרת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רכוש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נותנת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תחושה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מצמצמת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וקונוטציה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שגויה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לסובבים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למהות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שהתבצעו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הפוגעות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במהות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באמירה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מבצרו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שביתו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נפרץ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תחושת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ממלאת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ליבו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הפריצה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פיזית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בעיקרה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התא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האישי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האדם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עבירת המין שביצע המערער היא חוליה אחרונה</w:t>
      </w:r>
      <w:r>
        <w:rPr>
          <w:rtl w:val="true"/>
        </w:rPr>
        <w:t xml:space="preserve">, </w:t>
      </w:r>
      <w:r>
        <w:rPr>
          <w:rtl w:val="true"/>
        </w:rPr>
        <w:t>מחרידה</w:t>
      </w:r>
      <w:r>
        <w:rPr>
          <w:rtl w:val="true"/>
        </w:rPr>
        <w:t xml:space="preserve">, </w:t>
      </w:r>
      <w:r>
        <w:rPr>
          <w:rtl w:val="true"/>
        </w:rPr>
        <w:t>בשרשרת של פגיעות רבות בנפגעת העבירה ובמשפחתה</w:t>
      </w:r>
      <w:r>
        <w:rPr>
          <w:rtl w:val="true"/>
        </w:rPr>
        <w:t xml:space="preserve">, </w:t>
      </w:r>
      <w:r>
        <w:rPr>
          <w:rtl w:val="true"/>
        </w:rPr>
        <w:t>ומשום כך עונש חמור ראוי לו למערער</w:t>
      </w:r>
      <w:r>
        <w:rPr>
          <w:rtl w:val="true"/>
        </w:rPr>
        <w:t xml:space="preserve">, </w:t>
      </w:r>
      <w:r>
        <w:rPr>
          <w:rtl w:val="true"/>
        </w:rPr>
        <w:t>גם בשים לב לרמיסת הפרטיות ברגל גסה</w:t>
      </w:r>
      <w:r>
        <w:rPr>
          <w:rtl w:val="true"/>
        </w:rPr>
        <w:t xml:space="preserve">, </w:t>
      </w:r>
      <w:r>
        <w:rPr>
          <w:rtl w:val="true"/>
        </w:rPr>
        <w:t>לזריעת הבהלה והחרדה</w:t>
      </w:r>
      <w:r>
        <w:rPr>
          <w:rtl w:val="true"/>
        </w:rPr>
        <w:t xml:space="preserve">, </w:t>
      </w:r>
      <w:r>
        <w:rPr>
          <w:rtl w:val="true"/>
        </w:rPr>
        <w:t>ולפגיעה בשלוות המשפחה</w:t>
      </w:r>
      <w:r>
        <w:rPr>
          <w:rtl w:val="true"/>
        </w:rPr>
        <w:t xml:space="preserve">. </w:t>
      </w:r>
      <w:r>
        <w:rPr>
          <w:rtl w:val="true"/>
        </w:rPr>
        <w:t>צדק אפוא בית המשפט המחוזי בציינו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מוגזם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סיוטיו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בתוככי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במרחק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ספורים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מושיע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הבטוח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שבחוץ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יטביעו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אך כפי שציינתי</w:t>
      </w:r>
      <w:r>
        <w:rPr>
          <w:rtl w:val="true"/>
        </w:rPr>
        <w:t xml:space="preserve">, </w:t>
      </w:r>
      <w:r>
        <w:rPr>
          <w:rtl w:val="true"/>
        </w:rPr>
        <w:t>לא רק שעבירת המין ממחישה את חומרתה של עבירת ההתפרצות</w:t>
      </w:r>
      <w:r>
        <w:rPr>
          <w:rtl w:val="true"/>
        </w:rPr>
        <w:t xml:space="preserve">; </w:t>
      </w:r>
      <w:r>
        <w:rPr>
          <w:rtl w:val="true"/>
        </w:rPr>
        <w:t>גם ההיפך נכון</w:t>
      </w:r>
      <w:r>
        <w:rPr>
          <w:rtl w:val="true"/>
        </w:rPr>
        <w:t xml:space="preserve">. </w:t>
      </w:r>
      <w:r>
        <w:rPr>
          <w:rtl w:val="true"/>
        </w:rPr>
        <w:t>לנסיבת ההתפרצות יש השפעה ישירה</w:t>
      </w:r>
      <w:r>
        <w:rPr>
          <w:rtl w:val="true"/>
        </w:rPr>
        <w:t xml:space="preserve">, </w:t>
      </w:r>
      <w:r>
        <w:rPr>
          <w:rtl w:val="true"/>
        </w:rPr>
        <w:t>ומחמירה עד מאוד</w:t>
      </w:r>
      <w:r>
        <w:rPr>
          <w:rtl w:val="true"/>
        </w:rPr>
        <w:t xml:space="preserve">, </w:t>
      </w:r>
      <w:r>
        <w:rPr>
          <w:rtl w:val="true"/>
        </w:rPr>
        <w:t>על עבירת המין</w:t>
      </w:r>
      <w:r>
        <w:rPr>
          <w:rtl w:val="true"/>
        </w:rPr>
        <w:t xml:space="preserve">. </w:t>
      </w:r>
      <w:r>
        <w:rPr>
          <w:rtl w:val="true"/>
        </w:rPr>
        <w:t>את טענת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לפיה אין הבדל מהותי בין עניינים שנדונו בפסיקה</w:t>
      </w:r>
      <w:r>
        <w:rPr>
          <w:rtl w:val="true"/>
        </w:rPr>
        <w:t xml:space="preserve">, </w:t>
      </w:r>
      <w:r>
        <w:rPr>
          <w:rtl w:val="true"/>
        </w:rPr>
        <w:t>שבהם התרחשה פגיעה במסגרות שלהן דמיון מסוים לבית</w:t>
      </w:r>
      <w:r>
        <w:rPr>
          <w:rtl w:val="true"/>
        </w:rPr>
        <w:t xml:space="preserve">, </w:t>
      </w:r>
      <w:r>
        <w:rPr>
          <w:rtl w:val="true"/>
        </w:rPr>
        <w:t>כגון ביתם של קרובי משפחה</w:t>
      </w:r>
      <w:r>
        <w:rPr>
          <w:rtl w:val="true"/>
        </w:rPr>
        <w:t xml:space="preserve">, </w:t>
      </w:r>
      <w:r>
        <w:rPr>
          <w:rtl w:val="true"/>
        </w:rPr>
        <w:t>מועדון נוער</w:t>
      </w:r>
      <w:r>
        <w:rPr>
          <w:rtl w:val="true"/>
        </w:rPr>
        <w:t xml:space="preserve">, </w:t>
      </w:r>
      <w:r>
        <w:rPr>
          <w:rtl w:val="true"/>
        </w:rPr>
        <w:t>פנימייה וכיוצא באלו</w:t>
      </w:r>
      <w:r>
        <w:rPr>
          <w:rtl w:val="true"/>
        </w:rPr>
        <w:t xml:space="preserve">, </w:t>
      </w:r>
      <w:r>
        <w:rPr>
          <w:rtl w:val="true"/>
        </w:rPr>
        <w:t>לבין פגיעה שאֵירעה בביתה של נפגעת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בחדרה </w:t>
      </w:r>
      <w:r>
        <w:rPr>
          <w:rtl w:val="true"/>
        </w:rPr>
        <w:t>–</w:t>
      </w:r>
      <w:r>
        <w:rPr>
          <w:rtl w:val="true"/>
        </w:rPr>
        <w:t xml:space="preserve"> יש לדחות בשתי ידיים</w:t>
      </w:r>
      <w:r>
        <w:rPr>
          <w:rtl w:val="true"/>
        </w:rPr>
        <w:t xml:space="preserve">. </w:t>
      </w:r>
      <w:r>
        <w:rPr>
          <w:rtl w:val="true"/>
        </w:rPr>
        <w:t>נסיבות העניין דנן</w:t>
      </w:r>
      <w:r>
        <w:rPr>
          <w:rtl w:val="true"/>
        </w:rPr>
        <w:t xml:space="preserve">, </w:t>
      </w:r>
      <w:r>
        <w:rPr>
          <w:rtl w:val="true"/>
        </w:rPr>
        <w:t>נבדלות מהותית</w:t>
      </w:r>
      <w:r>
        <w:rPr>
          <w:rtl w:val="true"/>
        </w:rPr>
        <w:t xml:space="preserve">, </w:t>
      </w:r>
      <w:r>
        <w:rPr>
          <w:rtl w:val="true"/>
        </w:rPr>
        <w:t>והן הובילו להתמוטטות תחושת הביטחון</w:t>
      </w:r>
      <w:r>
        <w:rPr>
          <w:rtl w:val="true"/>
        </w:rPr>
        <w:t xml:space="preserve">; </w:t>
      </w:r>
      <w:r>
        <w:rPr>
          <w:rtl w:val="true"/>
        </w:rPr>
        <w:t>לניתוץ תחושת המוגנות של נפגעת העבירה</w:t>
      </w:r>
      <w:r>
        <w:rPr>
          <w:rtl w:val="true"/>
        </w:rPr>
        <w:t xml:space="preserve">. </w:t>
      </w:r>
      <w:r>
        <w:rPr>
          <w:rtl w:val="true"/>
        </w:rPr>
        <w:t>פגיעה המתרחשת בנסיבות אלה</w:t>
      </w:r>
      <w:r>
        <w:rPr>
          <w:rtl w:val="true"/>
        </w:rPr>
        <w:t xml:space="preserve">, </w:t>
      </w:r>
      <w:r>
        <w:rPr>
          <w:rtl w:val="true"/>
        </w:rPr>
        <w:t>שוללת מהנפגעת תחושת ביטחון</w:t>
      </w:r>
      <w:r>
        <w:rPr>
          <w:rtl w:val="true"/>
        </w:rPr>
        <w:t xml:space="preserve">, </w:t>
      </w:r>
      <w:r>
        <w:rPr>
          <w:rtl w:val="true"/>
        </w:rPr>
        <w:t>אף לא בתוך ביתה</w:t>
      </w:r>
      <w:r>
        <w:rPr>
          <w:rtl w:val="true"/>
        </w:rPr>
        <w:t xml:space="preserve">,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במיטתה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ובכן</w:t>
      </w:r>
      <w:r>
        <w:rPr>
          <w:rtl w:val="true"/>
        </w:rPr>
        <w:t xml:space="preserve">, </w:t>
      </w:r>
      <w:r>
        <w:rPr>
          <w:rtl w:val="true"/>
        </w:rPr>
        <w:t>עבירת המין ועבירת ההתפרצות נמזגות</w:t>
      </w:r>
      <w:r>
        <w:rPr>
          <w:rtl w:val="true"/>
        </w:rPr>
        <w:t xml:space="preserve">, </w:t>
      </w:r>
      <w:r>
        <w:rPr>
          <w:rtl w:val="true"/>
        </w:rPr>
        <w:t>מעצימות ומחמירות זו את זו</w:t>
      </w:r>
      <w:r>
        <w:rPr>
          <w:rtl w:val="true"/>
        </w:rPr>
        <w:t xml:space="preserve">, </w:t>
      </w:r>
      <w:r>
        <w:rPr>
          <w:rtl w:val="true"/>
        </w:rPr>
        <w:t>באופן המצדיק יחס מחמיר כלפי המערער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אינני מוצא בדגשים אלו הצדקה להתערבות בגזר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שכן כאמור</w:t>
      </w:r>
      <w:r>
        <w:rPr>
          <w:rtl w:val="true"/>
        </w:rPr>
        <w:t xml:space="preserve">, </w:t>
      </w:r>
      <w:r>
        <w:rPr>
          <w:rtl w:val="true"/>
        </w:rPr>
        <w:t>העונש שהושת על המערער כבר עומד וניצב ברף הגבוה של ענישת קטינים</w:t>
      </w:r>
      <w:r>
        <w:rPr>
          <w:rtl w:val="true"/>
        </w:rPr>
        <w:t xml:space="preserve">, </w:t>
      </w:r>
      <w:r>
        <w:rPr>
          <w:rtl w:val="true"/>
        </w:rPr>
        <w:t>ועל כן מביא לידי ביטוי את טיבם החמור של המעשים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נוספת</w:t>
      </w:r>
      <w:r>
        <w:rPr>
          <w:rtl w:val="true"/>
        </w:rPr>
        <w:t xml:space="preserve">, </w:t>
      </w:r>
      <w:r>
        <w:rPr>
          <w:rtl w:val="true"/>
        </w:rPr>
        <w:t>כבדת משקל</w:t>
      </w:r>
      <w:r>
        <w:rPr>
          <w:rtl w:val="true"/>
        </w:rPr>
        <w:t xml:space="preserve">, </w:t>
      </w:r>
      <w:r>
        <w:rPr>
          <w:rtl w:val="true"/>
        </w:rPr>
        <w:t>עניינה בחשש</w:t>
      </w:r>
      <w:r>
        <w:rPr>
          <w:rtl w:val="true"/>
        </w:rPr>
        <w:t xml:space="preserve">, </w:t>
      </w:r>
      <w:r>
        <w:rPr>
          <w:rtl w:val="true"/>
        </w:rPr>
        <w:t>המוצדק</w:t>
      </w:r>
      <w:r>
        <w:rPr>
          <w:rtl w:val="true"/>
        </w:rPr>
        <w:t xml:space="preserve">, </w:t>
      </w:r>
      <w:r>
        <w:rPr>
          <w:rtl w:val="true"/>
        </w:rPr>
        <w:t>שקטינים ינצלו את המדיניות המקלה שהתווה המחוקק ושאותה מיישׂמים בתי המשפט</w:t>
      </w:r>
      <w:r>
        <w:rPr>
          <w:rtl w:val="true"/>
        </w:rPr>
        <w:t xml:space="preserve">, </w:t>
      </w:r>
      <w:r>
        <w:rPr>
          <w:rtl w:val="true"/>
        </w:rPr>
        <w:t>ויהיו ראש</w:t>
      </w:r>
      <w:r>
        <w:rPr>
          <w:rtl w:val="true"/>
        </w:rPr>
        <w:t>-</w:t>
      </w:r>
      <w:r>
        <w:rPr>
          <w:rtl w:val="true"/>
        </w:rPr>
        <w:t>חץ עברייני</w:t>
      </w:r>
      <w:r>
        <w:rPr>
          <w:rtl w:val="true"/>
        </w:rPr>
        <w:t xml:space="preserve">.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 xml:space="preserve">כשעניין לנו בביצוע עבירות בצוותא </w:t>
      </w:r>
      <w:r>
        <w:rPr>
          <w:rtl w:val="true"/>
        </w:rPr>
        <w:t>–</w:t>
      </w:r>
      <w:r>
        <w:rPr>
          <w:rtl w:val="true"/>
        </w:rPr>
        <w:t xml:space="preserve"> של בגירים וקטינים כאחד</w:t>
      </w:r>
      <w:r>
        <w:rPr>
          <w:rtl w:val="true"/>
        </w:rPr>
        <w:t xml:space="preserve">, </w:t>
      </w:r>
      <w:r>
        <w:rPr>
          <w:rtl w:val="true"/>
        </w:rPr>
        <w:t>דווקא הקטינים הם המחלצים חושים</w:t>
      </w:r>
      <w:r>
        <w:rPr>
          <w:rtl w:val="true"/>
        </w:rPr>
        <w:t xml:space="preserve">, </w:t>
      </w:r>
      <w:r>
        <w:rPr>
          <w:rtl w:val="true"/>
        </w:rPr>
        <w:t>ועומדים בראש כוח החלוץ העברייני</w:t>
      </w:r>
      <w:r>
        <w:rPr>
          <w:rtl w:val="true"/>
        </w:rPr>
        <w:t xml:space="preserve">. </w:t>
      </w:r>
      <w:r>
        <w:rPr>
          <w:rtl w:val="true"/>
        </w:rPr>
        <w:t>כך בדיוק נעשה בנדון דידן</w:t>
      </w:r>
      <w:r>
        <w:rPr>
          <w:rtl w:val="true"/>
        </w:rPr>
        <w:t xml:space="preserve">: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כמטחווי קשת</w:t>
      </w:r>
      <w:r>
        <w:rPr>
          <w:rtl w:val="true"/>
        </w:rPr>
        <w:t xml:space="preserve">, </w:t>
      </w:r>
      <w:r>
        <w:rPr>
          <w:rtl w:val="true"/>
        </w:rPr>
        <w:t>במרחק בטוח מן הבית</w:t>
      </w:r>
      <w:r>
        <w:rPr>
          <w:rtl w:val="true"/>
        </w:rPr>
        <w:t xml:space="preserve">, </w:t>
      </w:r>
      <w:r>
        <w:rPr>
          <w:rtl w:val="true"/>
        </w:rPr>
        <w:t>נותר להמתין הבגיר</w:t>
      </w:r>
      <w:r>
        <w:rPr>
          <w:rtl w:val="true"/>
        </w:rPr>
        <w:t xml:space="preserve">, </w:t>
      </w:r>
      <w:r>
        <w:rPr>
          <w:rtl w:val="true"/>
        </w:rPr>
        <w:t>ואילו את עבירת ההתפרצות עצמה ביצעו הקטינים</w:t>
      </w:r>
      <w:r>
        <w:rPr>
          <w:rtl w:val="true"/>
        </w:rPr>
        <w:t xml:space="preserve">. </w:t>
      </w:r>
      <w:r>
        <w:rPr>
          <w:rtl w:val="true"/>
        </w:rPr>
        <w:t>טעם לשיטת פעולה זו בהחלט יכול להימצא במדיניות הענישה הנוהגת עם קטינים</w:t>
      </w:r>
      <w:r>
        <w:rPr>
          <w:rtl w:val="true"/>
        </w:rPr>
        <w:t xml:space="preserve">; </w:t>
      </w:r>
      <w:r>
        <w:rPr>
          <w:rtl w:val="true"/>
        </w:rPr>
        <w:t xml:space="preserve">ביודעם </w:t>
      </w:r>
      <w:r>
        <w:rPr>
          <w:rtl w:val="true"/>
        </w:rPr>
        <w:t>(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והבגירים שאיתם</w:t>
      </w:r>
      <w:r>
        <w:rPr>
          <w:rtl w:val="true"/>
        </w:rPr>
        <w:t xml:space="preserve">) </w:t>
      </w:r>
      <w:r>
        <w:rPr>
          <w:rtl w:val="true"/>
        </w:rPr>
        <w:t>שלא ימצו עמם את מלוא חומרת הדין</w:t>
      </w:r>
      <w:r>
        <w:rPr>
          <w:rtl w:val="true"/>
        </w:rPr>
        <w:t xml:space="preserve">, </w:t>
      </w:r>
      <w:r>
        <w:rPr>
          <w:rtl w:val="true"/>
        </w:rPr>
        <w:t>מתירים לעצמם הקטינים לעבור עבירות</w:t>
      </w:r>
      <w:r>
        <w:rPr>
          <w:rtl w:val="true"/>
        </w:rPr>
        <w:t xml:space="preserve">, </w:t>
      </w:r>
      <w:r>
        <w:rPr>
          <w:rtl w:val="true"/>
        </w:rPr>
        <w:t>שמשלחיהם</w:t>
      </w:r>
      <w:r>
        <w:rPr>
          <w:rtl w:val="true"/>
        </w:rPr>
        <w:t>-</w:t>
      </w:r>
      <w:r>
        <w:rPr>
          <w:rtl w:val="true"/>
        </w:rPr>
        <w:t>שותפיהם הבגירים לא מעיזים לבצע מחמת העונש החמור שיוּשת עליהם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כשמדיניות ענישה מקלה מנוצלת לרעה על</w:t>
      </w:r>
      <w:r>
        <w:rPr>
          <w:rtl w:val="true"/>
        </w:rPr>
        <w:t>-</w:t>
      </w:r>
      <w:r>
        <w:rPr>
          <w:rtl w:val="true"/>
        </w:rPr>
        <w:t>ידי קטינים</w:t>
      </w:r>
      <w:r>
        <w:rPr>
          <w:rtl w:val="true"/>
        </w:rPr>
        <w:t xml:space="preserve">, </w:t>
      </w:r>
      <w:r>
        <w:rPr>
          <w:rtl w:val="true"/>
        </w:rPr>
        <w:t xml:space="preserve">והיחס הסלחני כלפיהם הופך לתמריץ עבורם לביצוע עבירות חמורות </w:t>
      </w:r>
      <w:r>
        <w:rPr>
          <w:rtl w:val="true"/>
        </w:rPr>
        <w:t>–</w:t>
      </w:r>
      <w:r>
        <w:rPr>
          <w:rtl w:val="true"/>
        </w:rPr>
        <w:t xml:space="preserve"> ראוי להחמיר עמם בדין</w:t>
      </w:r>
      <w:r>
        <w:rPr>
          <w:rtl w:val="true"/>
        </w:rPr>
        <w:t xml:space="preserve">; </w:t>
      </w:r>
      <w:r>
        <w:rPr>
          <w:rtl w:val="true"/>
        </w:rPr>
        <w:t>אל לנו לנטות חסד למנצלים לרעה את מידת הרחמים</w:t>
      </w:r>
      <w:r>
        <w:rPr>
          <w:rtl w:val="true"/>
        </w:rPr>
        <w:t xml:space="preserve">. </w:t>
      </w:r>
      <w:r>
        <w:rPr>
          <w:rtl w:val="true"/>
        </w:rPr>
        <w:t>הערה עקרונית זו של ב</w:t>
      </w:r>
      <w:r>
        <w:rPr>
          <w:rtl w:val="true"/>
        </w:rPr>
        <w:t>"</w:t>
      </w:r>
      <w:r>
        <w:rPr>
          <w:rtl w:val="true"/>
        </w:rPr>
        <w:t>כ המדינה</w:t>
      </w:r>
      <w:r>
        <w:rPr>
          <w:rtl w:val="true"/>
        </w:rPr>
        <w:t xml:space="preserve">, </w:t>
      </w:r>
      <w:r>
        <w:rPr>
          <w:rtl w:val="true"/>
        </w:rPr>
        <w:t>ראויה להישמע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 על אף שמדובר בטענה כבדת משקל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העונש שהשית בית המשפט המחוזי על המערער </w:t>
      </w:r>
      <w:r>
        <w:rPr>
          <w:rtl w:val="true"/>
        </w:rPr>
        <w:t>–</w:t>
      </w:r>
      <w:r>
        <w:rPr>
          <w:rtl w:val="true"/>
        </w:rPr>
        <w:t xml:space="preserve"> אשר מצוי כאמור ברף הגבוה </w:t>
      </w:r>
      <w:r>
        <w:rPr>
          <w:rtl w:val="true"/>
        </w:rPr>
        <w:t>–</w:t>
      </w:r>
      <w:r>
        <w:rPr>
          <w:rtl w:val="true"/>
        </w:rPr>
        <w:t xml:space="preserve"> מגלם גם את היחס המחמיר</w:t>
      </w:r>
      <w:r>
        <w:rPr>
          <w:rtl w:val="true"/>
        </w:rPr>
        <w:t xml:space="preserve">, </w:t>
      </w:r>
      <w:r>
        <w:rPr>
          <w:rtl w:val="true"/>
        </w:rPr>
        <w:t xml:space="preserve">המרתיע מפני פרקטיקה של </w:t>
      </w:r>
      <w:r>
        <w:rPr>
          <w:rtl w:val="true"/>
        </w:rPr>
        <w:t>'</w:t>
      </w:r>
      <w:r>
        <w:rPr>
          <w:rtl w:val="true"/>
        </w:rPr>
        <w:t>חלוקת עבודה</w:t>
      </w:r>
      <w:r>
        <w:rPr>
          <w:rtl w:val="true"/>
        </w:rPr>
        <w:t xml:space="preserve">' </w:t>
      </w:r>
      <w:r>
        <w:rPr>
          <w:rtl w:val="true"/>
        </w:rPr>
        <w:t>בין קטינים לבגירים</w:t>
      </w:r>
      <w:r>
        <w:rPr>
          <w:rtl w:val="true"/>
        </w:rPr>
        <w:t xml:space="preserve">, </w:t>
      </w:r>
      <w:r>
        <w:rPr>
          <w:rtl w:val="true"/>
        </w:rPr>
        <w:t xml:space="preserve">בגדרה מבצעים הקטינים את </w:t>
      </w:r>
      <w:r>
        <w:rPr>
          <w:rtl w:val="true"/>
        </w:rPr>
        <w:t>'</w:t>
      </w:r>
      <w:r>
        <w:rPr>
          <w:rtl w:val="true"/>
        </w:rPr>
        <w:t>העבודה המלוכלכת</w:t>
      </w:r>
      <w:r>
        <w:rPr>
          <w:rtl w:val="true"/>
        </w:rPr>
        <w:t>'.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בטענת ב</w:t>
      </w:r>
      <w:r>
        <w:rPr>
          <w:rtl w:val="true"/>
        </w:rPr>
        <w:t>"</w:t>
      </w:r>
      <w:r>
        <w:rPr>
          <w:rtl w:val="true"/>
        </w:rPr>
        <w:t>כ המדינה</w:t>
      </w:r>
      <w:r>
        <w:rPr>
          <w:rtl w:val="true"/>
        </w:rPr>
        <w:t xml:space="preserve">, </w:t>
      </w:r>
      <w:r>
        <w:rPr>
          <w:rtl w:val="true"/>
        </w:rPr>
        <w:t>לפיה נוכח ההתפרצויות הרבות שמבוצעות על</w:t>
      </w:r>
      <w:r>
        <w:rPr>
          <w:rtl w:val="true"/>
        </w:rPr>
        <w:t>-</w:t>
      </w:r>
      <w:r>
        <w:rPr>
          <w:rtl w:val="true"/>
        </w:rPr>
        <w:t>ידי קטינים בדרום הארץ בתקופה האחרונה</w:t>
      </w:r>
      <w:r>
        <w:rPr>
          <w:rtl w:val="true"/>
        </w:rPr>
        <w:t xml:space="preserve">, </w:t>
      </w:r>
      <w:r>
        <w:rPr>
          <w:rtl w:val="true"/>
        </w:rPr>
        <w:t>עניין לנו ב</w:t>
      </w:r>
      <w:r>
        <w:rPr>
          <w:rtl w:val="true"/>
        </w:rPr>
        <w:t>'</w:t>
      </w:r>
      <w:r>
        <w:rPr>
          <w:rtl w:val="true"/>
        </w:rPr>
        <w:t>מכת מדינה</w:t>
      </w:r>
      <w:r>
        <w:rPr>
          <w:rtl w:val="true"/>
        </w:rPr>
        <w:t xml:space="preserve">', </w:t>
      </w:r>
      <w:r>
        <w:rPr>
          <w:rtl w:val="true"/>
        </w:rPr>
        <w:t xml:space="preserve">אשר מצדיקה החמרה נוספת </w:t>
      </w:r>
      <w:r>
        <w:rPr>
          <w:rtl w:val="true"/>
        </w:rPr>
        <w:t>–</w:t>
      </w:r>
      <w:r>
        <w:rPr>
          <w:rtl w:val="true"/>
        </w:rPr>
        <w:t xml:space="preserve"> לא מצאתי הצדקה להתערב בגזר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המדינה סבורה</w:t>
      </w:r>
      <w:r>
        <w:rPr>
          <w:rtl w:val="true"/>
        </w:rPr>
        <w:t xml:space="preserve">, </w:t>
      </w:r>
      <w:r>
        <w:rPr>
          <w:rtl w:val="true"/>
        </w:rPr>
        <w:t>כי בהכרזה על התופעה כ</w:t>
      </w:r>
      <w:r>
        <w:rPr>
          <w:rtl w:val="true"/>
        </w:rPr>
        <w:t>'</w:t>
      </w:r>
      <w:r>
        <w:rPr>
          <w:rtl w:val="true"/>
        </w:rPr>
        <w:t>מכת מדינה</w:t>
      </w:r>
      <w:r>
        <w:rPr>
          <w:rtl w:val="true"/>
        </w:rPr>
        <w:t xml:space="preserve">', </w:t>
      </w:r>
      <w:r>
        <w:rPr>
          <w:rtl w:val="true"/>
        </w:rPr>
        <w:t xml:space="preserve">או לכל הפחות </w:t>
      </w:r>
      <w:r>
        <w:rPr>
          <w:rtl w:val="true"/>
        </w:rPr>
        <w:t>'</w:t>
      </w:r>
      <w:r>
        <w:rPr>
          <w:rtl w:val="true"/>
        </w:rPr>
        <w:t>מכת אזור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באזור הדרום</w:t>
      </w:r>
      <w:r>
        <w:rPr>
          <w:rtl w:val="true"/>
        </w:rPr>
        <w:t xml:space="preserve">, </w:t>
      </w:r>
      <w:r>
        <w:rPr>
          <w:rtl w:val="true"/>
        </w:rPr>
        <w:t xml:space="preserve">יש כדי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נפיצותן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בפסיקה הודגש</w:t>
      </w:r>
      <w:r>
        <w:rPr>
          <w:rtl w:val="true"/>
        </w:rPr>
        <w:t xml:space="preserve">, </w:t>
      </w:r>
      <w:r>
        <w:rPr>
          <w:rtl w:val="true"/>
        </w:rPr>
        <w:t>זה מכבר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התפרצות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הרכוש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בכלל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למכת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למקור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דאגה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וטרוניה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לאזרחים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ולפגיעה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בתחושת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ביטחונם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9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 ט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</w:t>
      </w:r>
      <w:r>
        <w:rPr/>
        <w:t>2</w:t>
      </w:r>
      <w:r>
        <w:rPr/>
        <w:t>.2008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סלפיתי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</w:t>
      </w:r>
      <w:r>
        <w:rPr/>
        <w:t>8</w:t>
      </w:r>
      <w:r>
        <w:rPr/>
        <w:t>.2014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בדיון לפנינו</w:t>
      </w:r>
      <w:r>
        <w:rPr>
          <w:rtl w:val="true"/>
        </w:rPr>
        <w:t xml:space="preserve">, </w:t>
      </w:r>
      <w:r>
        <w:rPr>
          <w:rtl w:val="true"/>
        </w:rPr>
        <w:t>הגישה ב</w:t>
      </w:r>
      <w:r>
        <w:rPr>
          <w:rtl w:val="true"/>
        </w:rPr>
        <w:t>"</w:t>
      </w:r>
      <w:r>
        <w:rPr>
          <w:rtl w:val="true"/>
        </w:rPr>
        <w:t>כ המדינה נתונים רשמיים של משטרת ישראל</w:t>
      </w:r>
      <w:r>
        <w:rPr>
          <w:rtl w:val="true"/>
        </w:rPr>
        <w:t xml:space="preserve">, </w:t>
      </w:r>
      <w:r>
        <w:rPr>
          <w:rtl w:val="true"/>
        </w:rPr>
        <w:t>באשר לעבירות התפרצות לבתי עסק ומוסדות והתפרצות לבתים ולדירות</w:t>
      </w:r>
      <w:r>
        <w:rPr>
          <w:rtl w:val="true"/>
        </w:rPr>
        <w:t xml:space="preserve">. </w:t>
      </w:r>
      <w:r>
        <w:rPr>
          <w:rtl w:val="true"/>
        </w:rPr>
        <w:t>הגם שמהנתונים שהוגשו לעיוננו לא עולה כי חל גידול ממשי במספר העבירות במהלך השנים האחרונות</w:t>
      </w:r>
      <w:r>
        <w:rPr>
          <w:rtl w:val="true"/>
        </w:rPr>
        <w:t xml:space="preserve">, </w:t>
      </w:r>
      <w:r>
        <w:rPr>
          <w:rtl w:val="true"/>
        </w:rPr>
        <w:t>בהחלט עולה מהם כי מדובר ברבבות מקרים מדי שנה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כפי שציינתי</w:t>
      </w:r>
      <w:r>
        <w:rPr>
          <w:rtl w:val="true"/>
        </w:rPr>
        <w:t xml:space="preserve">, </w:t>
      </w:r>
      <w:r>
        <w:rPr>
          <w:rtl w:val="true"/>
        </w:rPr>
        <w:t>בנסיבות העניין ובשים לב לעובדה שבעונש שנגזר על המערער אכן יש משום החמרה מסוימת מהנהוג והמקובל ביחס לעבירות מין של קטינים</w:t>
      </w:r>
      <w:r>
        <w:rPr>
          <w:rtl w:val="true"/>
        </w:rPr>
        <w:t xml:space="preserve">, </w:t>
      </w:r>
      <w:r>
        <w:rPr>
          <w:rtl w:val="true"/>
        </w:rPr>
        <w:t>אינני מוצא לנכון להוסיף ולהחמיר עוד בנדון</w:t>
      </w:r>
      <w:r>
        <w:rPr>
          <w:rtl w:val="true"/>
        </w:rPr>
        <w:t xml:space="preserve">; </w:t>
      </w:r>
      <w:r>
        <w:rPr>
          <w:rtl w:val="true"/>
        </w:rPr>
        <w:t xml:space="preserve">מה גם שיש טעם בהערת בית המשפט המחוזי לפיה העונש שלו עתרה המדינה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–</w:t>
      </w:r>
      <w:r>
        <w:rPr>
          <w:rtl w:val="true"/>
        </w:rPr>
        <w:t xml:space="preserve"> הריהו חריגה משמעותית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גם מדיניות של החמרת ענישה</w:t>
      </w:r>
      <w:r>
        <w:rPr>
          <w:rtl w:val="true"/>
        </w:rPr>
        <w:t xml:space="preserve">, </w:t>
      </w:r>
      <w:r>
        <w:rPr>
          <w:rtl w:val="true"/>
        </w:rPr>
        <w:t>ראוי לה שתהיה מדודה והדרגתית</w:t>
      </w:r>
      <w:r>
        <w:rPr>
          <w:rtl w:val="true"/>
        </w:rPr>
        <w:t xml:space="preserve">. 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העולה מן המקובץ</w:t>
      </w:r>
      <w:r>
        <w:rPr>
          <w:rtl w:val="true"/>
        </w:rPr>
        <w:t xml:space="preserve">: </w:t>
      </w:r>
      <w:r>
        <w:rPr>
          <w:rtl w:val="true"/>
        </w:rPr>
        <w:t>מעשיו של המערער אכן חמורים ביותר</w:t>
      </w:r>
      <w:r>
        <w:rPr>
          <w:rtl w:val="true"/>
        </w:rPr>
        <w:t xml:space="preserve">, </w:t>
      </w:r>
      <w:r>
        <w:rPr>
          <w:rtl w:val="true"/>
        </w:rPr>
        <w:t>אך הם קיבלו ביטוי הולם בגזר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שקבע את עונשו של המערער ברף הגבוה של ענישת קטינים בנסיבות דומות</w:t>
      </w:r>
      <w:r>
        <w:rPr>
          <w:rtl w:val="true"/>
        </w:rPr>
        <w:t xml:space="preserve">. </w:t>
      </w:r>
      <w:r>
        <w:rPr>
          <w:rtl w:val="true"/>
        </w:rPr>
        <w:t>לא מצאתי בערעור המדינה טעם טוב להחמרה נוספת</w:t>
      </w:r>
      <w:r>
        <w:rPr>
          <w:rtl w:val="true"/>
        </w:rPr>
        <w:t xml:space="preserve">, </w:t>
      </w:r>
      <w:r>
        <w:rPr>
          <w:rtl w:val="true"/>
        </w:rPr>
        <w:t>ולהתערבות בגזר דינו של בית המשפט המחוזי</w:t>
      </w:r>
      <w:r>
        <w:rPr>
          <w:rtl w:val="true"/>
        </w:rPr>
        <w:t xml:space="preserve">. 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 xml:space="preserve">הערעור לגבי סכום הפיצויים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שהמערער חוייב בתשלומו לנפגעת העבירה </w:t>
      </w:r>
      <w:r>
        <w:rPr>
          <w:rtl w:val="true"/>
        </w:rPr>
        <w:t>–</w:t>
      </w:r>
      <w:r>
        <w:rPr>
          <w:rtl w:val="true"/>
        </w:rPr>
        <w:t xml:space="preserve"> איננו מוצדק</w:t>
      </w:r>
      <w:r>
        <w:rPr>
          <w:rtl w:val="true"/>
        </w:rPr>
        <w:t xml:space="preserve">; </w:t>
      </w:r>
      <w:r>
        <w:rPr>
          <w:rtl w:val="true"/>
        </w:rPr>
        <w:t>אין מקום להפחית מסכום זה</w:t>
      </w:r>
      <w:r>
        <w:rPr>
          <w:rtl w:val="true"/>
        </w:rPr>
        <w:t xml:space="preserve">. </w:t>
      </w:r>
      <w:r>
        <w:rPr>
          <w:rtl w:val="true"/>
        </w:rPr>
        <w:t>בית המשפט המחוזי ציין כי הפיצוי הוא בשיעור גבוה יחסית</w:t>
      </w:r>
      <w:r>
        <w:rPr>
          <w:rtl w:val="true"/>
        </w:rPr>
        <w:t xml:space="preserve">, </w:t>
      </w:r>
      <w:r>
        <w:rPr>
          <w:rtl w:val="true"/>
        </w:rPr>
        <w:t>בשים לב לכך שהמערער הוא קטין</w:t>
      </w:r>
      <w:r>
        <w:rPr>
          <w:rtl w:val="true"/>
        </w:rPr>
        <w:t xml:space="preserve">, </w:t>
      </w:r>
      <w:r>
        <w:rPr>
          <w:rtl w:val="true"/>
        </w:rPr>
        <w:t xml:space="preserve">אך נימוקיו </w:t>
      </w:r>
      <w:r>
        <w:rPr>
          <w:rtl w:val="true"/>
        </w:rPr>
        <w:t>–</w:t>
      </w:r>
      <w:r>
        <w:rPr>
          <w:rtl w:val="true"/>
        </w:rPr>
        <w:t xml:space="preserve"> משכנעים</w:t>
      </w:r>
      <w:r>
        <w:rPr>
          <w:rtl w:val="true"/>
        </w:rPr>
        <w:t xml:space="preserve">. </w:t>
      </w:r>
      <w:r>
        <w:rPr>
          <w:rtl w:val="true"/>
        </w:rPr>
        <w:t>הבקשה לפריסת התשלום</w:t>
      </w:r>
      <w:r>
        <w:rPr>
          <w:rtl w:val="true"/>
        </w:rPr>
        <w:t xml:space="preserve">, </w:t>
      </w:r>
      <w:r>
        <w:rPr>
          <w:rtl w:val="true"/>
        </w:rPr>
        <w:t>מקומה במרכז לגביית קנסות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במבט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עתיד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באשר לענישת הקטינים הנוהגת בפסיקה</w:t>
      </w:r>
      <w:r>
        <w:rPr>
          <w:rtl w:val="true"/>
        </w:rPr>
        <w:t xml:space="preserve">, </w:t>
      </w:r>
      <w:r>
        <w:rPr>
          <w:rtl w:val="true"/>
        </w:rPr>
        <w:t>נתגלעה לאחרונה מחלוקת בין חברי ההרכב בפסק הדין ב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</w:t>
      </w:r>
      <w:r>
        <w:rPr/>
        <w:t>8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9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1589/23</w:t>
        </w:r>
      </w:hyperlink>
      <w:r>
        <w:rPr>
          <w:rtl w:val="true"/>
        </w:rPr>
        <w:t xml:space="preserve">);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הכל מסכימים לעקרונות המנחים בענישת קטינים</w:t>
      </w:r>
      <w:r>
        <w:rPr>
          <w:rtl w:val="true"/>
        </w:rPr>
        <w:t xml:space="preserve">, </w:t>
      </w:r>
      <w:r>
        <w:rPr>
          <w:rtl w:val="true"/>
        </w:rPr>
        <w:t>אך המחלוקת שם מלמדת כי המעבר מהלכה למעשה</w:t>
      </w:r>
      <w:r>
        <w:rPr>
          <w:rtl w:val="true"/>
        </w:rPr>
        <w:t xml:space="preserve">, </w:t>
      </w:r>
      <w:r>
        <w:rPr>
          <w:rtl w:val="true"/>
        </w:rPr>
        <w:t>עשוי להוליך למסקנות שונות למדי</w:t>
      </w:r>
      <w:r>
        <w:rPr>
          <w:rtl w:val="true"/>
        </w:rPr>
        <w:t xml:space="preserve">; </w:t>
      </w:r>
      <w:r>
        <w:rPr>
          <w:rtl w:val="true"/>
        </w:rPr>
        <w:t>פסק הדין מוכיח כי גם על יסוד המצע העקרוני המוסכם</w:t>
      </w:r>
      <w:r>
        <w:rPr>
          <w:rtl w:val="true"/>
        </w:rPr>
        <w:t xml:space="preserve">, </w:t>
      </w:r>
      <w:r>
        <w:rPr>
          <w:rtl w:val="true"/>
        </w:rPr>
        <w:t>בין עמדתם של שופטים שונים ביחס לתוצאה</w:t>
      </w:r>
      <w:r>
        <w:rPr>
          <w:rtl w:val="true"/>
        </w:rPr>
        <w:t xml:space="preserve">, </w:t>
      </w:r>
      <w:r>
        <w:rPr>
          <w:rtl w:val="true"/>
        </w:rPr>
        <w:t xml:space="preserve">יכול שתהיה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כדברי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ascii="Century" w:hAnsi="Century" w:cs="Century"/>
          <w:sz w:val="22"/>
          <w:sz w:val="22"/>
          <w:rtl w:val="true"/>
        </w:rPr>
        <w:t xml:space="preserve"> בפסקה </w:t>
      </w:r>
      <w:r>
        <w:rPr>
          <w:rFonts w:cs="Century" w:ascii="Century" w:hAnsi="Century"/>
          <w:sz w:val="22"/>
        </w:rPr>
        <w:t>30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ואפשר ששופטים שונים יגיעו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</w:t>
      </w:r>
      <w:r>
        <w:rPr>
          <w:rFonts w:ascii="Century" w:hAnsi="Century" w:cs="Century"/>
          <w:sz w:val="22"/>
          <w:sz w:val="22"/>
          <w:rtl w:val="true"/>
        </w:rPr>
        <w:t xml:space="preserve"> בפסקה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>נוכח חשיבות הסוגיה</w:t>
      </w:r>
      <w:r>
        <w:rPr>
          <w:rtl w:val="true"/>
        </w:rPr>
        <w:t xml:space="preserve">, </w:t>
      </w:r>
      <w:r>
        <w:rPr>
          <w:rtl w:val="true"/>
        </w:rPr>
        <w:t>ועל רקע הפערים המשמעותיים בפסיקה ביחס לענישת קטינים</w:t>
      </w:r>
      <w:r>
        <w:rPr>
          <w:rtl w:val="true"/>
        </w:rPr>
        <w:t xml:space="preserve">, </w:t>
      </w:r>
      <w:r>
        <w:rPr>
          <w:rtl w:val="true"/>
        </w:rPr>
        <w:t>כפי שמצטייר מפסק הדין ב</w:t>
      </w:r>
      <w:hyperlink r:id="rId10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1589/23</w:t>
        </w:r>
      </w:hyperlink>
      <w:r>
        <w:rPr>
          <w:rtl w:val="true"/>
        </w:rPr>
        <w:t xml:space="preserve">, </w:t>
      </w:r>
      <w:r>
        <w:rPr>
          <w:rtl w:val="true"/>
        </w:rPr>
        <w:t>אבקש להעיר עוד הערות אחדות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ענייננו בעונשים שנגזרים על קטינים שביצעו פשעים חמורים</w:t>
      </w:r>
      <w:r>
        <w:rPr>
          <w:rtl w:val="true"/>
        </w:rPr>
        <w:t xml:space="preserve">, </w:t>
      </w:r>
      <w:r>
        <w:rPr>
          <w:rtl w:val="true"/>
        </w:rPr>
        <w:t>אשר אם היו מבוצעים על</w:t>
      </w:r>
      <w:r>
        <w:rPr>
          <w:rtl w:val="true"/>
        </w:rPr>
        <w:t>-</w:t>
      </w:r>
      <w:r>
        <w:rPr>
          <w:rtl w:val="true"/>
        </w:rPr>
        <w:t>ידי בגירים</w:t>
      </w:r>
      <w:r>
        <w:rPr>
          <w:rtl w:val="true"/>
        </w:rPr>
        <w:t xml:space="preserve">, </w:t>
      </w:r>
      <w:r>
        <w:rPr>
          <w:rtl w:val="true"/>
        </w:rPr>
        <w:t>לבטח היה נגזר עליהם עונש מאסר לתקופה ממושכת</w:t>
      </w:r>
      <w:r>
        <w:rPr>
          <w:rtl w:val="true"/>
        </w:rPr>
        <w:t xml:space="preserve">;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 xml:space="preserve">אשר מצויים במעון נעול </w:t>
      </w:r>
      <w:r>
        <w:rPr>
          <w:rtl w:val="true"/>
        </w:rPr>
        <w:t>(</w:t>
      </w:r>
      <w:r>
        <w:rPr>
          <w:rtl w:val="true"/>
        </w:rPr>
        <w:t>בדרך כלל עוד משלב המעצר עד תום ההליכים</w:t>
      </w:r>
      <w:r>
        <w:rPr>
          <w:rtl w:val="true"/>
        </w:rPr>
        <w:t xml:space="preserve">), </w:t>
      </w:r>
      <w:r>
        <w:rPr>
          <w:rtl w:val="true"/>
        </w:rPr>
        <w:t>ושירות המבחן ממליץ טוב בעדם</w:t>
      </w:r>
      <w:r>
        <w:rPr>
          <w:rtl w:val="true"/>
        </w:rPr>
        <w:t xml:space="preserve">. </w:t>
      </w:r>
      <w:r>
        <w:rPr>
          <w:rtl w:val="true"/>
        </w:rPr>
        <w:t xml:space="preserve">או אז מתעוררת השאלה </w:t>
      </w:r>
      <w:r>
        <w:rPr>
          <w:rtl w:val="true"/>
        </w:rPr>
        <w:t>–</w:t>
      </w:r>
      <w:r>
        <w:rPr>
          <w:rtl w:val="true"/>
        </w:rPr>
        <w:t xml:space="preserve"> איזוהי דרך ראויה שיבוֹר לו בית המשפט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בפסק הדין הנ</w:t>
      </w:r>
      <w:r>
        <w:rPr>
          <w:rtl w:val="true"/>
        </w:rPr>
        <w:t>"</w:t>
      </w:r>
      <w:r>
        <w:rPr>
          <w:rtl w:val="true"/>
        </w:rPr>
        <w:t>ל ב</w:t>
      </w:r>
      <w:hyperlink r:id="rId10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1589/23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לדעת השופט </w:t>
      </w:r>
      <w:r>
        <w:rPr>
          <w:rFonts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בשים לב לחומרת העבירות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נוכח הנזק שנגרם לנפגע העבירה</w:t>
      </w:r>
      <w:r>
        <w:rPr>
          <w:rtl w:val="true"/>
        </w:rPr>
        <w:t xml:space="preserve">, </w:t>
      </w:r>
      <w:r>
        <w:rPr>
          <w:rtl w:val="true"/>
        </w:rPr>
        <w:t>ראויים לגבור שיקולי הגמול</w:t>
      </w:r>
      <w:r>
        <w:rPr>
          <w:rtl w:val="true"/>
        </w:rPr>
        <w:t xml:space="preserve">, </w:t>
      </w:r>
      <w:r>
        <w:rPr>
          <w:rtl w:val="true"/>
        </w:rPr>
        <w:t>ההרתעה והמניעה</w:t>
      </w:r>
      <w:r>
        <w:rPr>
          <w:rtl w:val="true"/>
        </w:rPr>
        <w:t xml:space="preserve">, </w:t>
      </w:r>
      <w:r>
        <w:rPr>
          <w:rtl w:val="true"/>
        </w:rPr>
        <w:t xml:space="preserve">על שיקולי השיקום ונסיבותיו האישיות של הקטין </w:t>
      </w:r>
      <w:r>
        <w:rPr>
          <w:rtl w:val="true"/>
        </w:rPr>
        <w:t>–</w:t>
      </w:r>
      <w:r>
        <w:rPr>
          <w:rtl w:val="true"/>
        </w:rPr>
        <w:t xml:space="preserve"> ולפיכך הותיר את עונש המאסר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לדעת השופטת </w:t>
      </w:r>
      <w:r>
        <w:rPr>
          <w:rFonts w:cs="Miriam"/>
          <w:b/>
          <w:b/>
          <w:spacing w:val="0"/>
          <w:szCs w:val="24"/>
          <w:rtl w:val="true"/>
        </w:rPr>
        <w:t>רונן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מחמת שיקולי השיקום</w:t>
      </w:r>
      <w:r>
        <w:rPr>
          <w:rtl w:val="true"/>
        </w:rPr>
        <w:t xml:space="preserve">, </w:t>
      </w:r>
      <w:r>
        <w:rPr>
          <w:rtl w:val="true"/>
        </w:rPr>
        <w:t>ובהתחשב בתסקירי שירות המבחן החיוביים</w:t>
      </w:r>
      <w:r>
        <w:rPr>
          <w:rtl w:val="true"/>
        </w:rPr>
        <w:t xml:space="preserve">, </w:t>
      </w:r>
      <w:r>
        <w:rPr>
          <w:rtl w:val="true"/>
        </w:rPr>
        <w:t>יש להימנע ממאסר</w:t>
      </w:r>
      <w:r>
        <w:rPr>
          <w:rtl w:val="true"/>
        </w:rPr>
        <w:t xml:space="preserve">, </w:t>
      </w:r>
      <w:r>
        <w:rPr>
          <w:rtl w:val="true"/>
        </w:rPr>
        <w:t>ולהסתפק בשהייתו של הקטין במעון נעול</w:t>
      </w:r>
      <w:r>
        <w:rPr>
          <w:rtl w:val="true"/>
        </w:rPr>
        <w:t xml:space="preserve">. </w:t>
      </w:r>
      <w:r>
        <w:rPr>
          <w:rtl w:val="true"/>
        </w:rPr>
        <w:t>מרוח</w:t>
      </w:r>
      <w:r>
        <w:rPr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 </w:t>
      </w:r>
      <w:r>
        <w:rPr>
          <w:rtl w:val="true"/>
        </w:rPr>
        <w:t>משתמעת עמדה עקרונית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השונים מרכינים ראשם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מכלול הנתונים מלמד כי </w:t>
      </w:r>
      <w:r>
        <w:rPr>
          <w:rtl w:val="true"/>
        </w:rPr>
        <w:t>הליכי</w:t>
      </w:r>
      <w:r>
        <w:rPr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 </w:t>
      </w:r>
      <w:r>
        <w:rPr>
          <w:rtl w:val="true"/>
        </w:rPr>
        <w:t>עולים</w:t>
      </w:r>
      <w:r>
        <w:rPr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, </w:t>
      </w:r>
      <w:r>
        <w:rPr>
          <w:rtl w:val="true"/>
        </w:rPr>
        <w:t>ועל כן בנסיבות אלו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מקום לגזור על</w:t>
      </w:r>
      <w:r>
        <w:rPr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>
          <w:rtl w:val="true"/>
        </w:rPr>
        <w:t>מאס</w:t>
      </w:r>
      <w:r>
        <w:rPr>
          <w:rtl w:val="true"/>
        </w:rPr>
        <w:t>ר מאחורי סורג ובריח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cs="Miriam"/>
          <w:b/>
          <w:b/>
          <w:spacing w:val="0"/>
          <w:szCs w:val="24"/>
          <w:rtl w:val="true"/>
        </w:rPr>
        <w:t>כשר</w:t>
      </w:r>
      <w:r>
        <w:rPr>
          <w:rtl w:val="true"/>
        </w:rPr>
        <w:t xml:space="preserve"> ציין שם כי השופטת </w:t>
      </w:r>
      <w:r>
        <w:rPr>
          <w:rFonts w:cs="Miriam"/>
          <w:b/>
          <w:b/>
          <w:spacing w:val="0"/>
          <w:szCs w:val="24"/>
          <w:rtl w:val="true"/>
        </w:rPr>
        <w:t>רונן</w:t>
      </w:r>
      <w:r>
        <w:rPr>
          <w:rtl w:val="true"/>
        </w:rPr>
        <w:t xml:space="preserve"> הציבה לפניו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דילמה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קשה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נוספת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לאור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עמדתה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לפיה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לבטל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כליל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עונש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המאסר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שהוטל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[...]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להצטרף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לדעתה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חברתי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זאת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גם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משום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שדעתי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ככלל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חומרתן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העבירות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שביצע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קטין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יכולה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בהחלט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שתגיע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לדרגה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שבה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יהיה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ההליך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השיקומי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שעובר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הקטין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מוצלח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ומבטיח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שיהיה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ותהיינה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ההמלצות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שירות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המבחן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חד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משמעיות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שתהיינה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ניתן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להורות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מאסר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מאחורי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סורג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ובריח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לפרק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זמן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משמעותי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שיקול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השיקום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גם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לגבי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קטינים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אינו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עומד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לבדו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ככל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שהעבירה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חמורה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יותר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משקל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שיקול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ההלימה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נהיה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כבד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יותר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לאחר התלבטות צירף השופט </w:t>
      </w:r>
      <w:r>
        <w:rPr>
          <w:rFonts w:cs="Miriam"/>
          <w:b/>
          <w:b/>
          <w:spacing w:val="0"/>
          <w:szCs w:val="24"/>
          <w:rtl w:val="true"/>
        </w:rPr>
        <w:t>כשר</w:t>
      </w:r>
      <w:r>
        <w:rPr>
          <w:rtl w:val="true"/>
        </w:rPr>
        <w:t xml:space="preserve"> את דעתו לדעתה</w:t>
      </w:r>
      <w:r>
        <w:rPr>
          <w:rtl w:val="true"/>
        </w:rPr>
        <w:t xml:space="preserve">, </w:t>
      </w:r>
      <w:r>
        <w:rPr>
          <w:rtl w:val="true"/>
        </w:rPr>
        <w:t>ועוד הוסיף וציין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ככל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שהייתי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סבור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לגזור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עונש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מאסר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מאחורי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סורג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ובריח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הייתי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מציע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לחבריי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לגזור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עונש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מאסר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בפועל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לתקופה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משמעותית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הנמדדת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בשנים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בחודשים</w:t>
      </w:r>
      <w:r>
        <w:rPr>
          <w:rFonts w:cs="Miriam"/>
          <w:b/>
          <w:spacing w:val="0"/>
          <w:szCs w:val="24"/>
          <w:rtl w:val="true"/>
        </w:rPr>
        <w:t xml:space="preserve">), </w:t>
      </w:r>
      <w:r>
        <w:rPr>
          <w:rFonts w:cs="Miriam"/>
          <w:b/>
          <w:b/>
          <w:spacing w:val="0"/>
          <w:szCs w:val="24"/>
          <w:rtl w:val="true"/>
        </w:rPr>
        <w:t>אולם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קצרה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באופן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משמעותי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מהתקופה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שנגזרה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ידי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קמא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</w:rPr>
        <w:t>56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קיצורו של דבר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 הדין צויינו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תוצאות אפשריות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דעת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לפיה יש להותיר את עונש המאסר על כנו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דעת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שיש לבטל כליל את עונש המאסר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ולהסתפק בתקופת השהייה במעון הנעול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ודעת הביניים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להלכה אף אם לא 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תקופת מאסר קצרה באופן משמעותי מזו שנגזרה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כזו הנמדדת בשנים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על רקע עמדות קוטביות אלו של שלושת שופטי ההרכב שם</w:t>
      </w:r>
      <w:r>
        <w:rPr>
          <w:rtl w:val="true"/>
        </w:rPr>
        <w:t xml:space="preserve">, </w:t>
      </w:r>
      <w:r>
        <w:rPr>
          <w:rtl w:val="true"/>
        </w:rPr>
        <w:t>ומשום שהדברים רלבנטיים גם לעניינו של המערער שלפנינו</w:t>
      </w:r>
      <w:r>
        <w:rPr>
          <w:rtl w:val="true"/>
        </w:rPr>
        <w:t xml:space="preserve">, </w:t>
      </w:r>
      <w:r>
        <w:rPr>
          <w:rtl w:val="true"/>
        </w:rPr>
        <w:t>אבקש להציע גישה נוספת</w:t>
      </w:r>
      <w:r>
        <w:rPr>
          <w:rtl w:val="true"/>
        </w:rPr>
        <w:t xml:space="preserve">, </w:t>
      </w:r>
      <w:r>
        <w:rPr>
          <w:rtl w:val="true"/>
        </w:rPr>
        <w:t>לגבי עבריינים קטינים שביצעו עבירות חמורות והגיעה השעה לגזור את דינם</w:t>
      </w:r>
      <w:r>
        <w:rPr>
          <w:rtl w:val="true"/>
        </w:rPr>
        <w:t xml:space="preserve">, </w:t>
      </w:r>
      <w:r>
        <w:rPr>
          <w:rtl w:val="true"/>
        </w:rPr>
        <w:t>לאחר שכבר הספיקו לשהות במעון נעול</w:t>
      </w:r>
      <w:r>
        <w:rPr>
          <w:rtl w:val="true"/>
        </w:rPr>
        <w:t xml:space="preserve">, </w:t>
      </w:r>
      <w:r>
        <w:rPr>
          <w:rtl w:val="true"/>
        </w:rPr>
        <w:t>והחלו בו בהליך שיקומי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עבריינים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שביצעו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נעול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הן ב</w:t>
      </w:r>
      <w:hyperlink r:id="rId10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1589/23</w:t>
        </w:r>
      </w:hyperlink>
      <w:r>
        <w:rPr>
          <w:rtl w:val="true"/>
        </w:rPr>
        <w:t xml:space="preserve">, </w:t>
      </w:r>
      <w:r>
        <w:rPr>
          <w:rtl w:val="true"/>
        </w:rPr>
        <w:t>הן בנדון דידן</w:t>
      </w:r>
      <w:r>
        <w:rPr>
          <w:rtl w:val="true"/>
        </w:rPr>
        <w:t xml:space="preserve">, </w:t>
      </w:r>
      <w:r>
        <w:rPr>
          <w:rtl w:val="true"/>
        </w:rPr>
        <w:t>הוּשׂם הקטין במעון נעול בתקופת מעצרו</w:t>
      </w:r>
      <w:r>
        <w:rPr>
          <w:rtl w:val="true"/>
        </w:rPr>
        <w:t xml:space="preserve">. </w:t>
      </w:r>
      <w:r>
        <w:rPr>
          <w:rtl w:val="true"/>
        </w:rPr>
        <w:t>בדומה לכך</w:t>
      </w:r>
      <w:r>
        <w:rPr>
          <w:rtl w:val="true"/>
        </w:rPr>
        <w:t xml:space="preserve">, </w:t>
      </w:r>
      <w:r>
        <w:rPr>
          <w:rtl w:val="true"/>
        </w:rPr>
        <w:t>בערעורים רבים של קטינים שביצעו פשע חמור ונגזר עליהם עונש של מאסר לריצוי בפועל</w:t>
      </w:r>
      <w:r>
        <w:rPr>
          <w:rtl w:val="true"/>
        </w:rPr>
        <w:t xml:space="preserve">, </w:t>
      </w:r>
      <w:r>
        <w:rPr>
          <w:rtl w:val="true"/>
        </w:rPr>
        <w:t>במסגרת בקשה לעיכוב ביצוע גזר הדין עד למתן פסק דין בערעור</w:t>
      </w:r>
      <w:r>
        <w:rPr>
          <w:rtl w:val="true"/>
        </w:rPr>
        <w:t xml:space="preserve">, </w:t>
      </w:r>
      <w:r>
        <w:rPr>
          <w:rtl w:val="true"/>
        </w:rPr>
        <w:t>אנו נדרשים להכריע האם להותיר את הקטין במעון הנעול</w:t>
      </w:r>
      <w:r>
        <w:rPr>
          <w:rtl w:val="true"/>
        </w:rPr>
        <w:t xml:space="preserve">, </w:t>
      </w:r>
      <w:r>
        <w:rPr>
          <w:rtl w:val="true"/>
        </w:rPr>
        <w:t xml:space="preserve">או שמא לדחות את בקשתו ולהורות על מאסרו לאלתר </w:t>
      </w:r>
      <w:r>
        <w:rPr>
          <w:rtl w:val="true"/>
        </w:rPr>
        <w:t>(</w:t>
      </w:r>
      <w:r>
        <w:rPr>
          <w:rtl w:val="true"/>
        </w:rPr>
        <w:t xml:space="preserve">ראו למשל את החלטתי מיום </w:t>
      </w:r>
      <w:r>
        <w:rPr/>
        <w:t>13.3.2023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0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1589/23</w:t>
        </w:r>
      </w:hyperlink>
      <w:r>
        <w:rPr>
          <w:rtl w:val="true"/>
        </w:rPr>
        <w:t xml:space="preserve">).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גם לאחר שנשמע הערעור</w:t>
      </w:r>
      <w:r>
        <w:rPr>
          <w:rtl w:val="true"/>
        </w:rPr>
        <w:t xml:space="preserve">, </w:t>
      </w:r>
      <w:r>
        <w:rPr>
          <w:rtl w:val="true"/>
        </w:rPr>
        <w:t>דוחה בית המשפט את מתן פסק הדין</w:t>
      </w:r>
      <w:r>
        <w:rPr>
          <w:rtl w:val="true"/>
        </w:rPr>
        <w:t xml:space="preserve">, </w:t>
      </w:r>
      <w:r>
        <w:rPr>
          <w:rtl w:val="true"/>
        </w:rPr>
        <w:t>ומבקש משירות המבחן להגיש תסקיר עדכני</w:t>
      </w:r>
      <w:r>
        <w:rPr>
          <w:rtl w:val="true"/>
        </w:rPr>
        <w:t xml:space="preserve">, </w:t>
      </w:r>
      <w:r>
        <w:rPr>
          <w:rtl w:val="true"/>
        </w:rPr>
        <w:t xml:space="preserve">על בסיסו יוחלט כיצד לנהוג בקטין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החלטות ב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</w:t>
      </w:r>
      <w:r>
        <w:rPr/>
        <w:t>4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22.1.2020</w:t>
      </w:r>
      <w:r>
        <w:rPr>
          <w:rtl w:val="true"/>
        </w:rPr>
        <w:t xml:space="preserve">, </w:t>
      </w:r>
      <w:r>
        <w:rPr>
          <w:rtl w:val="true"/>
        </w:rPr>
        <w:t xml:space="preserve">ומיום </w:t>
      </w:r>
      <w:r>
        <w:rPr/>
        <w:t>10.8.2020</w:t>
      </w:r>
      <w:r>
        <w:rPr>
          <w:rtl w:val="true"/>
        </w:rPr>
        <w:t xml:space="preserve">, </w:t>
      </w:r>
      <w:r>
        <w:rPr>
          <w:rtl w:val="true"/>
        </w:rPr>
        <w:t xml:space="preserve">וכן בפסק הדין בפסקאות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59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[</w:t>
      </w:r>
      <w:r>
        <w:rPr>
          <w:rtl w:val="true"/>
        </w:rPr>
        <w:t>אציין במאמר מוסגר</w:t>
      </w:r>
      <w:r>
        <w:rPr>
          <w:rtl w:val="true"/>
        </w:rPr>
        <w:t xml:space="preserve">, </w:t>
      </w:r>
      <w:r>
        <w:rPr>
          <w:rtl w:val="true"/>
        </w:rPr>
        <w:t xml:space="preserve">כי מלכתחילה לא נועד </w:t>
      </w:r>
      <w:r>
        <w:rPr>
          <w:rtl w:val="true"/>
        </w:rPr>
        <w:t>מעו</w:t>
      </w:r>
      <w:r>
        <w:rPr>
          <w:rtl w:val="true"/>
        </w:rPr>
        <w:t xml:space="preserve">ן </w:t>
      </w:r>
      <w:r>
        <w:rPr>
          <w:rtl w:val="true"/>
        </w:rPr>
        <w:t>נעול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לצרכי</w:t>
      </w:r>
      <w:r>
        <w:rPr>
          <w:rtl w:val="true"/>
        </w:rPr>
        <w:t xml:space="preserve"> </w:t>
      </w:r>
      <w:r>
        <w:rPr>
          <w:rtl w:val="true"/>
        </w:rPr>
        <w:t>חלופת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ואולם זהו המצב כיום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ציין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שיוקדש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לקטינים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כתחליף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הסוהר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ואף הוסיף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להמתין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לחמורו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שתוקם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hyperlink r:id="rId10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בש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519/16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31.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</w:rPr>
        <w:t>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לדאבוננו</w:t>
      </w:r>
      <w:r>
        <w:rPr>
          <w:rtl w:val="true"/>
        </w:rPr>
        <w:t xml:space="preserve">, </w:t>
      </w:r>
      <w:r>
        <w:rPr>
          <w:rtl w:val="true"/>
        </w:rPr>
        <w:t>משיח לא בא</w:t>
      </w:r>
      <w:r>
        <w:rPr>
          <w:rtl w:val="true"/>
        </w:rPr>
        <w:t xml:space="preserve">, </w:t>
      </w:r>
      <w:r>
        <w:rPr>
          <w:rtl w:val="true"/>
        </w:rPr>
        <w:t>וגם מעון נעול יחודי טרם הוקם</w:t>
      </w:r>
      <w:r>
        <w:rPr>
          <w:rtl w:val="true"/>
        </w:rPr>
        <w:t xml:space="preserve">].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shd w:fill="FFFFFF" w:val="clear"/>
        </w:rPr>
        <w:t>60</w:t>
      </w:r>
      <w:r>
        <w:rPr>
          <w:shd w:fill="FFFFFF" w:val="clear"/>
          <w:rtl w:val="true"/>
        </w:rPr>
        <w:t>.</w:t>
        <w:tab/>
      </w:r>
      <w:r>
        <w:rPr>
          <w:shd w:fill="FFFFFF" w:val="clear"/>
          <w:rtl w:val="true"/>
        </w:rPr>
        <w:t>ב</w:t>
      </w:r>
      <w:r>
        <w:rPr>
          <w:shd w:fill="FFFFFF" w:val="clear"/>
          <w:rtl w:val="true"/>
        </w:rPr>
        <w:t>מ</w:t>
      </w:r>
      <w:r>
        <w:rPr>
          <w:shd w:fill="FFFFFF" w:val="clear"/>
          <w:rtl w:val="true"/>
        </w:rPr>
        <w:t xml:space="preserve">צב שכזה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שהקטין שעבר עבירה חמורה שוהה במעון נעול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ושירות המבחן מחווה דעתו על הליך שיקומי משמעותי שמתבצע במסגרת המעון הנעול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סבורני כי יש לעשות מאמץ להותיר קטין זה שם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עד למיצוי ההליך הטיפולי או עד לסוף התקופה המקסימלית האפשרית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ורק עם סיומה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להעבירו אל מאחורי סורג ובריח בבית הסוהר</w:t>
      </w:r>
      <w:r>
        <w:rPr>
          <w:shd w:fill="FFFFFF" w:val="clear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shd w:fill="FFFFFF" w:val="clear"/>
        </w:rPr>
        <w:t>61</w:t>
      </w:r>
      <w:r>
        <w:rPr>
          <w:shd w:fill="FFFFFF" w:val="clear"/>
          <w:rtl w:val="true"/>
        </w:rPr>
        <w:t>.</w:t>
        <w:tab/>
      </w:r>
      <w:r>
        <w:rPr>
          <w:shd w:fill="FFFFFF" w:val="clear"/>
          <w:rtl w:val="true"/>
        </w:rPr>
        <w:t>לדעתי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כאשר צוות המעון ושירות המבחן </w:t>
      </w:r>
      <w:r>
        <w:rPr>
          <w:rtl w:val="true"/>
        </w:rPr>
        <w:t>סבורים שהעבריין הקטין מצוי בהליך שיקומי חיובי במסגרת המעון הנעול</w:t>
      </w:r>
      <w:r>
        <w:rPr>
          <w:rtl w:val="true"/>
        </w:rPr>
        <w:t xml:space="preserve">, </w:t>
      </w:r>
      <w:r>
        <w:rPr>
          <w:rtl w:val="true"/>
        </w:rPr>
        <w:t>גם אם עבר עבירה חמורה</w:t>
      </w:r>
      <w:r>
        <w:rPr>
          <w:rtl w:val="true"/>
        </w:rPr>
        <w:t xml:space="preserve">, </w:t>
      </w:r>
      <w:r>
        <w:rPr>
          <w:rtl w:val="true"/>
        </w:rPr>
        <w:t xml:space="preserve">או אז </w:t>
      </w:r>
      <w:r>
        <w:rPr>
          <w:rtl w:val="true"/>
        </w:rPr>
        <w:t>–</w:t>
      </w:r>
      <w:r>
        <w:rPr>
          <w:rtl w:val="true"/>
        </w:rPr>
        <w:t xml:space="preserve"> בהעדר הצדקה מיוחדת</w:t>
      </w:r>
      <w:r>
        <w:rPr>
          <w:rtl w:val="true"/>
        </w:rPr>
        <w:t xml:space="preserve">, </w:t>
      </w:r>
      <w:r>
        <w:rPr>
          <w:rtl w:val="true"/>
        </w:rPr>
        <w:t>מן הראוי להותירו שם</w:t>
      </w:r>
      <w:r>
        <w:rPr>
          <w:rtl w:val="true"/>
        </w:rPr>
        <w:t xml:space="preserve">, </w:t>
      </w:r>
      <w:r>
        <w:rPr>
          <w:rtl w:val="true"/>
        </w:rPr>
        <w:t>ולאפשר לו למצות את ההליך השיקומי</w:t>
      </w:r>
      <w:r>
        <w:rPr>
          <w:rtl w:val="true"/>
        </w:rPr>
        <w:t xml:space="preserve">. </w:t>
      </w:r>
      <w:r>
        <w:rPr>
          <w:shd w:fill="FFFFFF" w:val="clear"/>
          <w:rtl w:val="true"/>
        </w:rPr>
        <w:t>בנקודה זו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אני תמים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 xml:space="preserve">דעים עם עמדתה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רונן</w:t>
      </w:r>
      <w:r>
        <w:rPr>
          <w:shd w:fill="FFFFFF" w:val="clear"/>
          <w:rtl w:val="true"/>
        </w:rPr>
        <w:t xml:space="preserve"> שם</w:t>
      </w:r>
      <w:r>
        <w:rPr>
          <w:shd w:fill="FFFFFF" w:val="clear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ברם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בניגוד לדעתה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דומני שבעבירות חמורות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כשנגזרים עונשי</w:t>
      </w:r>
      <w:r>
        <w:rPr>
          <w:rFonts w:cs="Century" w:ascii="Century" w:hAnsi="Century"/>
          <w:sz w:val="22"/>
          <w:shd w:fill="FFFFFF" w:val="clear"/>
          <w:rtl w:val="true"/>
        </w:rPr>
        <w:t>-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מאסר לתקופות ממושכות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לא יהיה זה נכון להסתפק בשלב הערעור בתקופת השהייה במעון הנעול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ולוותר על היתרה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תחת זאת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ראוי להשלים את הענישה במאסר מאחורי סורג ובריח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עמדתי בעניין זה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כעמדתו העקרונית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אלרון</w:t>
      </w:r>
      <w:r>
        <w:rPr>
          <w:rFonts w:cs="Century" w:ascii="Century" w:hAnsi="Century"/>
          <w:sz w:val="22"/>
          <w:shd w:fill="FFFFFF" w:val="clear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שבדומה לה העיר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כשר</w:t>
      </w:r>
      <w:r>
        <w:rPr>
          <w:rtl w:val="true"/>
        </w:rPr>
        <w:t xml:space="preserve">, </w:t>
      </w:r>
      <w:r>
        <w:rPr>
          <w:rtl w:val="true"/>
        </w:rPr>
        <w:t>כי יש מצבים שאין מנוס מלהורות בהם על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 xml:space="preserve">אולם בניגוד לדעתו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</w:t>
      </w:r>
      <w:r>
        <w:rPr>
          <w:rtl w:val="true"/>
        </w:rPr>
        <w:t xml:space="preserve">,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>מדובר לא רק במקרים חריגים</w:t>
      </w:r>
      <w:r>
        <w:rPr>
          <w:rtl w:val="true"/>
        </w:rPr>
        <w:t xml:space="preserve">, </w:t>
      </w:r>
      <w:r>
        <w:rPr>
          <w:rtl w:val="true"/>
        </w:rPr>
        <w:t>חמורים במיוחד</w:t>
      </w:r>
      <w:r>
        <w:rPr>
          <w:rtl w:val="true"/>
        </w:rPr>
        <w:t xml:space="preserve">, </w:t>
      </w:r>
      <w:r>
        <w:rPr>
          <w:rtl w:val="true"/>
        </w:rPr>
        <w:t>אלא כך ראוי בכל מצב שבו העונש שגזר בית המשפט חורג מהתקופה המקסימלית לשהייה במעון נעול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62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[</w:t>
      </w:r>
      <w:r>
        <w:rPr>
          <w:rtl w:val="true"/>
        </w:rPr>
        <w:t>עוד זאת אציין במאמר מוסגר</w:t>
      </w:r>
      <w:r>
        <w:rPr>
          <w:rtl w:val="true"/>
        </w:rPr>
        <w:t xml:space="preserve">: </w:t>
      </w:r>
      <w:r>
        <w:rPr>
          <w:rtl w:val="true"/>
        </w:rPr>
        <w:t>במקרים שבהם נשקלת ענישה הכוללת שילוב של שהייה במעון נעול וכליאה בבית הסוהר</w:t>
      </w:r>
      <w:r>
        <w:rPr>
          <w:rtl w:val="true"/>
        </w:rPr>
        <w:t xml:space="preserve">, </w:t>
      </w:r>
      <w:r>
        <w:rPr>
          <w:rtl w:val="true"/>
        </w:rPr>
        <w:t>אזי מן ההיבט השיקומי מן הראוי לתת את הדעת גם על פרק הזמן שבו ישהה הקטין מאחורי סורג ובריח בבית הסוהר</w:t>
      </w:r>
      <w:r>
        <w:rPr>
          <w:rtl w:val="true"/>
        </w:rPr>
        <w:t xml:space="preserve">. </w:t>
      </w:r>
      <w:r>
        <w:rPr>
          <w:rtl w:val="true"/>
        </w:rPr>
        <w:t>זאת מפאת העובדה שדווקא בעונשי מאסר לפרקי</w:t>
      </w:r>
      <w:r>
        <w:rPr>
          <w:rtl w:val="true"/>
        </w:rPr>
        <w:t>-</w:t>
      </w:r>
      <w:r>
        <w:rPr>
          <w:rtl w:val="true"/>
        </w:rPr>
        <w:t>זמן קצרים</w:t>
      </w:r>
      <w:r>
        <w:rPr>
          <w:rtl w:val="true"/>
        </w:rPr>
        <w:t xml:space="preserve">, </w:t>
      </w:r>
      <w:r>
        <w:rPr>
          <w:rtl w:val="true"/>
        </w:rPr>
        <w:t>פעמים רבות יש קושי</w:t>
      </w:r>
      <w:r>
        <w:rPr>
          <w:rtl w:val="true"/>
        </w:rPr>
        <w:t xml:space="preserve">, </w:t>
      </w:r>
      <w:r>
        <w:rPr>
          <w:rtl w:val="true"/>
        </w:rPr>
        <w:t>או אי</w:t>
      </w:r>
      <w:r>
        <w:rPr>
          <w:rtl w:val="true"/>
        </w:rPr>
        <w:t>-</w:t>
      </w:r>
      <w:r>
        <w:rPr>
          <w:rtl w:val="true"/>
        </w:rPr>
        <w:t>היתכנות מעשית</w:t>
      </w:r>
      <w:r>
        <w:rPr>
          <w:rtl w:val="true"/>
        </w:rPr>
        <w:t xml:space="preserve">, </w:t>
      </w:r>
      <w:r>
        <w:rPr>
          <w:rtl w:val="true"/>
        </w:rPr>
        <w:t>להשתלב בתוכניות טיפוליות ושיקומיות</w:t>
      </w:r>
      <w:r>
        <w:rPr>
          <w:rtl w:val="true"/>
        </w:rPr>
        <w:t xml:space="preserve">, </w:t>
      </w:r>
      <w:r>
        <w:rPr>
          <w:rtl w:val="true"/>
        </w:rPr>
        <w:t xml:space="preserve">בגלל מִשכן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אורן גזל</w:t>
      </w:r>
      <w:r>
        <w:rPr>
          <w:rtl w:val="true"/>
        </w:rPr>
        <w:t>-</w:t>
      </w:r>
      <w:r>
        <w:rPr>
          <w:rtl w:val="true"/>
        </w:rPr>
        <w:t>אייל ושירה גור</w:t>
      </w:r>
      <w:r>
        <w:rPr>
          <w:rtl w:val="true"/>
        </w:rPr>
        <w:t>-</w:t>
      </w:r>
      <w:r>
        <w:rPr>
          <w:rtl w:val="true"/>
        </w:rPr>
        <w:t xml:space="preserve">אריה </w:t>
      </w:r>
      <w:r>
        <w:rPr>
          <w:rtl w:val="true"/>
        </w:rPr>
        <w:t>(</w:t>
      </w:r>
      <w:r>
        <w:rPr>
          <w:rtl w:val="true"/>
        </w:rPr>
        <w:t>עפרון</w:t>
      </w:r>
      <w:r>
        <w:rPr>
          <w:rtl w:val="true"/>
        </w:rPr>
        <w:t>) "</w:t>
      </w:r>
      <w:r>
        <w:rPr>
          <w:rtl w:val="true"/>
        </w:rPr>
        <w:t>מניעת מסוכנות כעילה לשחרור ממעצר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משפטים</w:t>
      </w:r>
      <w:r>
        <w:rPr>
          <w:rtl w:val="true"/>
        </w:rPr>
        <w:t xml:space="preserve"> נג </w:t>
      </w:r>
      <w:r>
        <w:rPr>
          <w:rtl w:val="true"/>
        </w:rPr>
        <w:t>(</w:t>
      </w:r>
      <w:r>
        <w:rPr>
          <w:rtl w:val="true"/>
        </w:rPr>
        <w:t>צפוי להתפרסם</w:t>
      </w:r>
      <w:r>
        <w:rPr>
          <w:rtl w:val="true"/>
        </w:rPr>
        <w:t>)].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העמדה המצדדת בגזירת עונש מאסר ממושך מאחורי סורג ובריח</w:t>
      </w:r>
      <w:r>
        <w:rPr>
          <w:rtl w:val="true"/>
        </w:rPr>
        <w:t xml:space="preserve">, </w:t>
      </w:r>
      <w:r>
        <w:rPr>
          <w:rtl w:val="true"/>
        </w:rPr>
        <w:t xml:space="preserve">שעה שניתן למצות הליכים שיקומיים במסגרת מעון נעול </w:t>
      </w:r>
      <w:r>
        <w:rPr>
          <w:rtl w:val="true"/>
        </w:rPr>
        <w:t>–</w:t>
      </w:r>
      <w:r>
        <w:rPr>
          <w:rtl w:val="true"/>
        </w:rPr>
        <w:t xml:space="preserve"> הולמת לדעתי פחות את חוק הנוער</w:t>
      </w:r>
      <w:r>
        <w:rPr>
          <w:rtl w:val="true"/>
        </w:rPr>
        <w:t xml:space="preserve">, </w:t>
      </w:r>
      <w:r>
        <w:rPr>
          <w:rtl w:val="true"/>
        </w:rPr>
        <w:t>ואת תכליותיו השיקומיות</w:t>
      </w:r>
      <w:r>
        <w:rPr>
          <w:rtl w:val="true"/>
        </w:rPr>
        <w:t xml:space="preserve">, </w:t>
      </w:r>
      <w:r>
        <w:rPr>
          <w:rtl w:val="true"/>
        </w:rPr>
        <w:t>כמפורט בהרחבה לעיל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העמדה ההפוכה </w:t>
      </w:r>
      <w:r>
        <w:rPr>
          <w:rtl w:val="true"/>
        </w:rPr>
        <w:t>–</w:t>
      </w:r>
      <w:r>
        <w:rPr>
          <w:rtl w:val="true"/>
        </w:rPr>
        <w:t xml:space="preserve"> התולה את כל יהבה בשיקום</w:t>
      </w:r>
      <w:r>
        <w:rPr>
          <w:rtl w:val="true"/>
        </w:rPr>
        <w:t xml:space="preserve">, </w:t>
      </w:r>
      <w:r>
        <w:rPr>
          <w:rtl w:val="true"/>
        </w:rPr>
        <w:t>ומבקשת להסתפק בהליכים השיקומיים הנעשים בתוככי המעון הנעול פנימה</w:t>
      </w:r>
      <w:r>
        <w:rPr>
          <w:rtl w:val="true"/>
        </w:rPr>
        <w:t xml:space="preserve">, </w:t>
      </w:r>
      <w:r>
        <w:rPr>
          <w:rtl w:val="true"/>
        </w:rPr>
        <w:t>תוך ויתור מלא על רכיב עונשי של מאסר</w:t>
      </w:r>
      <w:r>
        <w:rPr>
          <w:rtl w:val="true"/>
        </w:rPr>
        <w:t xml:space="preserve">, </w:t>
      </w:r>
      <w:r>
        <w:rPr>
          <w:rtl w:val="true"/>
        </w:rPr>
        <w:t>לוקה אף היא בחסר</w:t>
      </w:r>
      <w:r>
        <w:rPr>
          <w:rtl w:val="true"/>
        </w:rPr>
        <w:t xml:space="preserve">. </w:t>
      </w:r>
      <w:r>
        <w:rPr>
          <w:rtl w:val="true"/>
        </w:rPr>
        <w:t>חולשתה</w:t>
      </w:r>
      <w:r>
        <w:rPr>
          <w:rtl w:val="true"/>
        </w:rPr>
        <w:t xml:space="preserve">, </w:t>
      </w:r>
      <w:r>
        <w:rPr>
          <w:rtl w:val="true"/>
        </w:rPr>
        <w:t>במתן משקל שאינו מספּק לשיקולי ענישה חשובים נוספים</w:t>
      </w:r>
      <w:r>
        <w:rPr>
          <w:rtl w:val="true"/>
        </w:rPr>
        <w:t xml:space="preserve">, </w:t>
      </w:r>
      <w:r>
        <w:rPr>
          <w:rtl w:val="true"/>
        </w:rPr>
        <w:t>אשר ראוי להביאם במניין</w:t>
      </w:r>
      <w:r>
        <w:rPr>
          <w:rtl w:val="true"/>
        </w:rPr>
        <w:t xml:space="preserve">, </w:t>
      </w:r>
      <w:r>
        <w:rPr>
          <w:rtl w:val="true"/>
        </w:rPr>
        <w:t>במיוחד כשבפשע חמור עסקינן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מן החוק ומן הפסיקה למדנו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רוחו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בבחירה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ההרתעה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להתעלם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ההרתעה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הגמול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הנלמדים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594</w:t>
      </w:r>
      <w:r>
        <w:rPr>
          <w:rtl w:val="true"/>
        </w:rPr>
        <w:t xml:space="preserve">, </w:t>
      </w:r>
      <w:r>
        <w:rPr/>
        <w:t>602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 xml:space="preserve">אף אם השיקום זוכה למעמד בכורה </w:t>
      </w:r>
      <w:r>
        <w:rPr>
          <w:rtl w:val="true"/>
        </w:rPr>
        <w:t>–</w:t>
      </w:r>
      <w:r>
        <w:rPr>
          <w:rtl w:val="true"/>
        </w:rPr>
        <w:t xml:space="preserve"> הוא איננו בן יחיד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/>
        <w:t>64</w:t>
      </w:r>
      <w:r>
        <w:rPr>
          <w:rtl w:val="true"/>
        </w:rPr>
        <w:t>.</w:t>
        <w:tab/>
      </w:r>
      <w:r>
        <w:rPr>
          <w:rtl w:val="true"/>
        </w:rPr>
        <w:t>יתר על כן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הימנעות מכליאה</w:t>
      </w:r>
      <w:r>
        <w:rPr>
          <w:rtl w:val="true"/>
        </w:rPr>
        <w:t xml:space="preserve">, </w:t>
      </w:r>
      <w:r>
        <w:rPr>
          <w:rtl w:val="true"/>
        </w:rPr>
        <w:t>לא זו בלבד שמתעלמת משיקולי ענישה חשובים אחרים</w:t>
      </w:r>
      <w:r>
        <w:rPr>
          <w:rtl w:val="true"/>
        </w:rPr>
        <w:t xml:space="preserve">, </w:t>
      </w:r>
      <w:r>
        <w:rPr>
          <w:rtl w:val="true"/>
        </w:rPr>
        <w:t>אלא אף עשויה שלא להגשים כראוי את שיקול השיקום עצמו</w:t>
      </w:r>
      <w:r>
        <w:rPr>
          <w:rtl w:val="true"/>
        </w:rPr>
        <w:t xml:space="preserve">, </w:t>
      </w:r>
      <w:r>
        <w:rPr>
          <w:rtl w:val="true"/>
        </w:rPr>
        <w:t xml:space="preserve">שכן לעיתים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hyperlink r:id="rId10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827/14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</w:rPr>
        <w:t>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0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5784/23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</w:t>
      </w:r>
      <w:r>
        <w:rPr/>
        <w:t>.</w:t>
      </w:r>
      <w:r>
        <w:rPr/>
        <w:t>9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נדרשתי לסוגיה זו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נשמעת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סנגורים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להעביר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ובריח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שיקומיות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מגשימות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להחזיר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למוטב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שהכלא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נטען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מדרדר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לעבריינות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ונשנית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כליאת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הסיכוי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לחזרתו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לפשיעה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מכליאתו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הזרקור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למוקד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ומאתגרת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נדבך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ולחזרה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ההתמודדות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האתגרים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שהכלא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ודבקות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למוטב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שיתוף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המסגרות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הפועלות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מחזקת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מסוגלותו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ולהתמודד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האתגרים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Cs/>
          <w:spacing w:val="0"/>
          <w:sz w:val="22"/>
          <w:szCs w:val="24"/>
          <w:u w:val="single"/>
          <w:rtl w:val="true"/>
        </w:rPr>
        <w:t>'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כליאתו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היא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שיקומו</w:t>
      </w:r>
      <w:r>
        <w:rPr>
          <w:rFonts w:cs="Miriam" w:ascii="Century" w:hAnsi="Century"/>
          <w:bCs/>
          <w:spacing w:val="0"/>
          <w:sz w:val="22"/>
          <w:szCs w:val="24"/>
          <w:u w:val="single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 xml:space="preserve">ההדגשה הוּספה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>')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Century" w:ascii="Century" w:hAnsi="Century"/>
          <w:sz w:val="22"/>
        </w:rPr>
        <w:t>65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לא תמיד מאפשר מתקן הכליאה מיצוי אופטימלי של פוטנציאל השיקום</w:t>
      </w:r>
      <w:r>
        <w:rPr>
          <w:rtl w:val="true"/>
        </w:rPr>
        <w:t xml:space="preserve">, </w:t>
      </w:r>
      <w:r>
        <w:rPr>
          <w:rtl w:val="true"/>
        </w:rPr>
        <w:t>אך מניסיוננו זאת ידענו</w:t>
      </w:r>
      <w:r>
        <w:rPr>
          <w:rtl w:val="true"/>
        </w:rPr>
        <w:t xml:space="preserve">: </w:t>
      </w:r>
      <w:r>
        <w:rPr>
          <w:rtl w:val="true"/>
        </w:rPr>
        <w:t>לעיתים בית הכלא תורם גם תורם לשיקום</w:t>
      </w:r>
      <w:r>
        <w:rPr>
          <w:rtl w:val="true"/>
        </w:rPr>
        <w:t xml:space="preserve">, </w:t>
      </w:r>
      <w:r>
        <w:rPr>
          <w:rtl w:val="true"/>
        </w:rPr>
        <w:t xml:space="preserve">במסגרות טיפוליות שונות שמצויות בו ובאתגרים השונים שהוא מזמן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אילי גולדברג </w:t>
      </w:r>
      <w:r>
        <w:rPr>
          <w:rtl w:val="true"/>
        </w:rPr>
        <w:t>"</w:t>
      </w:r>
      <w:r>
        <w:rPr>
          <w:rtl w:val="true"/>
        </w:rPr>
        <w:t>תקופת המאסר כהזדמנות לטיפול בנוער עבריין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בבלגן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ושיקום</w:t>
      </w:r>
      <w:r>
        <w:rPr>
          <w:rtl w:val="true"/>
        </w:rPr>
        <w:t xml:space="preserve"> </w:t>
      </w:r>
      <w:r>
        <w:rPr/>
        <w:t>268</w:t>
      </w:r>
      <w:r>
        <w:rPr>
          <w:rtl w:val="true"/>
        </w:rPr>
        <w:t xml:space="preserve"> (</w:t>
      </w:r>
      <w:r>
        <w:rPr/>
        <w:t>2015</w:t>
      </w:r>
      <w:r>
        <w:rPr>
          <w:rtl w:val="true"/>
        </w:rPr>
        <w:t xml:space="preserve">)). </w:t>
      </w:r>
      <w:r>
        <w:rPr>
          <w:rtl w:val="true"/>
        </w:rPr>
        <w:t>אל לנו ללקות בראייה צרה יתר על המידה</w:t>
      </w:r>
      <w:r>
        <w:rPr>
          <w:rtl w:val="true"/>
        </w:rPr>
        <w:t xml:space="preserve">, </w:t>
      </w:r>
      <w:r>
        <w:rPr>
          <w:rtl w:val="true"/>
        </w:rPr>
        <w:t>ולהתעלם מכך ש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ובפרט כשעבריין משתתף במסגרתו בתוכניות שיקום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ממלא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ף הוא תפקיד במלאכת </w:t>
      </w:r>
      <w:r>
        <w:rPr>
          <w:rtl w:val="true"/>
        </w:rPr>
        <w:t>השיקום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/>
        <w:t>Inniss, David A.</w:t>
      </w:r>
      <w:r>
        <w:rPr>
          <w:i/>
          <w:iCs/>
        </w:rPr>
        <w:t xml:space="preserve"> Developments in the Law: Alternatives to Incarceration </w:t>
      </w:r>
      <w:r>
        <w:rPr>
          <w:smallCaps/>
        </w:rPr>
        <w:t>111 Harv. L. Rev.</w:t>
      </w:r>
      <w:r>
        <w:rPr/>
        <w:t xml:space="preserve"> 1863, 1975 (1998)</w:t>
      </w:r>
      <w:r>
        <w:rPr>
          <w:rtl w:val="true"/>
        </w:rPr>
        <w:t xml:space="preserve">; </w:t>
      </w:r>
      <w:hyperlink r:id="rId109">
        <w:r>
          <w:rPr>
            <w:rStyle w:val="Hyperlink"/>
            <w:rtl w:val="true"/>
          </w:rPr>
          <w:t>יניב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ואקי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רותי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קמיני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ויורם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רבין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עונש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המאסר</w:t>
        </w:r>
        <w:r>
          <w:rPr>
            <w:rStyle w:val="Hyperlink"/>
            <w:rtl w:val="true"/>
          </w:rPr>
          <w:t xml:space="preserve"> – </w:t>
        </w:r>
        <w:r>
          <w:rPr>
            <w:rStyle w:val="Hyperlink"/>
            <w:rtl w:val="true"/>
          </w:rPr>
          <w:t>תכליות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מגמות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והלכות</w:t>
        </w:r>
      </w:hyperlink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 xml:space="preserve">, </w:t>
      </w:r>
      <w:r>
        <w:rPr/>
        <w:t>1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 xml:space="preserve">)); </w:t>
      </w:r>
      <w:r>
        <w:rPr>
          <w:rtl w:val="true"/>
        </w:rPr>
        <w:t>על כל פנים</w:t>
      </w:r>
      <w:r>
        <w:rPr>
          <w:rtl w:val="true"/>
        </w:rPr>
        <w:t xml:space="preserve">, </w:t>
      </w:r>
      <w:r>
        <w:rPr>
          <w:rtl w:val="true"/>
        </w:rPr>
        <w:t>אני שב ומדגיש</w:t>
      </w:r>
      <w:r>
        <w:rPr>
          <w:rtl w:val="true"/>
        </w:rPr>
        <w:t xml:space="preserve">, </w:t>
      </w:r>
      <w:r>
        <w:rPr>
          <w:rtl w:val="true"/>
        </w:rPr>
        <w:t>עלינו לזכור ולהזכיר כי הכלא נותן מענה לשיקולי ענישה נוספים שאסור להזניחם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Garamond" w:hAnsi="Garamond" w:cs="Garamond"/>
          <w:b/>
          <w:spacing w:val="0"/>
          <w:sz w:val="24"/>
          <w:szCs w:val="24"/>
        </w:rPr>
      </w:pPr>
      <w:r>
        <w:rPr>
          <w:rFonts w:cs="Garamond" w:ascii="Garamond" w:hAnsi="Garamond"/>
          <w:b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</w:rPr>
        <w:t>66</w:t>
      </w:r>
      <w:r>
        <w:rPr>
          <w:rFonts w:cs="Garamond" w:ascii="Garamond" w:hAnsi="Garamond"/>
          <w:sz w:val="24"/>
          <w:rtl w:val="true"/>
        </w:rPr>
        <w:t>.</w:t>
      </w: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 xml:space="preserve">ובחזרה לענייננו </w:t>
      </w:r>
      <w:r>
        <w:rPr>
          <w:rFonts w:ascii="Garamond" w:hAnsi="Garamond" w:cs="Garamond"/>
          <w:sz w:val="24"/>
          <w:sz w:val="24"/>
          <w:rtl w:val="true"/>
        </w:rPr>
        <w:t>–</w:t>
      </w:r>
      <w:r>
        <w:rPr>
          <w:rFonts w:ascii="Garamond" w:hAnsi="Garamond" w:cs="Garamond"/>
          <w:sz w:val="24"/>
          <w:sz w:val="24"/>
          <w:rtl w:val="true"/>
        </w:rPr>
        <w:t xml:space="preserve"> נוכח עמדתי העקרונית בסוגיה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כאמור לעיל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סבורני כי יש לייחס משקל של ממש לתקופה שבה שהה המערער במעון הנעול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עמדתי זו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תורמת גם היא למסקנה כי אין להחמיר בעונשו של המערער יותר מכפי שנגזר עליו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תקופת השהייה במעון הנעול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כך נראה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הצעידה אותו קדימה במסע השיקומי</w:t>
      </w:r>
      <w:r>
        <w:rPr>
          <w:rFonts w:cs="Garamond" w:ascii="Garamond" w:hAnsi="Garamond"/>
          <w:sz w:val="24"/>
          <w:rtl w:val="true"/>
        </w:rPr>
        <w:t xml:space="preserve">; </w:t>
      </w:r>
      <w:r>
        <w:rPr>
          <w:rFonts w:ascii="Garamond" w:hAnsi="Garamond" w:cs="Garamond"/>
          <w:sz w:val="24"/>
          <w:sz w:val="24"/>
          <w:rtl w:val="true"/>
        </w:rPr>
        <w:t>בד בבד השיגה חלק מתכליות הענישה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ובפרט הרחקתו מהחברה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ומניעת אפשרות שיבצע פשעים נוספים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על הסממנים הכליאתיים של המעון הנעול ראו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למשל</w:t>
      </w:r>
      <w:r>
        <w:rPr>
          <w:rFonts w:cs="Garamond" w:ascii="Garamond" w:hAnsi="Garamond"/>
          <w:sz w:val="24"/>
          <w:rtl w:val="true"/>
        </w:rPr>
        <w:t xml:space="preserve">: </w:t>
      </w:r>
      <w:hyperlink r:id="rId110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9120/11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 כב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8</w:t>
      </w:r>
      <w:r>
        <w:rPr>
          <w:rFonts w:cs="Garamond" w:ascii="Garamond" w:hAnsi="Garamond"/>
          <w:sz w:val="24"/>
        </w:rPr>
        <w:t>.</w:t>
      </w:r>
      <w:r>
        <w:rPr>
          <w:rFonts w:cs="Garamond" w:ascii="Garamond" w:hAnsi="Garamond"/>
          <w:sz w:val="24"/>
        </w:rPr>
        <w:t>5</w:t>
      </w:r>
      <w:r>
        <w:rPr>
          <w:rFonts w:cs="Garamond" w:ascii="Garamond" w:hAnsi="Garamond"/>
          <w:sz w:val="24"/>
        </w:rPr>
        <w:t>.2012</w:t>
      </w:r>
      <w:r>
        <w:rPr>
          <w:rFonts w:cs="Garamond" w:ascii="Garamond" w:hAnsi="Garamond"/>
          <w:sz w:val="24"/>
          <w:rtl w:val="true"/>
        </w:rPr>
        <w:t>)</w:t>
      </w:r>
      <w:r>
        <w:rPr>
          <w:rFonts w:cs="Garamond" w:ascii="Garamond" w:hAnsi="Garamond"/>
          <w:sz w:val="24"/>
          <w:rtl w:val="true"/>
        </w:rPr>
        <w:t>;</w:t>
      </w:r>
      <w:r>
        <w:rPr>
          <w:rtl w:val="true"/>
        </w:rPr>
        <w:t xml:space="preserve"> </w:t>
      </w:r>
      <w:hyperlink r:id="rId111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7113/08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פסקה </w:t>
      </w:r>
      <w:r>
        <w:rPr>
          <w:rFonts w:cs="Garamond" w:ascii="Garamond" w:hAnsi="Garamond"/>
          <w:sz w:val="24"/>
        </w:rPr>
        <w:t>9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15.12.2008</w:t>
      </w:r>
      <w:r>
        <w:rPr>
          <w:rFonts w:cs="Garamond" w:ascii="Garamond" w:hAnsi="Garamond"/>
          <w:sz w:val="24"/>
          <w:rtl w:val="true"/>
        </w:rPr>
        <w:t>)</w:t>
      </w:r>
      <w:r>
        <w:rPr>
          <w:rFonts w:cs="Garamond" w:ascii="Garamond" w:hAnsi="Garamond"/>
          <w:sz w:val="24"/>
          <w:rtl w:val="true"/>
        </w:rPr>
        <w:t xml:space="preserve">). </w:t>
      </w:r>
      <w:r>
        <w:rPr>
          <w:rFonts w:ascii="Garamond" w:hAnsi="Garamond" w:cs="Garamond"/>
          <w:sz w:val="24"/>
          <w:sz w:val="24"/>
          <w:rtl w:val="true"/>
        </w:rPr>
        <w:t>ההלכה הנוהגת עמנו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ביחס לניכוי ימי מעון נעול היא שהדבר מסור לשיקול דעתו של בית המשפט </w:t>
      </w:r>
      <w:r>
        <w:rPr>
          <w:rFonts w:cs="Garamond" w:ascii="Garamond" w:hAnsi="Garamond"/>
          <w:sz w:val="24"/>
          <w:rtl w:val="true"/>
        </w:rPr>
        <w:t>(</w:t>
      </w:r>
      <w:hyperlink r:id="rId112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6736/16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12.</w:t>
      </w:r>
      <w:r>
        <w:rPr>
          <w:rFonts w:cs="Garamond" w:ascii="Garamond" w:hAnsi="Garamond"/>
          <w:sz w:val="24"/>
        </w:rPr>
        <w:t>1</w:t>
      </w:r>
      <w:r>
        <w:rPr>
          <w:rFonts w:cs="Garamond" w:ascii="Garamond" w:hAnsi="Garamond"/>
          <w:sz w:val="24"/>
        </w:rPr>
        <w:t>.2017</w:t>
      </w:r>
      <w:r>
        <w:rPr>
          <w:rFonts w:cs="Garamond" w:ascii="Garamond" w:hAnsi="Garamond"/>
          <w:sz w:val="24"/>
          <w:rtl w:val="true"/>
        </w:rPr>
        <w:t>)</w:t>
      </w:r>
      <w:r>
        <w:rPr>
          <w:rFonts w:cs="Garamond" w:ascii="Garamond" w:hAnsi="Garamond"/>
          <w:sz w:val="24"/>
          <w:rtl w:val="true"/>
        </w:rPr>
        <w:t xml:space="preserve">), </w:t>
      </w:r>
      <w:r>
        <w:rPr>
          <w:rFonts w:ascii="Garamond" w:hAnsi="Garamond" w:cs="Garamond"/>
          <w:sz w:val="24"/>
          <w:sz w:val="24"/>
          <w:rtl w:val="true"/>
        </w:rPr>
        <w:t>וגם בנקודה זו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לא מצאתי טעם טוב להתערב בפסיקתו של בית המשפט המחוזי</w:t>
      </w:r>
      <w:r>
        <w:rPr>
          <w:rFonts w:cs="Garamond" w:ascii="Garamond" w:hAnsi="Garamond"/>
          <w:sz w:val="24"/>
          <w:rtl w:val="true"/>
        </w:rPr>
        <w:t xml:space="preserve">.  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Ruehl" w:ascii="FrankRuehl" w:hAnsi="FrankRuehl"/>
          <w:color w:val="000000"/>
          <w:sz w:val="28"/>
          <w:shd w:fill="FFFFFF" w:val="clear"/>
        </w:rPr>
        <w:t>67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אשר על 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במכלול הנסיבות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ובהתחשב בפרק הזמן בו שהה המערער במעון נעול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ובעונש הנוסף שנגזר עליו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אני סבור כי נגזר על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המערער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עונש הולם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השוכן לבטח במתחם אי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ההתערבות של ערכאת הערעור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אציע אפוא לחברַי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כי נורה על דחיית הערעור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ים על חומרת העונש מזה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ועל קוּלתו מזה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8917/22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תקדים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בערעורה</w:t>
      </w:r>
      <w:r>
        <w:rPr>
          <w:rtl w:val="true"/>
        </w:rPr>
        <w:t>-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;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שבמדרג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מוגמרת</w:t>
      </w:r>
      <w:r>
        <w:rPr>
          <w:rtl w:val="true"/>
        </w:rPr>
        <w:t xml:space="preserve">); </w:t>
      </w:r>
      <w:r>
        <w:rPr>
          <w:rtl w:val="true"/>
        </w:rPr>
        <w:t>ובהינתן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>-</w:t>
      </w:r>
      <w:r>
        <w:rPr>
          <w:rtl w:val="true"/>
        </w:rPr>
        <w:t>מבצרו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סיוט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>-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שקלול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מנוגדים</w:t>
      </w:r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22.11.2023</w:t>
      </w:r>
      <w:r>
        <w:rPr>
          <w:rtl w:val="true"/>
        </w:rPr>
        <w:t>)</w:t>
      </w:r>
      <w:r>
        <w:rPr>
          <w:rtl w:val="true"/>
        </w:rPr>
        <w:t xml:space="preserve">. </w:t>
      </w:r>
      <w:bookmarkEnd w:id="2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0"/>
        <w:gridCol w:w="2771"/>
        <w:gridCol w:w="2771"/>
      </w:tblGrid>
      <w:tr>
        <w:trPr/>
        <w:tc>
          <w:tcPr>
            <w:tcW w:w="2770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77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77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22081970</w:t>
      </w:r>
      <w:r>
        <w:rPr>
          <w:sz w:val="16"/>
          <w:rtl w:val="true"/>
        </w:rPr>
        <w:t>_</w:t>
      </w:r>
      <w:r>
        <w:rPr>
          <w:sz w:val="16"/>
        </w:rPr>
        <w:t>O13.docx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יס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54678313-8197/22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16"/>
      <w:footerReference w:type="default" r:id="rId1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8197/22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ascii="FrankRuehl" w:hAnsi="FrankRuehl" w:cs="FrankRuehl"/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lang w:val="en-US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FootnoteTextChar">
    <w:name w:val="Footnote Text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FootnoteText">
    <w:name w:val="footnote text"/>
    <w:basedOn w:val="Normal"/>
    <w:pPr/>
    <w:rPr>
      <w:rFonts w:ascii="Century" w:hAnsi="Century" w:cs="FrankRuehl"/>
      <w:spacing w:val="10"/>
      <w:szCs w:val="20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0214328" TargetMode="External"/><Relationship Id="rId3" Type="http://schemas.openxmlformats.org/officeDocument/2006/relationships/hyperlink" Target="http://www.nevo.co.il/safrut/book/31678" TargetMode="External"/><Relationship Id="rId4" Type="http://schemas.openxmlformats.org/officeDocument/2006/relationships/hyperlink" Target="http://www.nevo.co.il/safrut/book/31678" TargetMode="External"/><Relationship Id="rId5" Type="http://schemas.openxmlformats.org/officeDocument/2006/relationships/hyperlink" Target="http://www.nevo.co.il/safrut/book/2994" TargetMode="External"/><Relationship Id="rId6" Type="http://schemas.openxmlformats.org/officeDocument/2006/relationships/hyperlink" Target="http://www.nevo.co.il/safrut/book/18128" TargetMode="External"/><Relationship Id="rId7" Type="http://schemas.openxmlformats.org/officeDocument/2006/relationships/hyperlink" Target="http://www.nevo.co.il/safrut/book/13660" TargetMode="External"/><Relationship Id="rId8" Type="http://schemas.openxmlformats.org/officeDocument/2006/relationships/hyperlink" Target="http://www.nevo.co.il/safrut/bookgroup/2068" TargetMode="External"/><Relationship Id="rId9" Type="http://schemas.openxmlformats.org/officeDocument/2006/relationships/hyperlink" Target="http://www.nevo.co.il/safrut/bookgroup/1997" TargetMode="External"/><Relationship Id="rId10" Type="http://schemas.openxmlformats.org/officeDocument/2006/relationships/hyperlink" Target="http://www.nevo.co.il/safrut/bookgroup/1997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law/70301/347.b" TargetMode="External"/><Relationship Id="rId16" Type="http://schemas.openxmlformats.org/officeDocument/2006/relationships/hyperlink" Target="http://www.nevo.co.il/law/70301/348.b" TargetMode="External"/><Relationship Id="rId17" Type="http://schemas.openxmlformats.org/officeDocument/2006/relationships/hyperlink" Target="http://www.nevo.co.il/law/70301/351.e" TargetMode="External"/><Relationship Id="rId18" Type="http://schemas.openxmlformats.org/officeDocument/2006/relationships/hyperlink" Target="http://www.nevo.co.il/law/70301/406.b" TargetMode="External"/><Relationship Id="rId19" Type="http://schemas.openxmlformats.org/officeDocument/2006/relationships/hyperlink" Target="http://www.nevo.co.il/law/70301/40if.a" TargetMode="External"/><Relationship Id="rId20" Type="http://schemas.openxmlformats.org/officeDocument/2006/relationships/hyperlink" Target="http://www.nevo.co.il/law/70301/40if.b" TargetMode="External"/><Relationship Id="rId21" Type="http://schemas.openxmlformats.org/officeDocument/2006/relationships/hyperlink" Target="http://www.nevo.co.il/law/70348" TargetMode="External"/><Relationship Id="rId22" Type="http://schemas.openxmlformats.org/officeDocument/2006/relationships/hyperlink" Target="http://www.nevo.co.il/law/70348/1a.a" TargetMode="External"/><Relationship Id="rId23" Type="http://schemas.openxmlformats.org/officeDocument/2006/relationships/hyperlink" Target="http://www.nevo.co.il/law/70348/24" TargetMode="External"/><Relationship Id="rId24" Type="http://schemas.openxmlformats.org/officeDocument/2006/relationships/hyperlink" Target="http://www.nevo.co.il/law/70348/24.1" TargetMode="External"/><Relationship Id="rId25" Type="http://schemas.openxmlformats.org/officeDocument/2006/relationships/hyperlink" Target="http://www.nevo.co.il/law/70348/25.c" TargetMode="External"/><Relationship Id="rId26" Type="http://schemas.openxmlformats.org/officeDocument/2006/relationships/hyperlink" Target="http://www.nevo.co.il/law/70348/25.d" TargetMode="External"/><Relationship Id="rId27" Type="http://schemas.openxmlformats.org/officeDocument/2006/relationships/hyperlink" Target="http://www.nevo.co.il/case/29181044" TargetMode="External"/><Relationship Id="rId28" Type="http://schemas.openxmlformats.org/officeDocument/2006/relationships/hyperlink" Target="http://www.nevo.co.il/case/29247183" TargetMode="External"/><Relationship Id="rId29" Type="http://schemas.openxmlformats.org/officeDocument/2006/relationships/hyperlink" Target="http://www.nevo.co.il/case/29433126" TargetMode="External"/><Relationship Id="rId30" Type="http://schemas.openxmlformats.org/officeDocument/2006/relationships/hyperlink" Target="http://www.nevo.co.il/case/2237972" TargetMode="External"/><Relationship Id="rId31" Type="http://schemas.openxmlformats.org/officeDocument/2006/relationships/hyperlink" Target="http://www.nevo.co.il/case/29433126" TargetMode="External"/><Relationship Id="rId32" Type="http://schemas.openxmlformats.org/officeDocument/2006/relationships/hyperlink" Target="http://www.nevo.co.il/case/30214328" TargetMode="External"/><Relationship Id="rId33" Type="http://schemas.openxmlformats.org/officeDocument/2006/relationships/hyperlink" Target="http://www.nevo.co.il/law/70301/347.b" TargetMode="External"/><Relationship Id="rId34" Type="http://schemas.openxmlformats.org/officeDocument/2006/relationships/hyperlink" Target="http://www.nevo.co.il/law/70301/345.b.1" TargetMode="External"/><Relationship Id="rId35" Type="http://schemas.openxmlformats.org/officeDocument/2006/relationships/hyperlink" Target="http://www.nevo.co.il/law/70301/345.a.1" TargetMode="External"/><Relationship Id="rId36" Type="http://schemas.openxmlformats.org/officeDocument/2006/relationships/hyperlink" Target="http://www.nevo.co.il/law/70301/25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48.b" TargetMode="External"/><Relationship Id="rId39" Type="http://schemas.openxmlformats.org/officeDocument/2006/relationships/hyperlink" Target="http://www.nevo.co.il/law/70301/345.b.1" TargetMode="External"/><Relationship Id="rId40" Type="http://schemas.openxmlformats.org/officeDocument/2006/relationships/hyperlink" Target="http://www.nevo.co.il/law/70301/345.a.1" TargetMode="External"/><Relationship Id="rId41" Type="http://schemas.openxmlformats.org/officeDocument/2006/relationships/hyperlink" Target="http://www.nevo.co.il/law/70301/406.b" TargetMode="External"/><Relationship Id="rId42" Type="http://schemas.openxmlformats.org/officeDocument/2006/relationships/hyperlink" Target="http://www.nevo.co.il/law/70348/24.1" TargetMode="External"/><Relationship Id="rId43" Type="http://schemas.openxmlformats.org/officeDocument/2006/relationships/hyperlink" Target="http://www.nevo.co.il/law/70348" TargetMode="External"/><Relationship Id="rId44" Type="http://schemas.openxmlformats.org/officeDocument/2006/relationships/hyperlink" Target="http://www.nevo.co.il/case/27417340" TargetMode="External"/><Relationship Id="rId45" Type="http://schemas.openxmlformats.org/officeDocument/2006/relationships/hyperlink" Target="http://www.nevo.co.il/case/27417340" TargetMode="External"/><Relationship Id="rId46" Type="http://schemas.openxmlformats.org/officeDocument/2006/relationships/hyperlink" Target="http://www.nevo.co.il/case/5607888" TargetMode="External"/><Relationship Id="rId47" Type="http://schemas.openxmlformats.org/officeDocument/2006/relationships/hyperlink" Target="http://www.nevo.co.il/case/29209115" TargetMode="External"/><Relationship Id="rId48" Type="http://schemas.openxmlformats.org/officeDocument/2006/relationships/hyperlink" Target="http://www.nevo.co.il/case/29200740" TargetMode="External"/><Relationship Id="rId49" Type="http://schemas.openxmlformats.org/officeDocument/2006/relationships/hyperlink" Target="http://www.nevo.co.il/safrut/bookgroup/2068" TargetMode="External"/><Relationship Id="rId50" Type="http://schemas.openxmlformats.org/officeDocument/2006/relationships/hyperlink" Target="http://www.nevo.co.il/safrut/book/13660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5573417" TargetMode="External"/><Relationship Id="rId53" Type="http://schemas.openxmlformats.org/officeDocument/2006/relationships/hyperlink" Target="http://www.nevo.co.il/case/28323898" TargetMode="External"/><Relationship Id="rId54" Type="http://schemas.openxmlformats.org/officeDocument/2006/relationships/hyperlink" Target="http://www.nevo.co.il/law/70348/1a.a" TargetMode="External"/><Relationship Id="rId55" Type="http://schemas.openxmlformats.org/officeDocument/2006/relationships/hyperlink" Target="http://www.nevo.co.il/case/2237972" TargetMode="External"/><Relationship Id="rId56" Type="http://schemas.openxmlformats.org/officeDocument/2006/relationships/hyperlink" Target="http://www.nevo.co.il/case/2237972" TargetMode="External"/><Relationship Id="rId57" Type="http://schemas.openxmlformats.org/officeDocument/2006/relationships/hyperlink" Target="http://www.nevo.co.il/case/6246899" TargetMode="External"/><Relationship Id="rId58" Type="http://schemas.openxmlformats.org/officeDocument/2006/relationships/hyperlink" Target="http://www.nevo.co.il/case/29200740" TargetMode="External"/><Relationship Id="rId59" Type="http://schemas.openxmlformats.org/officeDocument/2006/relationships/hyperlink" Target="http://www.nevo.co.il/case/21044600" TargetMode="External"/><Relationship Id="rId60" Type="http://schemas.openxmlformats.org/officeDocument/2006/relationships/hyperlink" Target="http://www.nevo.co.il/case/22232081" TargetMode="External"/><Relationship Id="rId61" Type="http://schemas.openxmlformats.org/officeDocument/2006/relationships/hyperlink" Target="http://www.nevo.co.il/law/70348/24" TargetMode="External"/><Relationship Id="rId62" Type="http://schemas.openxmlformats.org/officeDocument/2006/relationships/hyperlink" Target="http://www.nevo.co.il/law/70301/40if.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48" TargetMode="External"/><Relationship Id="rId65" Type="http://schemas.openxmlformats.org/officeDocument/2006/relationships/hyperlink" Target="http://www.nevo.co.il/law/70301/40if.b" TargetMode="External"/><Relationship Id="rId66" Type="http://schemas.openxmlformats.org/officeDocument/2006/relationships/hyperlink" Target="http://www.nevo.co.il/case/24263410" TargetMode="External"/><Relationship Id="rId67" Type="http://schemas.openxmlformats.org/officeDocument/2006/relationships/hyperlink" Target="http://www.nevo.co.il/case/6247851" TargetMode="External"/><Relationship Id="rId68" Type="http://schemas.openxmlformats.org/officeDocument/2006/relationships/hyperlink" Target="http://www.nevo.co.il/case/17913791" TargetMode="External"/><Relationship Id="rId69" Type="http://schemas.openxmlformats.org/officeDocument/2006/relationships/hyperlink" Target="http://www.nevo.co.il/case/27865495" TargetMode="External"/><Relationship Id="rId70" Type="http://schemas.openxmlformats.org/officeDocument/2006/relationships/hyperlink" Target="http://www.nevo.co.il/case/24140519" TargetMode="External"/><Relationship Id="rId71" Type="http://schemas.openxmlformats.org/officeDocument/2006/relationships/hyperlink" Target="http://www.nevo.co.il/case/5900955" TargetMode="External"/><Relationship Id="rId72" Type="http://schemas.openxmlformats.org/officeDocument/2006/relationships/hyperlink" Target="http://www.nevo.co.il/case/6240786" TargetMode="External"/><Relationship Id="rId73" Type="http://schemas.openxmlformats.org/officeDocument/2006/relationships/hyperlink" Target="http://www.nevo.co.il/case/10442698" TargetMode="External"/><Relationship Id="rId74" Type="http://schemas.openxmlformats.org/officeDocument/2006/relationships/hyperlink" Target="http://www.nevo.co.il/case/6247596" TargetMode="External"/><Relationship Id="rId75" Type="http://schemas.openxmlformats.org/officeDocument/2006/relationships/hyperlink" Target="http://www.nevo.co.il/safrut/book/2994" TargetMode="External"/><Relationship Id="rId76" Type="http://schemas.openxmlformats.org/officeDocument/2006/relationships/hyperlink" Target="http://www.nevo.co.il/safrut/book/31678" TargetMode="External"/><Relationship Id="rId77" Type="http://schemas.openxmlformats.org/officeDocument/2006/relationships/hyperlink" Target="http://www.nevo.co.il/law/70348/25.c" TargetMode="External"/><Relationship Id="rId78" Type="http://schemas.openxmlformats.org/officeDocument/2006/relationships/hyperlink" Target="http://www.nevo.co.il/case/22934536" TargetMode="External"/><Relationship Id="rId79" Type="http://schemas.openxmlformats.org/officeDocument/2006/relationships/hyperlink" Target="http://www.nevo.co.il/law/70348/25.c" TargetMode="External"/><Relationship Id="rId80" Type="http://schemas.openxmlformats.org/officeDocument/2006/relationships/hyperlink" Target="http://www.nevo.co.il/case/6245771" TargetMode="External"/><Relationship Id="rId81" Type="http://schemas.openxmlformats.org/officeDocument/2006/relationships/hyperlink" Target="http://www.nevo.co.il/case/6245771" TargetMode="External"/><Relationship Id="rId82" Type="http://schemas.openxmlformats.org/officeDocument/2006/relationships/hyperlink" Target="http://www.nevo.co.il/law/70348/25.d" TargetMode="External"/><Relationship Id="rId83" Type="http://schemas.openxmlformats.org/officeDocument/2006/relationships/hyperlink" Target="http://www.nevo.co.il/law/70301/351.e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safrut/bookgroup/1997" TargetMode="External"/><Relationship Id="rId86" Type="http://schemas.openxmlformats.org/officeDocument/2006/relationships/hyperlink" Target="http://www.nevo.co.il/case/28584917" TargetMode="External"/><Relationship Id="rId87" Type="http://schemas.openxmlformats.org/officeDocument/2006/relationships/hyperlink" Target="http://www.nevo.co.il/case/5900955" TargetMode="External"/><Relationship Id="rId88" Type="http://schemas.openxmlformats.org/officeDocument/2006/relationships/hyperlink" Target="http://www.nevo.co.il/case/20824817" TargetMode="External"/><Relationship Id="rId89" Type="http://schemas.openxmlformats.org/officeDocument/2006/relationships/hyperlink" Target="http://www.nevo.co.il/case/28906095" TargetMode="External"/><Relationship Id="rId90" Type="http://schemas.openxmlformats.org/officeDocument/2006/relationships/hyperlink" Target="http://www.nevo.co.il/case/26226463" TargetMode="External"/><Relationship Id="rId91" Type="http://schemas.openxmlformats.org/officeDocument/2006/relationships/hyperlink" Target="http://www.nevo.co.il/case/25246147" TargetMode="External"/><Relationship Id="rId92" Type="http://schemas.openxmlformats.org/officeDocument/2006/relationships/hyperlink" Target="http://www.nevo.co.il/case/26383394" TargetMode="External"/><Relationship Id="rId93" Type="http://schemas.openxmlformats.org/officeDocument/2006/relationships/hyperlink" Target="http://www.nevo.co.il/case/6245051" TargetMode="External"/><Relationship Id="rId94" Type="http://schemas.openxmlformats.org/officeDocument/2006/relationships/hyperlink" Target="http://www.nevo.co.il/case/6247596" TargetMode="External"/><Relationship Id="rId95" Type="http://schemas.openxmlformats.org/officeDocument/2006/relationships/hyperlink" Target="http://www.nevo.co.il/case/5701236" TargetMode="External"/><Relationship Id="rId96" Type="http://schemas.openxmlformats.org/officeDocument/2006/relationships/hyperlink" Target="http://www.nevo.co.il/case/5786637" TargetMode="External"/><Relationship Id="rId97" Type="http://schemas.openxmlformats.org/officeDocument/2006/relationships/hyperlink" Target="http://www.nevo.co.il/case/11206073" TargetMode="External"/><Relationship Id="rId98" Type="http://schemas.openxmlformats.org/officeDocument/2006/relationships/hyperlink" Target="http://www.nevo.co.il/case/29433126" TargetMode="External"/><Relationship Id="rId99" Type="http://schemas.openxmlformats.org/officeDocument/2006/relationships/hyperlink" Target="http://www.nevo.co.il/case/29433126" TargetMode="External"/><Relationship Id="rId100" Type="http://schemas.openxmlformats.org/officeDocument/2006/relationships/hyperlink" Target="http://www.nevo.co.il/case/29433126" TargetMode="External"/><Relationship Id="rId101" Type="http://schemas.openxmlformats.org/officeDocument/2006/relationships/hyperlink" Target="http://www.nevo.co.il/case/29433126" TargetMode="External"/><Relationship Id="rId102" Type="http://schemas.openxmlformats.org/officeDocument/2006/relationships/hyperlink" Target="http://www.nevo.co.il/case/29433126" TargetMode="External"/><Relationship Id="rId103" Type="http://schemas.openxmlformats.org/officeDocument/2006/relationships/hyperlink" Target="http://www.nevo.co.il/case/29433126" TargetMode="External"/><Relationship Id="rId104" Type="http://schemas.openxmlformats.org/officeDocument/2006/relationships/hyperlink" Target="http://www.nevo.co.il/case/26226463" TargetMode="External"/><Relationship Id="rId105" Type="http://schemas.openxmlformats.org/officeDocument/2006/relationships/hyperlink" Target="http://www.nevo.co.il/case/20924149" TargetMode="External"/><Relationship Id="rId106" Type="http://schemas.openxmlformats.org/officeDocument/2006/relationships/hyperlink" Target="http://www.nevo.co.il/case/24140519" TargetMode="External"/><Relationship Id="rId107" Type="http://schemas.openxmlformats.org/officeDocument/2006/relationships/hyperlink" Target="http://www.nevo.co.il/case/18052275" TargetMode="External"/><Relationship Id="rId108" Type="http://schemas.openxmlformats.org/officeDocument/2006/relationships/hyperlink" Target="http://www.nevo.co.il/case/29880663" TargetMode="External"/><Relationship Id="rId109" Type="http://schemas.openxmlformats.org/officeDocument/2006/relationships/hyperlink" Target="http://www.nevo.co.il/safrut/book/18128" TargetMode="External"/><Relationship Id="rId110" Type="http://schemas.openxmlformats.org/officeDocument/2006/relationships/hyperlink" Target="http://www.nevo.co.il/case/6248924" TargetMode="External"/><Relationship Id="rId111" Type="http://schemas.openxmlformats.org/officeDocument/2006/relationships/hyperlink" Target="http://www.nevo.co.il/case/6247596" TargetMode="External"/><Relationship Id="rId112" Type="http://schemas.openxmlformats.org/officeDocument/2006/relationships/hyperlink" Target="http://www.nevo.co.il/case/22303052" TargetMode="External"/><Relationship Id="rId113" Type="http://schemas.openxmlformats.org/officeDocument/2006/relationships/hyperlink" Target="http://www.nevo.co.il/case/28358092" TargetMode="External"/><Relationship Id="rId114" Type="http://schemas.openxmlformats.org/officeDocument/2006/relationships/hyperlink" Target="https://supreme.court.gov.il/" TargetMode="External"/><Relationship Id="rId115" Type="http://schemas.openxmlformats.org/officeDocument/2006/relationships/hyperlink" Target="http://www.nevo.co.il/advertisements/nevo-100.doc" TargetMode="External"/><Relationship Id="rId116" Type="http://schemas.openxmlformats.org/officeDocument/2006/relationships/header" Target="header1.xml"/><Relationship Id="rId117" Type="http://schemas.openxmlformats.org/officeDocument/2006/relationships/footer" Target="footer1.xml"/><Relationship Id="rId118" Type="http://schemas.openxmlformats.org/officeDocument/2006/relationships/numbering" Target="numbering.xml"/><Relationship Id="rId119" Type="http://schemas.openxmlformats.org/officeDocument/2006/relationships/fontTable" Target="fontTable.xml"/><Relationship Id="rId120" Type="http://schemas.openxmlformats.org/officeDocument/2006/relationships/settings" Target="settings.xml"/><Relationship Id="rId1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2023-11-23T13:33:00Z</dcterms:created>
  <dc:creator>h4</dc:creator>
  <dc:description/>
  <cp:keywords/>
  <dc:language>en-IL</dc:language>
  <cp:lastModifiedBy>h10</cp:lastModifiedBy>
  <cp:lastPrinted>2023-11-22T19:16:00Z</cp:lastPrinted>
  <dcterms:modified xsi:type="dcterms:W3CDTF">2023-11-23T13:33:00Z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פלוני;מדינת ישראל</vt:lpwstr>
  </property>
  <property fmtid="{D5CDD505-2E9C-101B-9397-08002B2CF9AE}" pid="3" name="APPELLEE">
    <vt:lpwstr>מדינת ישראל;ב.ה. נפגעת העבירה;פלוני</vt:lpwstr>
  </property>
  <property fmtid="{D5CDD505-2E9C-101B-9397-08002B2CF9AE}" pid="4" name="BOOKGROUPTMP1">
    <vt:lpwstr>2068;1997</vt:lpwstr>
  </property>
  <property fmtid="{D5CDD505-2E9C-101B-9397-08002B2CF9AE}" pid="5" name="BOOKLISTTMP1">
    <vt:lpwstr>31678;2994;18128;13660</vt:lpwstr>
  </property>
  <property fmtid="{D5CDD505-2E9C-101B-9397-08002B2CF9AE}" pid="6" name="CASESLISTTMP1">
    <vt:lpwstr>30214328:2;27417340:2;5607888;29209115;29200740:2;5573417;28323898;2237972:2;6246899;21044600;22232081;24263410;6247851;17913791;27865495;24140519:2;5900955:2;6240786;10442698;6247596:3;22934536;6245771:2;28584917;20824817;28906095;26226463:2;25246147</vt:lpwstr>
  </property>
  <property fmtid="{D5CDD505-2E9C-101B-9397-08002B2CF9AE}" pid="7" name="CASESLISTTMP2">
    <vt:lpwstr>26383394;6245051;5701236;5786637;11206073;29433126:6;20924149;18052275;29880663;6248924;22303052;28358092</vt:lpwstr>
  </property>
  <property fmtid="{D5CDD505-2E9C-101B-9397-08002B2CF9AE}" pid="8" name="DATE">
    <vt:lpwstr>20231122</vt:lpwstr>
  </property>
  <property fmtid="{D5CDD505-2E9C-101B-9397-08002B2CF9AE}" pid="9" name="ISABSTRACT">
    <vt:lpwstr>Y</vt:lpwstr>
  </property>
  <property fmtid="{D5CDD505-2E9C-101B-9397-08002B2CF9AE}" pid="10" name="JUDGE">
    <vt:lpwstr>י' עמית;נ' סולברג;ד' מינץ</vt:lpwstr>
  </property>
  <property fmtid="{D5CDD505-2E9C-101B-9397-08002B2CF9AE}" pid="11" name="LAWLISTTMP1">
    <vt:lpwstr>70301/347.b;345.b.1:2;345.a.1:2;025;348.b;406.b;40if.a;40if.b;351.e</vt:lpwstr>
  </property>
  <property fmtid="{D5CDD505-2E9C-101B-9397-08002B2CF9AE}" pid="12" name="LAWLISTTMP2">
    <vt:lpwstr>70348/024.1;001a.a;024;025.c:2;025.d</vt:lpwstr>
  </property>
  <property fmtid="{D5CDD505-2E9C-101B-9397-08002B2CF9AE}" pid="13" name="LAWYER">
    <vt:lpwstr>נטלי אוטן;אלעד אזולאי;אדם אבו חאמד;אושרה פטל-רוזנברג</vt:lpwstr>
  </property>
  <property fmtid="{D5CDD505-2E9C-101B-9397-08002B2CF9AE}" pid="14" name="METAKZER">
    <vt:lpwstr>נעה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נוער</vt:lpwstr>
  </property>
  <property fmtid="{D5CDD505-2E9C-101B-9397-08002B2CF9AE}" pid="18" name="NOSE13">
    <vt:lpwstr>עונשין</vt:lpwstr>
  </property>
  <property fmtid="{D5CDD505-2E9C-101B-9397-08002B2CF9AE}" pid="19" name="NOSE14">
    <vt:lpwstr>עונשין</vt:lpwstr>
  </property>
  <property fmtid="{D5CDD505-2E9C-101B-9397-08002B2CF9AE}" pid="20" name="NOSE15">
    <vt:lpwstr>עונשין</vt:lpwstr>
  </property>
  <property fmtid="{D5CDD505-2E9C-101B-9397-08002B2CF9AE}" pid="21" name="NOSE16">
    <vt:lpwstr>עונשין</vt:lpwstr>
  </property>
  <property fmtid="{D5CDD505-2E9C-101B-9397-08002B2CF9AE}" pid="22" name="NOSE17">
    <vt:lpwstr>עונשין</vt:lpwstr>
  </property>
  <property fmtid="{D5CDD505-2E9C-101B-9397-08002B2CF9AE}" pid="23" name="NOSE18">
    <vt:lpwstr/>
  </property>
  <property fmtid="{D5CDD505-2E9C-101B-9397-08002B2CF9AE}" pid="24" name="NOSE19">
    <vt:lpwstr/>
  </property>
  <property fmtid="{D5CDD505-2E9C-101B-9397-08002B2CF9AE}" pid="25" name="NOSE1ID">
    <vt:lpwstr>77;65;77;77;77;77;77</vt:lpwstr>
  </property>
  <property fmtid="{D5CDD505-2E9C-101B-9397-08002B2CF9AE}" pid="26" name="NOSE21">
    <vt:lpwstr>ענישה</vt:lpwstr>
  </property>
  <property fmtid="{D5CDD505-2E9C-101B-9397-08002B2CF9AE}" pid="27" name="NOSE210">
    <vt:lpwstr/>
  </property>
  <property fmtid="{D5CDD505-2E9C-101B-9397-08002B2CF9AE}" pid="28" name="NOSE22">
    <vt:lpwstr>ענישה</vt:lpwstr>
  </property>
  <property fmtid="{D5CDD505-2E9C-101B-9397-08002B2CF9AE}" pid="29" name="NOSE23">
    <vt:lpwstr>ענישה</vt:lpwstr>
  </property>
  <property fmtid="{D5CDD505-2E9C-101B-9397-08002B2CF9AE}" pid="30" name="NOSE24">
    <vt:lpwstr>ענישה</vt:lpwstr>
  </property>
  <property fmtid="{D5CDD505-2E9C-101B-9397-08002B2CF9AE}" pid="31" name="NOSE25">
    <vt:lpwstr>ענישה</vt:lpwstr>
  </property>
  <property fmtid="{D5CDD505-2E9C-101B-9397-08002B2CF9AE}" pid="32" name="NOSE26">
    <vt:lpwstr>ענישה</vt:lpwstr>
  </property>
  <property fmtid="{D5CDD505-2E9C-101B-9397-08002B2CF9AE}" pid="33" name="NOSE27">
    <vt:lpwstr>ענישה</vt:lpwstr>
  </property>
  <property fmtid="{D5CDD505-2E9C-101B-9397-08002B2CF9AE}" pid="34" name="NOSE28">
    <vt:lpwstr/>
  </property>
  <property fmtid="{D5CDD505-2E9C-101B-9397-08002B2CF9AE}" pid="35" name="NOSE29">
    <vt:lpwstr/>
  </property>
  <property fmtid="{D5CDD505-2E9C-101B-9397-08002B2CF9AE}" pid="36" name="NOSE2ID">
    <vt:lpwstr>1446;1296;1446;1446;1446;1446;1446</vt:lpwstr>
  </property>
  <property fmtid="{D5CDD505-2E9C-101B-9397-08002B2CF9AE}" pid="37" name="NOSE31">
    <vt:lpwstr>מדיניות ענישה: קטינים</vt:lpwstr>
  </property>
  <property fmtid="{D5CDD505-2E9C-101B-9397-08002B2CF9AE}" pid="38" name="NOSE310">
    <vt:lpwstr/>
  </property>
  <property fmtid="{D5CDD505-2E9C-101B-9397-08002B2CF9AE}" pid="39" name="NOSE32">
    <vt:lpwstr>שיקול בית-המשפט</vt:lpwstr>
  </property>
  <property fmtid="{D5CDD505-2E9C-101B-9397-08002B2CF9AE}" pid="40" name="NOSE33">
    <vt:lpwstr>מדיניות ענישה: שיקום</vt:lpwstr>
  </property>
  <property fmtid="{D5CDD505-2E9C-101B-9397-08002B2CF9AE}" pid="41" name="NOSE34">
    <vt:lpwstr>מדיניות ענישה: התערבות ערכאת ערעור</vt:lpwstr>
  </property>
  <property fmtid="{D5CDD505-2E9C-101B-9397-08002B2CF9AE}" pid="42" name="NOSE35">
    <vt:lpwstr>מדיניות ענישה: נוער</vt:lpwstr>
  </property>
  <property fmtid="{D5CDD505-2E9C-101B-9397-08002B2CF9AE}" pid="43" name="NOSE36">
    <vt:lpwstr>מדיניות ענישה: התפרצות</vt:lpwstr>
  </property>
  <property fmtid="{D5CDD505-2E9C-101B-9397-08002B2CF9AE}" pid="44" name="NOSE37">
    <vt:lpwstr>מדיניות ענישה: עבירות מין בקטינים</vt:lpwstr>
  </property>
  <property fmtid="{D5CDD505-2E9C-101B-9397-08002B2CF9AE}" pid="45" name="NOSE38">
    <vt:lpwstr/>
  </property>
  <property fmtid="{D5CDD505-2E9C-101B-9397-08002B2CF9AE}" pid="46" name="NOSE39">
    <vt:lpwstr/>
  </property>
  <property fmtid="{D5CDD505-2E9C-101B-9397-08002B2CF9AE}" pid="47" name="NOSE3ID">
    <vt:lpwstr>15724;7907;14346;8982;8983;16915;16970</vt:lpwstr>
  </property>
  <property fmtid="{D5CDD505-2E9C-101B-9397-08002B2CF9AE}" pid="48" name="PADIDATE">
    <vt:lpwstr>20231123</vt:lpwstr>
  </property>
  <property fmtid="{D5CDD505-2E9C-101B-9397-08002B2CF9AE}" pid="49" name="PADIMAIL">
    <vt:lpwstr>YES</vt:lpwstr>
  </property>
  <property fmtid="{D5CDD505-2E9C-101B-9397-08002B2CF9AE}" pid="50" name="PROCESS">
    <vt:lpwstr>עפ;עפ</vt:lpwstr>
  </property>
  <property fmtid="{D5CDD505-2E9C-101B-9397-08002B2CF9AE}" pid="51" name="PROCNUM">
    <vt:lpwstr>8197;8905</vt:lpwstr>
  </property>
  <property fmtid="{D5CDD505-2E9C-101B-9397-08002B2CF9AE}" pid="52" name="PROCYEAR">
    <vt:lpwstr>22;22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410120231122</vt:lpwstr>
  </property>
  <property fmtid="{D5CDD505-2E9C-101B-9397-08002B2CF9AE}" pid="56" name="TYPE_N_DATE">
    <vt:lpwstr>41020231122</vt:lpwstr>
  </property>
  <property fmtid="{D5CDD505-2E9C-101B-9397-08002B2CF9AE}" pid="57" name="WORDNUMPAGES">
    <vt:lpwstr>29</vt:lpwstr>
  </property>
</Properties>
</file>