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342" w:hRule="atLeast"/>
        </w:trPr>
        <w:tc>
          <w:tcPr>
            <w:tcW w:w="8364" w:type="dxa"/>
            <w:gridSpan w:val="2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826/19</w:t>
            </w:r>
          </w:p>
        </w:tc>
      </w:tr>
      <w:tr>
        <w:trPr>
          <w:trHeight w:val="342" w:hRule="atLeast"/>
        </w:trPr>
        <w:tc>
          <w:tcPr>
            <w:tcW w:w="8364" w:type="dxa"/>
            <w:gridSpan w:val="2"/>
            <w:tcBorders/>
          </w:tcPr>
          <w:p>
            <w:pPr>
              <w:pStyle w:val="FileNumber"/>
              <w:snapToGrid w:val="false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מלצר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עמית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ברון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  <w:bookmarkStart w:id="1" w:name="LastJudge"/>
      <w:bookmarkStart w:id="2" w:name="LastJudge"/>
      <w:bookmarkEnd w:id="2"/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אמין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יונג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באר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שבע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     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ת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פ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11201-08-17</w:t>
            </w:r>
            <w:r>
              <w:rPr>
                <w:sz w:val="24"/>
                <w:szCs w:val="24"/>
                <w:rtl w:val="true"/>
              </w:rPr>
              <w:t xml:space="preserve"> (</w:t>
            </w:r>
            <w:r>
              <w:rPr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כהן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מתאריך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23.12.2018</w:t>
            </w:r>
            <w:r>
              <w:rPr>
                <w:sz w:val="24"/>
                <w:szCs w:val="24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בחשון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ף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12.11.2019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פאולה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ברוש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>
          <w:sz w:val="14"/>
          <w:szCs w:val="20"/>
        </w:rPr>
      </w:pPr>
      <w:r>
        <w:rPr>
          <w:sz w:val="14"/>
          <w:szCs w:val="20"/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סיגל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בלום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BodyRuller1"/>
        <w:ind w:end="0"/>
        <w:jc w:val="start"/>
        <w:rPr/>
      </w:pP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>:</w:t>
      </w:r>
      <w:r>
        <w:rPr>
          <w:rtl w:val="true"/>
        </w:rPr>
        <w:t>-</w:t>
      </w:r>
      <w:r>
        <w:rPr>
          <w:rtl w:val="true"/>
        </w:rPr>
        <w:t xml:space="preserve">  </w:t>
      </w:r>
      <w:r>
        <w:rPr>
          <w:rtl w:val="true"/>
        </w:rPr>
        <w:t>גב</w:t>
      </w:r>
      <w:r>
        <w:rPr>
          <w:rtl w:val="true"/>
        </w:rPr>
        <w:t xml:space="preserve">' </w:t>
      </w:r>
      <w:r>
        <w:rPr>
          <w:rtl w:val="true"/>
        </w:rPr>
        <w:t>ברכה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וייס</w:t>
      </w:r>
    </w:p>
    <w:p>
      <w:pPr>
        <w:pStyle w:val="DocumentHead"/>
        <w:ind w:end="0"/>
        <w:jc w:val="center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awTable"/>
      <w:bookmarkEnd w:id="5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402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907" w:leader="none"/>
        </w:tabs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6" w:name="ABSTRACT_START"/>
      <w:bookmarkStart w:id="7" w:name="LawTable_End"/>
      <w:bookmarkEnd w:id="6"/>
      <w:bookmarkEnd w:id="7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907" w:leader="none"/>
        </w:tabs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העליון הקל בעונשו של המערער משיקולי שיקום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באופן שעונשו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–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בעקבות הרשעתו בביצוע עבירה של שוד בנסיבות מחמירות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– </w:t>
      </w:r>
      <w:r>
        <w:rPr>
          <w:rFonts w:ascii="Times New Roman" w:hAnsi="Times New Roman" w:cs="Times New Roman"/>
          <w:spacing w:val="0"/>
          <w:szCs w:val="26"/>
          <w:rtl w:val="true"/>
        </w:rPr>
        <w:t>הופחת מ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Cs w:val="26"/>
        </w:rPr>
        <w:t>30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Cs w:val="26"/>
        </w:rPr>
        <w:t>21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907" w:leader="none"/>
        </w:tabs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שיקום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907" w:leader="none"/>
        </w:tabs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שיקום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907" w:leader="none"/>
        </w:tabs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907" w:leader="none"/>
        </w:tabs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ערעור על גז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ד של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מחוזי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בגדרו נגזרו על המערער – בעקבות הרשעתו עפ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י הודאתו בביצוע עבירה של שוד בנסיבות מחמירות – </w:t>
      </w:r>
      <w:r>
        <w:rPr>
          <w:rFonts w:cs="Times New Roman" w:ascii="Times New Roman" w:hAnsi="Times New Roman"/>
          <w:spacing w:val="0"/>
          <w:szCs w:val="26"/>
        </w:rPr>
        <w:t>30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חודשי מאסר בפועל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בניכוי ימי מעצרו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), </w:t>
      </w:r>
      <w:r>
        <w:rPr>
          <w:rFonts w:cs="Times New Roman" w:ascii="Times New Roman" w:hAnsi="Times New Roman"/>
          <w:spacing w:val="0"/>
          <w:szCs w:val="26"/>
        </w:rPr>
        <w:t>12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חודשי מאסר על תנאי ופיצוי למתלונן בסך של </w:t>
      </w:r>
      <w:r>
        <w:rPr>
          <w:rFonts w:cs="Times New Roman" w:ascii="Times New Roman" w:hAnsi="Times New Roman"/>
          <w:spacing w:val="0"/>
          <w:szCs w:val="26"/>
        </w:rPr>
        <w:t>20,000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  <w:rtl w:val="true"/>
        </w:rPr>
        <w:t>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907" w:leader="none"/>
        </w:tabs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907" w:leader="none"/>
        </w:tabs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המשנה לנשיאה 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מלצר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והשופטים 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עמית וע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ברון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קיבל את הערעור בחלקו מהטעמים הבאים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907" w:leader="none"/>
        </w:tabs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hyperlink r:id="rId5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Cs w:val="26"/>
          </w:rPr>
          <w:t>40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ד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)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hyperlink r:id="rId6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חוק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העונשין</w:t>
        </w:r>
      </w:hyperlink>
      <w:r>
        <w:rPr>
          <w:rFonts w:ascii="Times New Roman" w:hAnsi="Times New Roman" w:cs="Times New Roman"/>
          <w:spacing w:val="0"/>
          <w:szCs w:val="26"/>
          <w:rtl w:val="true"/>
        </w:rPr>
        <w:t xml:space="preserve"> קובע כי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רשאי לסטות ממתחם העונש משיקולי שיקום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אם</w:t>
      </w:r>
      <w:r>
        <w:rPr>
          <w:rFonts w:cs="Times New Roman" w:ascii="Times New Roman" w:hAnsi="Times New Roman"/>
          <w:spacing w:val="0"/>
          <w:szCs w:val="26"/>
          <w:rtl w:val="true"/>
        </w:rPr>
        <w:t>: "</w:t>
      </w:r>
      <w:r>
        <w:rPr>
          <w:rFonts w:ascii="Times New Roman" w:hAnsi="Times New Roman" w:cs="Times New Roman"/>
          <w:spacing w:val="0"/>
          <w:szCs w:val="26"/>
          <w:rtl w:val="true"/>
        </w:rPr>
        <w:t>מצא כי הנאשם השתקם או כי יש סיכוי של ממש שישתקם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Cs w:val="26"/>
          <w:rtl w:val="true"/>
        </w:rPr>
        <w:t>בגדר 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הפסיקה קבעה כי ניתן להתחשב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בין היתר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בשיקולים הבאים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המוטיבציה שהביע האדם המורשע להשתקם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הליכי גמילה מהתמכרות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הצלחה בהשתלבות בהליכים טיפוליים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שינוי בהתנהגות ובדרך החשיבה של האדם שהורשע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הבעת חרטה כנה והפגנת אמפתיה כלפי נפגע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סעיף זה מבטא את עמדת המחוקק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לפיה ייתכנו מקרים בהם יש להעדיף את שיקולי השיקום על פני עיקרון ההלימה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שהוא העיקרון המנחה בענישה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907" w:leader="none"/>
        </w:tabs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בנסיבות המקרה ומבלי להקל ראש באשר לחומרת העבירה בה הורשע המערער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יש כאן טעמים מיוחדים המצדיקים הקלה מסוימת בעונשו של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תוך חריגה מהרף התחתון של מתחם הענישה שקבע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משיקולי שיקום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907" w:leader="none"/>
        </w:tabs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אמנם התסקיר העדכני הראה על נסיגה כלשהי מההליך השיקומי שבו נמצא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אך לא ניתן להתעלם מהתמונה החיובית הכוללת המצטיירת מתסקירי שירות המבחן שהוגשו בעניינו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אשר מעידה על הירתמות המערער לתהליך השיקומי ועל סיכוייו העתידיים להשתקם ולחזור למוטב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בנוסף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יש להתחשב גם בכך שהמערער הביע חרטה כנה על מעשיו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ואף ביצע הליך של צדק מאחה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בגדרו הוא פיצה את המתלונן בסכום כספי והביע בפניו את התנצלותו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לכך יש להוסיף כי המלצת שירות המבחן בהליך שהתקיים בפני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הייתה לעונש שיבוצע בדרך של עבודות שירות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בנוסף למאסר מותנה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צו מבחן ותשלום פיצויים למתלונן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על אף 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ובדין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החליט להטיל על המערער עונש של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בנימוק כי</w:t>
      </w:r>
      <w:r>
        <w:rPr>
          <w:rFonts w:cs="Times New Roman" w:ascii="Times New Roman" w:hAnsi="Times New Roman"/>
          <w:spacing w:val="0"/>
          <w:szCs w:val="26"/>
          <w:rtl w:val="true"/>
        </w:rPr>
        <w:t>: "</w:t>
      </w:r>
      <w:r>
        <w:rPr>
          <w:rFonts w:ascii="Times New Roman" w:hAnsi="Times New Roman" w:cs="Times New Roman"/>
          <w:spacing w:val="0"/>
          <w:szCs w:val="26"/>
          <w:rtl w:val="true"/>
        </w:rPr>
        <w:t>הטלת מאסר בעבודות שירות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... </w:t>
      </w:r>
      <w:r>
        <w:rPr>
          <w:rFonts w:ascii="Times New Roman" w:hAnsi="Times New Roman" w:cs="Times New Roman"/>
          <w:spacing w:val="0"/>
          <w:szCs w:val="26"/>
          <w:rtl w:val="true"/>
        </w:rPr>
        <w:t>לא תביא לביטוי הולם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את האיזון הראוי בין מכלול השיקולים הרלוונטיים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..."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907" w:leader="none"/>
        </w:tabs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לצד האמור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גם נסיבותיו האישיות של המערער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וביניהן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גילו הצעיר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היעדר עבר פלילי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הודאתו בהזדמנות הראשונה והימצאותו בתנאים מגבילים לאורך תקופה משמעותית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יש להביאן בחשבון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907" w:leader="none"/>
        </w:tabs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לפיכך נקבע כי עונש המאסר בפועל שהושת על המערער יופחת ב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Cs w:val="26"/>
        </w:rPr>
        <w:t>9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ויעמוד על </w:t>
      </w:r>
      <w:r>
        <w:rPr>
          <w:rFonts w:cs="Times New Roman" w:ascii="Times New Roman" w:hAnsi="Times New Roman"/>
          <w:spacing w:val="0"/>
          <w:szCs w:val="26"/>
        </w:rPr>
        <w:t>21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חודשי מאסר בפועל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בניכוי ימי מעצרו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). </w:t>
      </w:r>
      <w:r>
        <w:rPr>
          <w:rFonts w:ascii="Times New Roman" w:hAnsi="Times New Roman" w:cs="Times New Roman"/>
          <w:spacing w:val="0"/>
          <w:szCs w:val="26"/>
          <w:rtl w:val="true"/>
        </w:rPr>
        <w:t>יתר רכיבי העונש יוותרו בעינם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/>
          <w:spacing w:val="0"/>
          <w:szCs w:val="26"/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0" w:name="BeginProtocol"/>
            <w:bookmarkStart w:id="11" w:name="secretary"/>
            <w:bookmarkEnd w:id="10"/>
            <w:bookmarkEnd w:id="11"/>
            <w:r>
              <w:rPr>
                <w:rFonts w:cs="Times New Roman"/>
                <w:rtl w:val="true"/>
              </w:rPr>
              <w:t xml:space="preserve"> </w:t>
            </w:r>
            <w:bookmarkStart w:id="12" w:name="PsakDin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  <w:bookmarkEnd w:id="12"/>
          </w:p>
        </w:tc>
      </w:tr>
    </w:tbl>
    <w:p>
      <w:pPr>
        <w:pStyle w:val="Ruller41"/>
        <w:spacing w:lineRule="exact" w:line="240" w:before="0" w:after="120"/>
        <w:ind w:hanging="283" w:start="283" w:end="0"/>
        <w:jc w:val="both"/>
        <w:rPr/>
      </w:pPr>
      <w:r>
        <w:rPr>
          <w:rtl w:val="true"/>
        </w:rPr>
      </w:r>
      <w:bookmarkStart w:id="13" w:name="Start_Write"/>
      <w:bookmarkStart w:id="14" w:name="Writer_Name"/>
      <w:bookmarkStart w:id="15" w:name="Start_Write"/>
      <w:bookmarkStart w:id="16" w:name="Writer_Name"/>
      <w:bookmarkEnd w:id="15"/>
      <w:bookmarkEnd w:id="16"/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לפנינו ערעור על גזר דינו של בית המשפט המחוזי בבאר שבע ב</w:t>
      </w:r>
      <w:r>
        <w:rPr>
          <w:rtl w:val="true"/>
        </w:rPr>
        <w:t xml:space="preserve">- 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 </w:t>
      </w:r>
      <w:r>
        <w:rPr/>
        <w:t>11201-08-17</w:t>
      </w:r>
      <w:r>
        <w:rPr>
          <w:rtl w:val="true"/>
        </w:rPr>
        <w:t xml:space="preserve"> 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 xml:space="preserve">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כהן</w:t>
      </w:r>
      <w:r>
        <w:rPr>
          <w:rtl w:val="true"/>
        </w:rPr>
        <w:t xml:space="preserve">) </w:t>
      </w:r>
      <w:r>
        <w:rPr>
          <w:rtl w:val="true"/>
        </w:rPr>
        <w:t xml:space="preserve">מתאריך </w:t>
      </w:r>
      <w:r>
        <w:rPr/>
        <w:t>23.12.2018</w:t>
      </w:r>
      <w:r>
        <w:rPr>
          <w:rtl w:val="true"/>
        </w:rPr>
        <w:t xml:space="preserve">, </w:t>
      </w:r>
      <w:r>
        <w:rPr>
          <w:rtl w:val="true"/>
        </w:rPr>
        <w:t xml:space="preserve">בגדרו נגזרו על המערער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בפועל </w:t>
      </w:r>
      <w:r>
        <w:rPr>
          <w:rtl w:val="true"/>
        </w:rPr>
        <w:t>(</w:t>
      </w:r>
      <w:r>
        <w:rPr>
          <w:rtl w:val="true"/>
        </w:rPr>
        <w:t>בניכוי ימי מעצרו</w:t>
      </w:r>
      <w:r>
        <w:rPr>
          <w:rtl w:val="true"/>
        </w:rPr>
        <w:t xml:space="preserve">),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על תנאי למשך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מיום השחרור</w:t>
      </w:r>
      <w:r>
        <w:rPr>
          <w:rtl w:val="true"/>
        </w:rPr>
        <w:t xml:space="preserve">, </w:t>
      </w:r>
      <w:r>
        <w:rPr>
          <w:rtl w:val="true"/>
        </w:rPr>
        <w:t>כאשר התנאי הוא שהמערער לא יעבור עבירת שוד</w:t>
      </w:r>
      <w:r>
        <w:rPr>
          <w:rtl w:val="true"/>
        </w:rPr>
        <w:t xml:space="preserve">, </w:t>
      </w:r>
      <w:r>
        <w:rPr>
          <w:rtl w:val="true"/>
        </w:rPr>
        <w:t>עבירת אלימות מסוג פשע</w:t>
      </w:r>
      <w:r>
        <w:rPr>
          <w:rtl w:val="true"/>
        </w:rPr>
        <w:t xml:space="preserve">, </w:t>
      </w:r>
      <w:r>
        <w:rPr>
          <w:rtl w:val="true"/>
        </w:rPr>
        <w:t xml:space="preserve">או עבירת רכוש מסוג פשע ופיצוי למתלונן בסך של </w:t>
      </w:r>
      <w:r>
        <w:rPr/>
        <w:t>20,000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להלן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עיקריים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הצריכים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לעניין</w:t>
      </w:r>
      <w:r>
        <w:rPr>
          <w:rtl w:val="true"/>
        </w:rPr>
        <w:t>.</w:t>
      </w:r>
    </w:p>
    <w:p>
      <w:pPr>
        <w:pStyle w:val="Normal"/>
        <w:shd w:fill="FFFFFF" w:val="clear"/>
        <w:overflowPunct w:val="true"/>
        <w:ind w:end="0"/>
        <w:jc w:val="both"/>
        <w:textAlignment w:val="auto"/>
        <w:rPr/>
      </w:pPr>
      <w:r>
        <w:rPr>
          <w:rtl w:val="true"/>
        </w:rPr>
      </w:r>
    </w:p>
    <w:p>
      <w:pPr>
        <w:pStyle w:val="Normal"/>
        <w:shd w:fill="FFFFFF" w:val="clear"/>
        <w:overflowPunct w:val="true"/>
        <w:ind w:end="0"/>
        <w:jc w:val="both"/>
        <w:textAlignment w:val="auto"/>
        <w:rPr/>
      </w:pPr>
      <w:r>
        <w:rPr>
          <w:rFonts w:cs="Miriam"/>
          <w:sz w:val="28"/>
          <w:sz w:val="28"/>
          <w:rtl w:val="true"/>
        </w:rPr>
        <w:t>רקע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עובדתי</w:t>
      </w:r>
    </w:p>
    <w:p>
      <w:pPr>
        <w:pStyle w:val="Ruller41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המערער הודה</w:t>
      </w:r>
      <w:r>
        <w:rPr>
          <w:rtl w:val="true"/>
        </w:rPr>
        <w:t xml:space="preserve">, </w:t>
      </w:r>
      <w:r>
        <w:rPr>
          <w:sz w:val="22"/>
          <w:sz w:val="22"/>
          <w:rtl w:val="true"/>
        </w:rPr>
        <w:t>במסגרת הסדר טיעון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בעובדות כתב אישום מתוקן שהוגש נגדו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 xml:space="preserve">והורשע בתאריך </w:t>
      </w:r>
      <w:r>
        <w:rPr>
          <w:sz w:val="22"/>
        </w:rPr>
        <w:t>03.01.2018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על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פי הודאתו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בביצוע עבירה של</w:t>
      </w:r>
      <w:r>
        <w:rPr>
          <w:rtl w:val="true"/>
        </w:rPr>
        <w:t xml:space="preserve"> שוד בנסיבות מחמירות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העונשין</w:t>
        </w:r>
      </w:hyperlink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התשל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cs="Miriam" w:ascii="Century" w:hAnsi="Century"/>
          <w:b/>
          <w:spacing w:val="0"/>
          <w:sz w:val="22"/>
          <w:szCs w:val="24"/>
        </w:rPr>
        <w:t>1977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העונשין</w:t>
      </w:r>
      <w:r>
        <w:rPr>
          <w:rtl w:val="true"/>
        </w:rPr>
        <w:t>)</w:t>
      </w:r>
      <w:r>
        <w:rPr>
          <w:sz w:val="22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sz w:val="22"/>
          <w:rtl w:val="true"/>
        </w:rPr>
        <w:tab/>
      </w:r>
      <w:r>
        <w:rPr>
          <w:rtl w:val="true"/>
        </w:rPr>
        <w:t>בין הצדדים לא גובשה הסכמה לעניין העונש</w:t>
      </w:r>
      <w:r>
        <w:rPr>
          <w:rtl w:val="true"/>
        </w:rPr>
        <w:t xml:space="preserve">, </w:t>
      </w:r>
      <w:r>
        <w:rPr>
          <w:rtl w:val="true"/>
        </w:rPr>
        <w:t>ונקבע כי הם יטענו לעונש לאחר שיוגש תסקיר שירות מבחן בעניינו של המערער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בתסקיר האחרון שהוגש בעניינו בתאריך </w:t>
      </w:r>
      <w:r>
        <w:rPr/>
        <w:t>20.03.2018</w:t>
      </w:r>
      <w:r>
        <w:rPr>
          <w:rtl w:val="true"/>
        </w:rPr>
        <w:t xml:space="preserve"> </w:t>
      </w:r>
      <w:r>
        <w:rPr>
          <w:rtl w:val="true"/>
        </w:rPr>
        <w:t>לבית המשפט המחוזי הנכבד</w:t>
      </w:r>
      <w:r>
        <w:rPr>
          <w:rtl w:val="true"/>
        </w:rPr>
        <w:t xml:space="preserve">, </w:t>
      </w:r>
      <w:r>
        <w:rPr>
          <w:rtl w:val="true"/>
        </w:rPr>
        <w:t>הומלץ כי יוטל על המערער עונש מאסר שיבוצע בדרך של עבודות שירות</w:t>
      </w:r>
      <w:r>
        <w:rPr>
          <w:rtl w:val="true"/>
        </w:rPr>
        <w:t xml:space="preserve">, </w:t>
      </w:r>
      <w:r>
        <w:rPr>
          <w:rtl w:val="true"/>
        </w:rPr>
        <w:t>לצד צו מבחן</w:t>
      </w:r>
      <w:r>
        <w:rPr>
          <w:rtl w:val="true"/>
        </w:rPr>
        <w:t xml:space="preserve">, </w:t>
      </w:r>
      <w:r>
        <w:rPr>
          <w:rtl w:val="true"/>
        </w:rPr>
        <w:t>עונש מאסר על תנאי ופיצויים למתלונן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בית המשפט לא קיבל את המלצת שירות המבחן</w:t>
      </w:r>
      <w:r>
        <w:rPr>
          <w:rtl w:val="true"/>
        </w:rPr>
        <w:t xml:space="preserve">, </w:t>
      </w:r>
      <w:r>
        <w:rPr>
          <w:rtl w:val="true"/>
        </w:rPr>
        <w:t xml:space="preserve">והשית על המערער את העונשים הנזכרים בפיסקה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שלעיל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מכאן הערעור על חומרת גזר הדין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בערעור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המערער טוען כי סוגיות מהותיות ורלבנטיות לקביעת העונש לא זכו למשקל הראוי בגזר דינו של בית משפט קמא הנכבד</w:t>
      </w:r>
      <w:r>
        <w:rPr>
          <w:rtl w:val="true"/>
        </w:rPr>
        <w:t xml:space="preserve">, </w:t>
      </w:r>
      <w:r>
        <w:rPr>
          <w:rtl w:val="true"/>
        </w:rPr>
        <w:t>שהטיל עליו לשיטתו עונש חמור מדי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יתר על כן</w:t>
      </w:r>
      <w:r>
        <w:rPr>
          <w:rtl w:val="true"/>
        </w:rPr>
        <w:t xml:space="preserve">, </w:t>
      </w:r>
      <w:r>
        <w:rPr>
          <w:rtl w:val="true"/>
        </w:rPr>
        <w:t>המערער גורס כי הפסיקה שעליה נסמך בית המשפט קמא איננה משקפת לדעתו את מדיניות הענישה הנוהגת</w:t>
      </w:r>
      <w:r>
        <w:rPr>
          <w:rtl w:val="true"/>
        </w:rPr>
        <w:t xml:space="preserve">, </w:t>
      </w:r>
      <w:r>
        <w:rPr>
          <w:rtl w:val="true"/>
        </w:rPr>
        <w:t>שכן רוב פסקי הדין שאוזכרו בפסק הדין</w:t>
      </w:r>
      <w:r>
        <w:rPr>
          <w:rtl w:val="true"/>
        </w:rPr>
        <w:t xml:space="preserve">, </w:t>
      </w:r>
      <w:r>
        <w:rPr>
          <w:rtl w:val="true"/>
        </w:rPr>
        <w:t>נשוא הערעור שונים בנסיבותיהם מעניינו של המערער</w:t>
      </w:r>
      <w:r>
        <w:rPr>
          <w:rtl w:val="true"/>
        </w:rPr>
        <w:t xml:space="preserve">. </w:t>
      </w:r>
      <w:r>
        <w:rPr>
          <w:rtl w:val="true"/>
        </w:rPr>
        <w:t>המערער מוסיף וסוקר שורת פסקי דין</w:t>
      </w:r>
      <w:r>
        <w:rPr>
          <w:rtl w:val="true"/>
        </w:rPr>
        <w:t xml:space="preserve">,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בתי המשפט קבעו מתחמי עונש נמוכים יותר מזה שנקבע עבורו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לטענת המערער</w:t>
      </w:r>
      <w:r>
        <w:rPr>
          <w:rtl w:val="true"/>
        </w:rPr>
        <w:t xml:space="preserve">, </w:t>
      </w:r>
      <w:r>
        <w:rPr>
          <w:rtl w:val="true"/>
        </w:rPr>
        <w:t>הליך הצדק המאחה שהוא קיים אמור היה לקבל משנה חשיבות בנסיבות</w:t>
      </w:r>
      <w:r>
        <w:rPr>
          <w:rtl w:val="true"/>
        </w:rPr>
        <w:t xml:space="preserve">, </w:t>
      </w:r>
      <w:r>
        <w:rPr>
          <w:rtl w:val="true"/>
        </w:rPr>
        <w:t>נוכח העובדה שהוא והמתלונן משתייכים לקהילת העבריים מדימונה</w:t>
      </w:r>
      <w:r>
        <w:rPr>
          <w:rtl w:val="true"/>
        </w:rPr>
        <w:t xml:space="preserve">, </w:t>
      </w:r>
      <w:r>
        <w:rPr>
          <w:rtl w:val="true"/>
        </w:rPr>
        <w:t>שהיא קהילה קטנה ומלוכדת</w:t>
      </w:r>
      <w:r>
        <w:rPr>
          <w:rtl w:val="true"/>
        </w:rPr>
        <w:t xml:space="preserve">, </w:t>
      </w:r>
      <w:r>
        <w:rPr>
          <w:rtl w:val="true"/>
        </w:rPr>
        <w:t xml:space="preserve">ומשכך </w:t>
      </w:r>
      <w:r>
        <w:rPr>
          <w:rtl w:val="true"/>
        </w:rPr>
        <w:t>–</w:t>
      </w:r>
      <w:r>
        <w:rPr>
          <w:rtl w:val="true"/>
        </w:rPr>
        <w:t xml:space="preserve"> פיצוי המתלונן והידברות אינטימית בין הצדדים יכולה למנוע סכסוך רחב יותר בתוך קהילתם</w:t>
      </w:r>
      <w:r>
        <w:rPr>
          <w:rtl w:val="true"/>
        </w:rPr>
        <w:t xml:space="preserve">. </w:t>
      </w:r>
      <w:r>
        <w:rPr>
          <w:rtl w:val="true"/>
        </w:rPr>
        <w:t>המערער מציין בהקשר זה כי בתי המשפט מקלים</w:t>
      </w:r>
      <w:r>
        <w:rPr>
          <w:rtl w:val="true"/>
        </w:rPr>
        <w:t xml:space="preserve">, </w:t>
      </w:r>
      <w:r>
        <w:rPr>
          <w:rtl w:val="true"/>
        </w:rPr>
        <w:t>לעתים</w:t>
      </w:r>
      <w:r>
        <w:rPr>
          <w:rtl w:val="true"/>
        </w:rPr>
        <w:t xml:space="preserve">, </w:t>
      </w:r>
      <w:r>
        <w:rPr>
          <w:rtl w:val="true"/>
        </w:rPr>
        <w:t>בעונש נוכח קיום הליך צדק מאחה בין הצדדים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סיכומם של דברים</w:t>
      </w:r>
      <w:r>
        <w:rPr>
          <w:rtl w:val="true"/>
        </w:rPr>
        <w:t xml:space="preserve">, </w:t>
      </w:r>
      <w:r>
        <w:rPr>
          <w:rtl w:val="true"/>
        </w:rPr>
        <w:t>המערער טוען כי שליחתו למאסר בפועל לתקופה משמעותית תפגע ביכולתו להשתקם</w:t>
      </w:r>
      <w:r>
        <w:rPr>
          <w:rtl w:val="true"/>
        </w:rPr>
        <w:t xml:space="preserve">, </w:t>
      </w:r>
      <w:r>
        <w:rPr>
          <w:rtl w:val="true"/>
        </w:rPr>
        <w:t>וכי יש בנסיבות שיקולי שיקום המצדיקים חריגה ממתחם הענישה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טיעוני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המשיבה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Fonts w:ascii="Century" w:hAnsi="Century" w:cs="Century"/>
          <w:sz w:val="22"/>
          <w:sz w:val="22"/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מצידה</w:t>
      </w:r>
      <w:r>
        <w:rPr>
          <w:rtl w:val="true"/>
        </w:rPr>
        <w:t xml:space="preserve">, </w:t>
      </w:r>
      <w:r>
        <w:rPr>
          <w:rtl w:val="true"/>
        </w:rPr>
        <w:t xml:space="preserve">מסרה בדיון שהתקיים בפנינו בתאריך </w:t>
      </w:r>
      <w:r>
        <w:rPr/>
        <w:t>12.11.2019</w:t>
      </w:r>
      <w:r>
        <w:rPr>
          <w:rtl w:val="true"/>
        </w:rPr>
        <w:t xml:space="preserve"> </w:t>
      </w:r>
      <w:r>
        <w:rPr>
          <w:rtl w:val="true"/>
        </w:rPr>
        <w:t>כי היא מותירה לשיקול דעת בית המשפט את האפשרות להקל בעונשו של המערער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תסקירי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המבחן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לקראת הדיון בערעור</w:t>
      </w:r>
      <w:r>
        <w:rPr>
          <w:rtl w:val="true"/>
        </w:rPr>
        <w:t xml:space="preserve">, </w:t>
      </w:r>
      <w:r>
        <w:rPr>
          <w:rtl w:val="true"/>
        </w:rPr>
        <w:t>הוגשו תסקירים משלימים מטעם שירות המבחן</w:t>
      </w:r>
      <w:r>
        <w:rPr>
          <w:rtl w:val="true"/>
        </w:rPr>
        <w:t xml:space="preserve">. </w:t>
      </w:r>
      <w:r>
        <w:rPr>
          <w:rtl w:val="true"/>
        </w:rPr>
        <w:t xml:space="preserve">עיקרי הדברים שנכתבו בתסקיר שהוגש בתאריך </w:t>
      </w:r>
      <w:r>
        <w:rPr/>
        <w:t>30.05.2019</w:t>
      </w:r>
      <w:r>
        <w:rPr>
          <w:rtl w:val="true"/>
        </w:rPr>
        <w:t xml:space="preserve"> </w:t>
      </w:r>
      <w:r>
        <w:rPr>
          <w:rtl w:val="true"/>
        </w:rPr>
        <w:t>היו כי המערער נרתם להליך השיקומי ומעוניין להשתלב בהליך טיפולי במרכז יום</w:t>
      </w:r>
      <w:r>
        <w:rPr>
          <w:rtl w:val="true"/>
        </w:rPr>
        <w:t xml:space="preserve">, </w:t>
      </w:r>
      <w:r>
        <w:rPr>
          <w:rtl w:val="true"/>
        </w:rPr>
        <w:t>וכי הוא משתף פעולה ומביע מוטיבציה להשלמת הליכי הטיפול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 xml:space="preserve">שירות המבחן המליץ על דחיית הדיון בעניינו של המערער </w:t>
      </w:r>
      <w:r>
        <w:rPr>
          <w:rtl w:val="true"/>
        </w:rPr>
        <w:t>(</w:t>
      </w:r>
      <w:r>
        <w:rPr>
          <w:rtl w:val="true"/>
        </w:rPr>
        <w:t>שהיה קבוע למועד מוקדם יותר</w:t>
      </w:r>
      <w:r>
        <w:rPr>
          <w:rtl w:val="true"/>
        </w:rPr>
        <w:t xml:space="preserve">), </w:t>
      </w:r>
      <w:r>
        <w:rPr>
          <w:rtl w:val="true"/>
        </w:rPr>
        <w:t>כדי להמשיך את ההליך הטיפולי</w:t>
      </w:r>
      <w:r>
        <w:rPr>
          <w:rtl w:val="true"/>
        </w:rPr>
        <w:t xml:space="preserve">, </w:t>
      </w:r>
      <w:r>
        <w:rPr>
          <w:rtl w:val="true"/>
        </w:rPr>
        <w:t>ואנו נענינו לבקשה זו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Fonts w:eastAsia="Garamond"/>
          <w:rtl w:val="true"/>
        </w:rPr>
        <w:t xml:space="preserve"> </w:t>
      </w:r>
      <w:r>
        <w:rPr>
          <w:rtl w:val="true"/>
        </w:rPr>
        <w:t xml:space="preserve">בתסקיר שהוגש בתאריך </w:t>
      </w:r>
      <w:r>
        <w:rPr/>
        <w:t>07.11.2019</w:t>
      </w:r>
      <w:r>
        <w:rPr>
          <w:rtl w:val="true"/>
        </w:rPr>
        <w:t xml:space="preserve"> </w:t>
      </w:r>
      <w:r>
        <w:rPr>
          <w:rtl w:val="true"/>
        </w:rPr>
        <w:t>נמסר</w:t>
      </w:r>
      <w:r>
        <w:rPr>
          <w:rtl w:val="true"/>
        </w:rPr>
        <w:t xml:space="preserve">, </w:t>
      </w:r>
      <w:r>
        <w:rPr>
          <w:rtl w:val="true"/>
        </w:rPr>
        <w:t>בתמצית</w:t>
      </w:r>
      <w:r>
        <w:rPr>
          <w:rtl w:val="true"/>
        </w:rPr>
        <w:t xml:space="preserve">, </w:t>
      </w:r>
      <w:r>
        <w:rPr>
          <w:rtl w:val="true"/>
        </w:rPr>
        <w:t>כי נוכח קשיי התמכרות של המערער לסמים</w:t>
      </w:r>
      <w:r>
        <w:rPr>
          <w:rtl w:val="true"/>
        </w:rPr>
        <w:t xml:space="preserve">, </w:t>
      </w:r>
      <w:r>
        <w:rPr>
          <w:rtl w:val="true"/>
        </w:rPr>
        <w:t>חוסר שיתוף הפעולה שלו</w:t>
      </w:r>
      <w:r>
        <w:rPr>
          <w:rtl w:val="true"/>
        </w:rPr>
        <w:t xml:space="preserve">, </w:t>
      </w:r>
      <w:r>
        <w:rPr>
          <w:rtl w:val="true"/>
        </w:rPr>
        <w:t xml:space="preserve">קשייו הכלכליים ורצונו לסיים את ההליך השיפוטי בעניינו </w:t>
      </w:r>
      <w:r>
        <w:rPr>
          <w:rtl w:val="true"/>
        </w:rPr>
        <w:t>–</w:t>
      </w:r>
      <w:r>
        <w:rPr>
          <w:rtl w:val="true"/>
        </w:rPr>
        <w:t xml:space="preserve"> אין המלצה לעת הזו על ענישה שיקומית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לאחר עיון בגזר הדין של בית המשפט המחוזי הנכבד</w:t>
      </w:r>
      <w:r>
        <w:rPr>
          <w:rtl w:val="true"/>
        </w:rPr>
        <w:t xml:space="preserve">, </w:t>
      </w:r>
      <w:r>
        <w:rPr>
          <w:rtl w:val="true"/>
        </w:rPr>
        <w:t>בהודעת הערעור</w:t>
      </w:r>
      <w:r>
        <w:rPr>
          <w:rtl w:val="true"/>
        </w:rPr>
        <w:t xml:space="preserve">, </w:t>
      </w:r>
      <w:r>
        <w:rPr>
          <w:rtl w:val="true"/>
        </w:rPr>
        <w:t>בתסקירי שירות המבחן</w:t>
      </w:r>
      <w:r>
        <w:rPr>
          <w:rtl w:val="true"/>
        </w:rPr>
        <w:t xml:space="preserve">, </w:t>
      </w:r>
      <w:r>
        <w:rPr>
          <w:rtl w:val="true"/>
        </w:rPr>
        <w:t xml:space="preserve">ובעקבות שמיעת טיעוני באי כח הצדדים </w:t>
      </w:r>
      <w:r>
        <w:rPr>
          <w:rtl w:val="true"/>
        </w:rPr>
        <w:t>–</w:t>
      </w:r>
      <w:r>
        <w:rPr>
          <w:rtl w:val="true"/>
        </w:rPr>
        <w:t xml:space="preserve"> סברנו כי בנסיבות המקרה שבפנינו</w:t>
      </w:r>
      <w:r>
        <w:rPr>
          <w:rtl w:val="true"/>
        </w:rPr>
        <w:t xml:space="preserve">, </w:t>
      </w:r>
      <w:r>
        <w:rPr>
          <w:rtl w:val="true"/>
        </w:rPr>
        <w:t xml:space="preserve">ומבלי להקל ראש באשר לחומרת העבירה בה הורשע המערער </w:t>
      </w:r>
      <w:r>
        <w:rPr>
          <w:rtl w:val="true"/>
        </w:rPr>
        <w:t>–</w:t>
      </w:r>
      <w:r>
        <w:rPr>
          <w:rtl w:val="true"/>
        </w:rPr>
        <w:t xml:space="preserve"> יש כאן טעמים מיוחדים המצדיקים הקלה מסוימת בעונשו של המערער</w:t>
      </w:r>
      <w:r>
        <w:rPr>
          <w:rtl w:val="true"/>
        </w:rPr>
        <w:t xml:space="preserve">, </w:t>
      </w:r>
      <w:r>
        <w:rPr>
          <w:rtl w:val="true"/>
        </w:rPr>
        <w:t>תוך חריגה מהרף התחתון של מתחם הענישה שקבע בית המשפט המחוזי הנכבד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נפרט להלן את הנימוקים שהובילו אותנו למסקנה זו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hyperlink r:id="rId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0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העונשין</w:t>
        </w:r>
      </w:hyperlink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tl w:val="true"/>
        </w:rPr>
        <w:t>קובע כי בית המשפט רשאי לסטות ממתחם העונש משיקולי שיקום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tl w:val="true"/>
        </w:rPr>
        <w:t>: "</w:t>
      </w:r>
      <w:r>
        <w:rPr>
          <w:rtl w:val="true"/>
        </w:rPr>
        <w:t>מצא כי הנאשם השתקם או כי יש סיכוי של ממש שישתקם</w:t>
      </w:r>
      <w:r>
        <w:rPr>
          <w:rtl w:val="true"/>
        </w:rPr>
        <w:t xml:space="preserve">". </w:t>
      </w:r>
      <w:r>
        <w:rPr>
          <w:rtl w:val="true"/>
        </w:rPr>
        <w:t>בגדר כך</w:t>
      </w:r>
      <w:r>
        <w:rPr>
          <w:rtl w:val="true"/>
        </w:rPr>
        <w:t xml:space="preserve">, </w:t>
      </w:r>
      <w:r>
        <w:rPr>
          <w:rtl w:val="true"/>
        </w:rPr>
        <w:t>הפסיקה קבעה כי ניתן להתחשב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בשיקולים הבאים</w:t>
      </w:r>
      <w:r>
        <w:rPr>
          <w:rtl w:val="true"/>
        </w:rPr>
        <w:t xml:space="preserve">: </w:t>
      </w:r>
      <w:r>
        <w:rPr>
          <w:rtl w:val="true"/>
        </w:rPr>
        <w:t>המוטיבציה שהביע האדם המורשע להשתקם</w:t>
      </w:r>
      <w:r>
        <w:rPr>
          <w:rtl w:val="true"/>
        </w:rPr>
        <w:t xml:space="preserve">; </w:t>
      </w:r>
      <w:r>
        <w:rPr>
          <w:rtl w:val="true"/>
        </w:rPr>
        <w:t>הליכי גמילה מהתמכרות</w:t>
      </w:r>
      <w:r>
        <w:rPr>
          <w:rtl w:val="true"/>
        </w:rPr>
        <w:t xml:space="preserve">; </w:t>
      </w:r>
      <w:r>
        <w:rPr>
          <w:rtl w:val="true"/>
        </w:rPr>
        <w:t>הצלחה בהשתלבות בהליכים טיפוליים</w:t>
      </w:r>
      <w:r>
        <w:rPr>
          <w:rtl w:val="true"/>
        </w:rPr>
        <w:t xml:space="preserve">; </w:t>
      </w:r>
      <w:r>
        <w:rPr>
          <w:rtl w:val="true"/>
        </w:rPr>
        <w:t>שינוי בהתנהגות ובדרך החשיבה של האדם שהורשע</w:t>
      </w:r>
      <w:r>
        <w:rPr>
          <w:rtl w:val="true"/>
        </w:rPr>
        <w:t xml:space="preserve">; </w:t>
      </w:r>
      <w:r>
        <w:rPr>
          <w:rtl w:val="true"/>
        </w:rPr>
        <w:t xml:space="preserve">הבעת חרטה כנה והפגנת אמפתיה כלפי נפגע העבירה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1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6637/17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קרנדל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18.04.2018</w:t>
      </w:r>
      <w:r>
        <w:rPr>
          <w:rtl w:val="true"/>
        </w:rPr>
        <w:t xml:space="preserve">); </w:t>
      </w:r>
      <w:hyperlink r:id="rId1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3613/17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זייבלד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17.01.2019</w:t>
      </w:r>
      <w:r>
        <w:rPr>
          <w:rtl w:val="true"/>
        </w:rPr>
        <w:t xml:space="preserve">)).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הסעיף הנ</w:t>
      </w:r>
      <w:r>
        <w:rPr>
          <w:rtl w:val="true"/>
        </w:rPr>
        <w:t>"</w:t>
      </w:r>
      <w:r>
        <w:rPr>
          <w:rtl w:val="true"/>
        </w:rPr>
        <w:t>ל מבטא את עמדת המחוקק</w:t>
      </w:r>
      <w:r>
        <w:rPr>
          <w:rtl w:val="true"/>
        </w:rPr>
        <w:t xml:space="preserve">, </w:t>
      </w:r>
      <w:r>
        <w:rPr>
          <w:rtl w:val="true"/>
        </w:rPr>
        <w:t>לפיה ייתכנו מקרים בהם יש להעדיף את שיקולי השיקום על פני עיקרון ההלימה</w:t>
      </w:r>
      <w:r>
        <w:rPr>
          <w:rtl w:val="true"/>
        </w:rPr>
        <w:t xml:space="preserve">, </w:t>
      </w:r>
      <w:r>
        <w:rPr>
          <w:rtl w:val="true"/>
        </w:rPr>
        <w:t xml:space="preserve">שהוא העיקרון המנחה בענישה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9147/17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עביד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20.09.2018</w:t>
      </w:r>
      <w:r>
        <w:rPr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התסקיר האחרון שהוגש בעניינו של המערער הראה אמנם על נסיגה כלשהי מההליך השיקומי שהוא נמצא בו</w:t>
      </w:r>
      <w:r>
        <w:rPr>
          <w:rtl w:val="true"/>
        </w:rPr>
        <w:t xml:space="preserve">, </w:t>
      </w:r>
      <w:r>
        <w:rPr>
          <w:rtl w:val="true"/>
        </w:rPr>
        <w:t>אך לא ניתן להתעלם מהתמונה החיובית הכוללת המצטיירת מתסקירי שירות המבחן שהוגשו בעניינו</w:t>
      </w:r>
      <w:r>
        <w:rPr>
          <w:rtl w:val="true"/>
        </w:rPr>
        <w:t xml:space="preserve">, </w:t>
      </w:r>
      <w:r>
        <w:rPr>
          <w:rtl w:val="true"/>
        </w:rPr>
        <w:t>אשר מעידה על הירתמות המערער לתהליך השיקומי ועל סיכוייו העתידיים להשתקם ולחזור למוטב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יש להתחשב גם בכך שהמערער הביע חרטה כנה על מעשיו</w:t>
      </w:r>
      <w:r>
        <w:rPr>
          <w:rtl w:val="true"/>
        </w:rPr>
        <w:t xml:space="preserve">, </w:t>
      </w:r>
      <w:r>
        <w:rPr>
          <w:rtl w:val="true"/>
        </w:rPr>
        <w:t>ואף ביצע הליך של צדק מאחה</w:t>
      </w:r>
      <w:r>
        <w:rPr>
          <w:rtl w:val="true"/>
        </w:rPr>
        <w:t xml:space="preserve">, </w:t>
      </w:r>
      <w:r>
        <w:rPr>
          <w:rtl w:val="true"/>
        </w:rPr>
        <w:t>בגדרו הוא פיצה את המתלונן בסכום כספי והביע בפניו את התנצלותו</w:t>
      </w:r>
      <w:r>
        <w:rPr>
          <w:rtl w:val="true"/>
        </w:rPr>
        <w:t xml:space="preserve">. </w:t>
      </w:r>
      <w:r>
        <w:rPr>
          <w:rtl w:val="true"/>
        </w:rPr>
        <w:t>לכך יש להוסיף כי המלצת שירות המבחן בהליך שהתקיים בפני בית המשפט המחוזי הנכבד בעניינו של המערער הייתה לעונש שיבוצע בדרך של עבודות שירות</w:t>
      </w:r>
      <w:r>
        <w:rPr>
          <w:rtl w:val="true"/>
        </w:rPr>
        <w:t xml:space="preserve">, </w:t>
      </w:r>
      <w:r>
        <w:rPr>
          <w:rtl w:val="true"/>
        </w:rPr>
        <w:t>בנוסף למאסר מותנה</w:t>
      </w:r>
      <w:r>
        <w:rPr>
          <w:rtl w:val="true"/>
        </w:rPr>
        <w:t xml:space="preserve">, </w:t>
      </w:r>
      <w:r>
        <w:rPr>
          <w:rtl w:val="true"/>
        </w:rPr>
        <w:t xml:space="preserve">צו מבחן ותשלום פיצויים למתלונן </w:t>
      </w:r>
      <w:r>
        <w:rPr>
          <w:rtl w:val="true"/>
        </w:rPr>
        <w:t>(</w:t>
      </w:r>
      <w:r>
        <w:rPr>
          <w:rtl w:val="true"/>
        </w:rPr>
        <w:t xml:space="preserve">כך בתסקיר שהוגש לבית משפט קמא מתאריך </w:t>
      </w:r>
      <w:r>
        <w:rPr/>
        <w:t>20.03.2018</w:t>
      </w:r>
      <w:r>
        <w:rPr>
          <w:rtl w:val="true"/>
        </w:rPr>
        <w:t xml:space="preserve">). </w:t>
      </w:r>
      <w:r>
        <w:rPr>
          <w:rtl w:val="true"/>
        </w:rPr>
        <w:t>על אף זאת</w:t>
      </w:r>
      <w:r>
        <w:rPr>
          <w:rtl w:val="true"/>
        </w:rPr>
        <w:t xml:space="preserve">, </w:t>
      </w:r>
      <w:r>
        <w:rPr>
          <w:rtl w:val="true"/>
        </w:rPr>
        <w:t xml:space="preserve">ובדין </w:t>
      </w:r>
      <w:r>
        <w:rPr>
          <w:rtl w:val="true"/>
        </w:rPr>
        <w:t>–</w:t>
      </w:r>
      <w:r>
        <w:rPr>
          <w:rtl w:val="true"/>
        </w:rPr>
        <w:t xml:space="preserve"> בית המשפט המחוזי הנכבד החליט להטיל על המערער עונש של מאסר בפועל</w:t>
      </w:r>
      <w:r>
        <w:rPr>
          <w:rtl w:val="true"/>
        </w:rPr>
        <w:t xml:space="preserve">, </w:t>
      </w:r>
      <w:r>
        <w:rPr>
          <w:rtl w:val="true"/>
        </w:rPr>
        <w:t>בנימוק כי</w:t>
      </w:r>
      <w:r>
        <w:rPr>
          <w:rtl w:val="true"/>
        </w:rPr>
        <w:t>: "</w:t>
      </w:r>
      <w:r>
        <w:rPr>
          <w:rtl w:val="true"/>
        </w:rPr>
        <w:t>הטלת מאסר בעבודות שירות</w:t>
      </w:r>
      <w:r>
        <w:rPr>
          <w:rtl w:val="true"/>
        </w:rPr>
        <w:t xml:space="preserve">... </w:t>
      </w:r>
      <w:r>
        <w:rPr>
          <w:rtl w:val="true"/>
        </w:rPr>
        <w:t>לא תביא לביטוי הולם</w:t>
      </w:r>
      <w:r>
        <w:rPr>
          <w:rtl w:val="true"/>
        </w:rPr>
        <w:t xml:space="preserve">, </w:t>
      </w:r>
      <w:r>
        <w:rPr>
          <w:rtl w:val="true"/>
        </w:rPr>
        <w:t>את האיזון הראוי בין מכלול השיקולים הרלוונטיים</w:t>
      </w:r>
      <w:r>
        <w:rPr>
          <w:rtl w:val="true"/>
        </w:rPr>
        <w:t>..." (</w:t>
      </w:r>
      <w:r>
        <w:rPr>
          <w:rtl w:val="true"/>
        </w:rPr>
        <w:t xml:space="preserve">פיסקה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 xml:space="preserve">לגזר הדין מתאריך </w:t>
      </w:r>
      <w:r>
        <w:rPr/>
        <w:t>23.12.2018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לצד האמור</w:t>
      </w:r>
      <w:r>
        <w:rPr>
          <w:rtl w:val="true"/>
        </w:rPr>
        <w:t xml:space="preserve">, </w:t>
      </w:r>
      <w:r>
        <w:rPr>
          <w:rtl w:val="true"/>
        </w:rPr>
        <w:t xml:space="preserve">גם נסיבותיו האישיות של המערער </w:t>
      </w:r>
      <w:r>
        <w:rPr>
          <w:rtl w:val="true"/>
        </w:rPr>
        <w:t>–</w:t>
      </w:r>
      <w:r>
        <w:rPr>
          <w:rtl w:val="true"/>
        </w:rPr>
        <w:t xml:space="preserve"> וביניהן</w:t>
      </w:r>
      <w:r>
        <w:rPr>
          <w:rtl w:val="true"/>
        </w:rPr>
        <w:t xml:space="preserve">: </w:t>
      </w:r>
      <w:r>
        <w:rPr>
          <w:rtl w:val="true"/>
        </w:rPr>
        <w:t>גילו הצעיר</w:t>
      </w:r>
      <w:r>
        <w:rPr>
          <w:rtl w:val="true"/>
        </w:rPr>
        <w:t xml:space="preserve">, </w:t>
      </w:r>
      <w:r>
        <w:rPr>
          <w:rtl w:val="true"/>
        </w:rPr>
        <w:t>היעדר עבר פלילי</w:t>
      </w:r>
      <w:r>
        <w:rPr>
          <w:rtl w:val="true"/>
        </w:rPr>
        <w:t xml:space="preserve">, </w:t>
      </w:r>
      <w:r>
        <w:rPr>
          <w:rtl w:val="true"/>
        </w:rPr>
        <w:t xml:space="preserve">הודאתו בהזדמנות הראשונה והימצאותו בתנאים מגבילים לאורך תקופה משמעותית </w:t>
      </w:r>
      <w:r>
        <w:rPr>
          <w:rtl w:val="true"/>
        </w:rPr>
        <w:t>–</w:t>
      </w:r>
      <w:r>
        <w:rPr>
          <w:rtl w:val="true"/>
        </w:rPr>
        <w:t xml:space="preserve"> יש להביאן בחשבון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באשר לטענת המערער הנוגעת למדיניות הענישה הראויה </w:t>
      </w:r>
      <w:r>
        <w:rPr>
          <w:rtl w:val="true"/>
        </w:rPr>
        <w:t>–</w:t>
      </w:r>
      <w:r>
        <w:rPr>
          <w:rtl w:val="true"/>
        </w:rPr>
        <w:t xml:space="preserve"> משקבענו כי יש מקום להפחית בעונשו</w:t>
      </w:r>
      <w:r>
        <w:rPr>
          <w:rtl w:val="true"/>
        </w:rPr>
        <w:t xml:space="preserve">, </w:t>
      </w:r>
      <w:r>
        <w:rPr>
          <w:rtl w:val="true"/>
        </w:rPr>
        <w:t>הרי שמתייתר הצורך לדון בטענה זו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 xml:space="preserve">נציין כי לא נראה שמדובר במקרה ברור של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סטייה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tl w:val="true"/>
        </w:rPr>
        <w:t>ממדיניות הענישה הראויה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סוף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דבר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נוכח האמור לעיל </w:t>
      </w:r>
      <w:r>
        <w:rPr>
          <w:rtl w:val="true"/>
        </w:rPr>
        <w:t>–</w:t>
      </w:r>
      <w:r>
        <w:rPr>
          <w:rtl w:val="true"/>
        </w:rPr>
        <w:t xml:space="preserve"> הננו סבורים כי בענייננו יש מקום לסטות ממתחם העונש ההולם בשל שיקולי שיקום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1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5"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ולהקל במעט את עונשו של המערער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sz w:val="22"/>
          <w:sz w:val="22"/>
          <w:rtl w:val="true"/>
        </w:rPr>
        <w:t>לפיכך אנו מורים על קבלה חלקית של הערעור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במובן ש</w:t>
      </w:r>
      <w:r>
        <w:rPr>
          <w:rtl w:val="true"/>
        </w:rPr>
        <w:t xml:space="preserve">עונש המאסר בפועל שהושת על המערער </w:t>
      </w:r>
      <w:r>
        <w:rPr>
          <w:rtl w:val="true"/>
        </w:rPr>
        <w:t>(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) </w:t>
      </w:r>
      <w:r>
        <w:rPr>
          <w:rtl w:val="true"/>
        </w:rPr>
        <w:t>יופחת ב</w:t>
      </w:r>
      <w:r>
        <w:rPr>
          <w:rtl w:val="true"/>
        </w:rPr>
        <w:t>-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 xml:space="preserve">ויעמוד על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בפועל </w:t>
      </w:r>
      <w:r>
        <w:rPr>
          <w:rtl w:val="true"/>
        </w:rPr>
        <w:t>(</w:t>
      </w:r>
      <w:r>
        <w:rPr>
          <w:rtl w:val="true"/>
        </w:rPr>
        <w:t>בניכוי ימי מעצרו</w:t>
      </w:r>
      <w:r>
        <w:rPr>
          <w:rtl w:val="true"/>
        </w:rPr>
        <w:t xml:space="preserve">). </w:t>
      </w:r>
      <w:r>
        <w:rPr>
          <w:rtl w:val="true"/>
        </w:rPr>
        <w:t>יתר רכיבי העונש יוותרו בעינם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המערער יתייצב לריצוי עונש המאסר שהושת עליו כאמור בתאריך </w:t>
      </w:r>
      <w:r>
        <w:rPr/>
        <w:t>29.12.2019</w:t>
      </w:r>
      <w:r>
        <w:rPr>
          <w:rtl w:val="true"/>
        </w:rPr>
        <w:t xml:space="preserve">, </w:t>
      </w:r>
      <w:r>
        <w:rPr>
          <w:rtl w:val="true"/>
        </w:rPr>
        <w:t xml:space="preserve">לא יאוחר מהשעה </w:t>
      </w:r>
      <w:r>
        <w:rPr/>
        <w:t>10:00</w:t>
      </w:r>
      <w:r>
        <w:rPr>
          <w:rtl w:val="true"/>
        </w:rPr>
        <w:t xml:space="preserve">, </w:t>
      </w:r>
      <w:r>
        <w:rPr>
          <w:rtl w:val="true"/>
        </w:rPr>
        <w:t>בבימ</w:t>
      </w:r>
      <w:r>
        <w:rPr>
          <w:rtl w:val="true"/>
        </w:rPr>
        <w:t>"</w:t>
      </w:r>
      <w:r>
        <w:rPr>
          <w:rtl w:val="true"/>
        </w:rPr>
        <w:t>ר דקל</w:t>
      </w:r>
      <w:r>
        <w:rPr>
          <w:rtl w:val="true"/>
        </w:rPr>
        <w:t xml:space="preserve">, </w:t>
      </w:r>
      <w:r>
        <w:rPr>
          <w:rtl w:val="true"/>
        </w:rPr>
        <w:t>או במקום אחר על פי החלטת שירות בתי הסוהר</w:t>
      </w:r>
      <w:r>
        <w:rPr>
          <w:rtl w:val="true"/>
        </w:rPr>
        <w:t xml:space="preserve">, </w:t>
      </w:r>
      <w:r>
        <w:rPr>
          <w:rtl w:val="true"/>
        </w:rPr>
        <w:t>כשברשותו תעודת זהות</w:t>
      </w:r>
      <w:r>
        <w:rPr>
          <w:rtl w:val="true"/>
        </w:rPr>
        <w:t xml:space="preserve">, </w:t>
      </w:r>
      <w:r>
        <w:rPr>
          <w:rtl w:val="true"/>
        </w:rPr>
        <w:t>או דרכון</w:t>
      </w:r>
      <w:r>
        <w:rPr>
          <w:rtl w:val="true"/>
        </w:rPr>
        <w:t xml:space="preserve">. </w:t>
      </w:r>
      <w:r>
        <w:rPr>
          <w:rtl w:val="true"/>
        </w:rPr>
        <w:t>על המערער לתאם את הכניסה למאסר</w:t>
      </w:r>
      <w:r>
        <w:rPr>
          <w:rtl w:val="true"/>
        </w:rPr>
        <w:t xml:space="preserve">, </w:t>
      </w:r>
      <w:r>
        <w:rPr>
          <w:rtl w:val="true"/>
        </w:rPr>
        <w:t>כולל האפשרות למיון מוקדם</w:t>
      </w:r>
      <w:r>
        <w:rPr>
          <w:rtl w:val="true"/>
        </w:rPr>
        <w:t xml:space="preserve">, </w:t>
      </w:r>
      <w:r>
        <w:rPr>
          <w:rtl w:val="true"/>
        </w:rPr>
        <w:t>עם ענף אבחון ומיון של שירות בתי הסוהר בטלפונים</w:t>
      </w:r>
      <w:r>
        <w:rPr>
          <w:rtl w:val="true"/>
        </w:rPr>
        <w:t xml:space="preserve">:            </w:t>
      </w:r>
      <w:r>
        <w:rPr/>
        <w:t>08-9787377</w:t>
      </w:r>
      <w:r>
        <w:rPr>
          <w:rtl w:val="true"/>
        </w:rPr>
        <w:t xml:space="preserve">, </w:t>
      </w:r>
      <w:r>
        <w:rPr>
          <w:rtl w:val="true"/>
        </w:rPr>
        <w:t xml:space="preserve">או </w:t>
      </w:r>
      <w:r>
        <w:rPr/>
        <w:t>08-9787336</w:t>
      </w:r>
      <w:r>
        <w:rPr>
          <w:rtl w:val="true"/>
        </w:rPr>
        <w:t xml:space="preserve">. </w:t>
      </w:r>
      <w:r>
        <w:rPr>
          <w:rtl w:val="true"/>
        </w:rPr>
        <w:t>במועד זה יתבטל עיכוב הביצוע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bookmarkStart w:id="17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21.11.2019</w:t>
      </w:r>
      <w:r>
        <w:rPr>
          <w:rtl w:val="true"/>
        </w:rPr>
        <w:t xml:space="preserve">). </w:t>
      </w:r>
      <w:bookmarkEnd w:id="17"/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97"/>
        <w:gridCol w:w="2783"/>
        <w:gridCol w:w="2783"/>
      </w:tblGrid>
      <w:tr>
        <w:trPr/>
        <w:tc>
          <w:tcPr>
            <w:tcW w:w="2797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המשנה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</w:p>
        </w:tc>
        <w:tc>
          <w:tcPr>
            <w:tcW w:w="278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19008260</w:t>
      </w:r>
      <w:r>
        <w:rPr>
          <w:sz w:val="16"/>
          <w:rtl w:val="true"/>
        </w:rPr>
        <w:t>_</w:t>
      </w:r>
      <w:r>
        <w:rPr>
          <w:sz w:val="16"/>
        </w:rPr>
        <w:t>K15.docx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על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16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עמית </w:t>
      </w:r>
      <w:r>
        <w:rPr>
          <w:rFonts w:cs="David" w:ascii="David" w:hAnsi="David"/>
          <w:color w:val="000000"/>
          <w:szCs w:val="22"/>
        </w:rPr>
        <w:t>54678313-826/19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17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18"/>
      <w:footerReference w:type="default" r:id="rId19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7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826/19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אמין יונג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color w:val="000000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color w:val="000000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Style14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d.a" TargetMode="External"/><Relationship Id="rId4" Type="http://schemas.openxmlformats.org/officeDocument/2006/relationships/hyperlink" Target="http://www.nevo.co.il/law/70301/402.b" TargetMode="External"/><Relationship Id="rId5" Type="http://schemas.openxmlformats.org/officeDocument/2006/relationships/hyperlink" Target="http://www.nevo.co.il/law/70301/40d.a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402.b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40d.a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case/22938500" TargetMode="External"/><Relationship Id="rId12" Type="http://schemas.openxmlformats.org/officeDocument/2006/relationships/hyperlink" Target="http://www.nevo.co.il/case/22578451" TargetMode="External"/><Relationship Id="rId13" Type="http://schemas.openxmlformats.org/officeDocument/2006/relationships/hyperlink" Target="http://www.nevo.co.il/case/23506543" TargetMode="External"/><Relationship Id="rId14" Type="http://schemas.openxmlformats.org/officeDocument/2006/relationships/hyperlink" Target="http://www.nevo.co.il/law/70301/40d.a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supreme.court.gov.il/" TargetMode="External"/><Relationship Id="rId17" Type="http://schemas.openxmlformats.org/officeDocument/2006/relationships/hyperlink" Target="http://www.nevo.co.il/advertisements/nevo-100.doc" TargetMode="External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2019-11-24T11:13:00Z</dcterms:created>
  <dc:creator>h4</dc:creator>
  <dc:description/>
  <cp:keywords/>
  <dc:language>en-IL</dc:language>
  <cp:lastModifiedBy>orly</cp:lastModifiedBy>
  <cp:lastPrinted>2019-11-21T15:06:00Z</cp:lastPrinted>
  <dcterms:modified xsi:type="dcterms:W3CDTF">2019-11-24T11:13:00Z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אמין יונג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22938500;22578451;23506543</vt:lpwstr>
  </property>
  <property fmtid="{D5CDD505-2E9C-101B-9397-08002B2CF9AE}" pid="9" name="CITY">
    <vt:lpwstr/>
  </property>
  <property fmtid="{D5CDD505-2E9C-101B-9397-08002B2CF9AE}" pid="10" name="DATE">
    <vt:lpwstr>20191121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י' עמית;ע' ברון;ח' מלצר</vt:lpwstr>
  </property>
  <property fmtid="{D5CDD505-2E9C-101B-9397-08002B2CF9AE}" pid="14" name="LAWLISTTMP1">
    <vt:lpwstr>70301/402.b;040d.a:2</vt:lpwstr>
  </property>
  <property fmtid="{D5CDD505-2E9C-101B-9397-08002B2CF9AE}" pid="15" name="LAWYER">
    <vt:lpwstr>סיגל בלום;פאולה ברוש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נעה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/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/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</vt:lpwstr>
  </property>
  <property fmtid="{D5CDD505-2E9C-101B-9397-08002B2CF9AE}" pid="48" name="NOSE31">
    <vt:lpwstr>שיקום</vt:lpwstr>
  </property>
  <property fmtid="{D5CDD505-2E9C-101B-9397-08002B2CF9AE}" pid="49" name="NOSE310">
    <vt:lpwstr/>
  </property>
  <property fmtid="{D5CDD505-2E9C-101B-9397-08002B2CF9AE}" pid="50" name="NOSE32">
    <vt:lpwstr>מדיניות ענישה: שיקום</vt:lpwstr>
  </property>
  <property fmtid="{D5CDD505-2E9C-101B-9397-08002B2CF9AE}" pid="51" name="NOSE33">
    <vt:lpwstr/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17420;14346</vt:lpwstr>
  </property>
  <property fmtid="{D5CDD505-2E9C-101B-9397-08002B2CF9AE}" pid="59" name="PADIDATE">
    <vt:lpwstr>20191124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826</vt:lpwstr>
  </property>
  <property fmtid="{D5CDD505-2E9C-101B-9397-08002B2CF9AE}" pid="65" name="PROCYEAR">
    <vt:lpwstr>19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410120191121</vt:lpwstr>
  </property>
  <property fmtid="{D5CDD505-2E9C-101B-9397-08002B2CF9AE}" pid="69" name="TYPE_N_DATE">
    <vt:lpwstr>41020191121</vt:lpwstr>
  </property>
  <property fmtid="{D5CDD505-2E9C-101B-9397-08002B2CF9AE}" pid="70" name="VOLUME">
    <vt:lpwstr/>
  </property>
  <property fmtid="{D5CDD505-2E9C-101B-9397-08002B2CF9AE}" pid="71" name="WORDNUMPAGES">
    <vt:lpwstr>7</vt:lpwstr>
  </property>
</Properties>
</file>