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8263/18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חסן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both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FrankRuehl" w:hAnsi="FrankRuehl" w:cs="FrankRuehl"/>
                <w:sz w:val="28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ת</w:t>
              </w:r>
              <w:r>
                <w:rPr>
                  <w:rStyle w:val="Hyperlink"/>
                  <w:sz w:val="24"/>
                  <w:szCs w:val="24"/>
                  <w:rtl w:val="true"/>
                </w:rPr>
                <w:t>"</w:t>
              </w:r>
              <w:r>
                <w:rPr>
                  <w:rStyle w:val="Hyperlink"/>
                  <w:sz w:val="24"/>
                  <w:sz w:val="24"/>
                  <w:szCs w:val="24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sz w:val="24"/>
                  <w:sz w:val="24"/>
                  <w:szCs w:val="24"/>
                  <w:rtl w:val="true"/>
                </w:rPr>
                <w:t xml:space="preserve"> </w:t>
              </w:r>
              <w:r>
                <w:rPr>
                  <w:rStyle w:val="Hyperlink"/>
                  <w:sz w:val="24"/>
                  <w:szCs w:val="24"/>
                </w:rPr>
                <w:t>13005-08-16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26.4.2018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וביום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16.9.2018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Miriam" w:hAnsi="Miriam" w:cs="Miriam"/>
                <w:szCs w:val="22"/>
                <w:rtl w:val="true"/>
              </w:rPr>
              <w:t>ש</w:t>
            </w:r>
            <w:r>
              <w:rPr>
                <w:rFonts w:cs="Miriam" w:ascii="Miriam" w:hAnsi="Miriam"/>
                <w:szCs w:val="22"/>
                <w:rtl w:val="true"/>
              </w:rPr>
              <w:t xml:space="preserve">' </w:t>
            </w:r>
            <w:r>
              <w:rPr>
                <w:rFonts w:ascii="Miriam" w:hAnsi="Miriam" w:cs="Miriam"/>
                <w:szCs w:val="22"/>
                <w:rtl w:val="true"/>
              </w:rPr>
              <w:t>כרמל</w:t>
            </w:r>
            <w:r>
              <w:rPr>
                <w:rFonts w:ascii="FrankRuehl" w:hAnsi="FrankRuehl" w:cs="FrankRuehl"/>
                <w:sz w:val="28"/>
                <w:sz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  <w:r>
              <w:rPr>
                <w:rFonts w:cs="Times New Roman"/>
                <w:rtl w:val="true"/>
              </w:rPr>
              <w:t xml:space="preserve">  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10.9.20</w:t>
            </w:r>
            <w:r>
              <w:rPr>
                <w:sz w:val="24"/>
                <w:szCs w:val="24"/>
                <w:rtl w:val="true"/>
              </w:rPr>
              <w:t>)</w:t>
            </w:r>
            <w:r>
              <w:rPr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3"/>
        <w:gridCol w:w="2"/>
        <w:gridCol w:w="5148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3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סאלח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מחאמיד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5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  <w:r>
              <w:rPr>
                <w:rFonts w:cs="David" w:ascii="David" w:hAnsi="David"/>
                <w:sz w:val="28"/>
                <w:rtl w:val="true"/>
              </w:rPr>
              <w:t xml:space="preserve">       </w:t>
            </w:r>
          </w:p>
        </w:tc>
        <w:tc>
          <w:tcPr>
            <w:tcW w:w="5148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דפנה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שמול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5" w:name="LawTable"/>
      <w:bookmarkEnd w:id="5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ז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1977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sz w:val="24"/>
          </w:rPr>
          <w:t>28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6">
        <w:r>
          <w:rPr>
            <w:rStyle w:val="Hyperlink"/>
            <w:rFonts w:cs="FrankRuehl" w:ascii="FrankRuehl" w:hAnsi="FrankRuehl"/>
            <w:sz w:val="24"/>
          </w:rPr>
          <w:t>144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</w:rPr>
        <w:t>2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7">
        <w:r>
          <w:rPr>
            <w:rStyle w:val="Hyperlink"/>
            <w:rFonts w:cs="FrankRuehl" w:ascii="FrankRuehl" w:hAnsi="FrankRuehl"/>
            <w:sz w:val="24"/>
          </w:rPr>
          <w:t>186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א</w:t>
      </w:r>
      <w:r>
        <w:rPr>
          <w:rFonts w:cs="FrankRuehl" w:ascii="FrankRuehl" w:hAnsi="FrankRuehl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" w:ascii="FrankRuehl" w:hAnsi="FrankRuehl"/>
            <w:sz w:val="24"/>
          </w:rPr>
          <w:t>305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cs="FrankRuehl" w:ascii="FrankRuehl" w:hAnsi="FrankRuehl"/>
          <w:color w:val="0000FF"/>
          <w:sz w:val="24"/>
        </w:rPr>
        <w:t>1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  <w:u w:val="single"/>
        </w:rPr>
      </w:pPr>
      <w:hyperlink r:id="rId9"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חוק הכניסה לישראל</w:t>
        </w:r>
        <w:r>
          <w:rPr>
            <w:rStyle w:val="Hyperlink"/>
            <w:rFonts w:cs="FrankRuehl" w:ascii="FrankRuehl" w:hAnsi="FrankRuehl"/>
            <w:sz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תשי</w:t>
        </w:r>
        <w:r>
          <w:rPr>
            <w:rStyle w:val="Hyperlink"/>
            <w:rFonts w:cs="FrankRuehl" w:ascii="FrankRuehl" w:hAnsi="FrankRuehl"/>
            <w:sz w:val="24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rtl w:val="true"/>
          </w:rPr>
          <w:t>ב</w:t>
        </w:r>
        <w:r>
          <w:rPr>
            <w:rStyle w:val="Hyperlink"/>
            <w:rFonts w:cs="FrankRuehl" w:ascii="FrankRuehl" w:hAnsi="FrankRuehl"/>
            <w:sz w:val="24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</w:rPr>
          <w:t>1952</w:t>
        </w:r>
      </w:hyperlink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sz w:val="24"/>
          <w:u w:val="single"/>
          <w:rtl w:val="true"/>
        </w:rPr>
        <w:t xml:space="preserve">'  </w:t>
      </w:r>
      <w:hyperlink r:id="rId10">
        <w:r>
          <w:rPr>
            <w:rStyle w:val="Hyperlink"/>
            <w:rFonts w:cs="FrankRuehl" w:ascii="FrankRuehl" w:hAnsi="FrankRuehl"/>
            <w:sz w:val="24"/>
          </w:rPr>
          <w:t>12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4"/>
          <w:u w:val="single"/>
        </w:rPr>
      </w:pPr>
      <w:r>
        <w:rPr>
          <w:rFonts w:cs="FrankRuehl" w:ascii="FrankRuehl" w:hAnsi="FrankRuehl"/>
          <w:color w:val="0000FF"/>
          <w:sz w:val="24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bookmarkStart w:id="8" w:name="ABSTRACT_START"/>
      <w:bookmarkEnd w:id="8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ליהנות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פ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ביוזמתו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הושלמה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פנימית</w:t>
      </w:r>
      <w:r>
        <w:rPr>
          <w:rFonts w:cs="FrankRuehl"/>
          <w:sz w:val="24"/>
          <w:szCs w:val="26"/>
          <w:rtl w:val="true"/>
        </w:rPr>
        <w:t xml:space="preserve">;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הסתברויות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לאומני‏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עובדתיים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2358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ונגזרו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כאחד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ההגנה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המעוגנת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hyperlink r:id="rId11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חוק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העונשין</w:t>
        </w:r>
      </w:hyperlink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לחילופין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ובנסיבותיו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להמתיק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משיקולים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תועלתניים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להתעלם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באוטובוס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בילדים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חלקיו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בקבעו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הנדרשים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הרציונלים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שבבסיס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הפטור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וההיסטוריה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החקיקתית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נדונו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בהרחבה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בפסיקה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לחזור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בכך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בתמצית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שבתמצית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יצוין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מצביעה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שהנאשם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מבקש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להתנער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שחצה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ותכלית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לעודד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ממעשה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מאחריות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ליהנות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מהגנת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ביוזמתו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הושלמה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להבדיל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ממצב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הושלמה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לנקוט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מספיק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שיחוש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תחושת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סובייקטיבית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פנימית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הוכחה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מאזן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הסתברויות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הנהוג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האזרחי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הלכה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מושרשת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בממצאי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ומהימנות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הממצאים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מבוססים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לסטות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אינדיקציה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לתמוך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מהאוטובוס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מתכניתו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מגרסתו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מהאוטובוס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לחפש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להוציא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זממו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בחקירתו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במסעדה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ריקה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מאדם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ונעמד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בדעתו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כיצד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החרטה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כבושה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לראשונה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בתשובתו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התמונה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המצטיירת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ממכלול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גורם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חיצוני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המאבטח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בעדו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בעודנו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שוקל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באיזו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הפיגוע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בצדק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מכוונתו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לבצע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הפיגוע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ברכבת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נתפס</w:t>
      </w:r>
      <w:r>
        <w:rPr>
          <w:rFonts w:cs="FrankRuehl"/>
          <w:sz w:val="24"/>
          <w:szCs w:val="26"/>
          <w:rtl w:val="true"/>
        </w:rPr>
        <w:t xml:space="preserve">. 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5226" w:leader="none"/>
        </w:tabs>
        <w:spacing w:lineRule="exact" w:line="320" w:before="0" w:after="120"/>
        <w:ind w:end="0"/>
        <w:contextualSpacing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בתנאי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חדל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מהשלמת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המעשה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היסוד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מחפץ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בלבד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זכאי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לפטור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עקב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שכן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התנאים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מצטברים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לעמוד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יסודות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הסעיף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ליהנות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מהפטור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  <w:tab w:val="left" w:pos="5226" w:leader="none"/>
        </w:tabs>
        <w:spacing w:lineRule="exact" w:line="320" w:before="0" w:after="120"/>
        <w:ind w:end="0"/>
        <w:contextualSpacing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קיצונית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הנוהג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המצריכה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ערכאת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שנפסק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לאומני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לרצוח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ולפגוע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ברבים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מסמרים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טבולים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עכברים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פוטנציאל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ההרס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והמוות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לזרוע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מחייב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כבד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המבטא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הגמול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והרתעת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נקודת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מתקיימות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spacing w:lineRule="auto" w:line="360" w:before="0" w:after="240"/>
        <w:ind w:firstLine="720"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המחוזי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השופטים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ר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כרמל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כ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מוסק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</w:t>
      </w:r>
      <w:r>
        <w:rPr>
          <w:rFonts w:ascii="Century" w:hAnsi="Century" w:cs="Miriam"/>
          <w:b/>
          <w:b/>
          <w:sz w:val="22"/>
          <w:sz w:val="22"/>
          <w:rtl w:val="true"/>
        </w:rPr>
        <w:t>ש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רנר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25.4.2018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16.9.201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נוספות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ונגזרו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שבפנינ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מופנה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ההרשעה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והעונש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כאחד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spacing w:lineRule="auto" w:line="360" w:before="0" w:after="240"/>
        <w:ind w:firstLine="720"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1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ראיות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305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3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1977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: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חוק</w:t>
      </w:r>
      <w:r>
        <w:rPr>
          <w:rFonts w:ascii="Arial TUR" w:hAnsi="Arial TUR" w:eastAsia="Arial TUR" w:cs="Arial TUR"/>
          <w:b/>
          <w:b/>
          <w:sz w:val="22"/>
          <w:sz w:val="22"/>
          <w:rtl w:val="true"/>
        </w:rPr>
        <w:t xml:space="preserve"> </w:t>
      </w:r>
      <w:r>
        <w:rPr>
          <w:rFonts w:ascii="Arial TUR" w:hAnsi="Arial TUR" w:cs="Miriam"/>
          <w:b/>
          <w:b/>
          <w:sz w:val="22"/>
          <w:sz w:val="22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ייצור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2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נשיאת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נשק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5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144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6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186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(</w:t>
        </w:r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א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  <w:rtl w:val="true"/>
          </w:rPr>
          <w:t>)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לחוק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;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וכניסה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hyperlink r:id="rId17">
        <w:r>
          <w:rPr>
            <w:rStyle w:val="Hyperlink"/>
            <w:rFonts w:ascii="Arial TUR" w:hAnsi="Arial TUR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" w:hAnsi="Arial TUR" w:eastAsia="Arial TUR" w:cs="Arial TUR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" w:hAnsi="Arial TUR"/>
            <w:spacing w:val="10"/>
            <w:sz w:val="22"/>
            <w:szCs w:val="28"/>
          </w:rPr>
          <w:t>12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</w:t>
      </w:r>
      <w:hyperlink r:id="rId18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הכניסה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לישראל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התשי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-</w:t>
      </w:r>
      <w:r>
        <w:rPr>
          <w:rFonts w:cs="FrankRuehl" w:ascii="Arial TUR" w:hAnsi="Arial TUR"/>
          <w:spacing w:val="10"/>
          <w:sz w:val="22"/>
          <w:szCs w:val="28"/>
        </w:rPr>
        <w:t>1952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(</w:t>
      </w:r>
      <w:r>
        <w:rPr>
          <w:rFonts w:cs="FrankRuehl" w:ascii="Arial TUR" w:hAnsi="Arial TUR"/>
          <w:spacing w:val="10"/>
          <w:sz w:val="22"/>
          <w:szCs w:val="28"/>
        </w:rPr>
        <w:t>4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Cs w:val="28"/>
          <w:rtl w:val="true"/>
        </w:rPr>
        <w:t>במועדים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הרלוונטיים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יליד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1995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רווק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וסטודנט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שלישית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להנדסה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אזרחית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באוניברסיטת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פוליטכניק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  <w:rtl w:val="true"/>
        </w:rPr>
        <w:t>(</w:t>
      </w:r>
      <w:r>
        <w:rPr>
          <w:rFonts w:ascii="Century" w:hAnsi="Century" w:cs="FrankRuehl"/>
          <w:spacing w:val="10"/>
          <w:szCs w:val="28"/>
          <w:rtl w:val="true"/>
        </w:rPr>
        <w:t>להלן</w:t>
      </w:r>
      <w:r>
        <w:rPr>
          <w:rFonts w:cs="FrankRuehl" w:ascii="Century" w:hAnsi="Century"/>
          <w:spacing w:val="10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rtl w:val="true"/>
        </w:rPr>
        <w:t>האוניברסיטה</w:t>
      </w:r>
      <w:r>
        <w:rPr>
          <w:rFonts w:cs="FrankRuehl" w:ascii="Century" w:hAnsi="Century"/>
          <w:spacing w:val="10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Cs w:val="28"/>
          <w:rtl w:val="true"/>
        </w:rPr>
        <w:t>בחברון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הרמאדן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2015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</w:t>
      </w:r>
      <w:r>
        <w:rPr>
          <w:rFonts w:cs="FrankRuehl" w:ascii="Century" w:hAnsi="Century"/>
          <w:spacing w:val="10"/>
          <w:szCs w:val="28"/>
          <w:rtl w:val="true"/>
        </w:rPr>
        <w:t>-</w:t>
      </w:r>
      <w:r>
        <w:rPr>
          <w:rFonts w:cs="FrankRuehl" w:ascii="Century" w:hAnsi="Century"/>
          <w:spacing w:val="10"/>
          <w:szCs w:val="28"/>
        </w:rPr>
        <w:t>2016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לישראל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פעמים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כדין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להתפלל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אלאקצא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הרמדאן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ולאומית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מתמשכת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שהובילה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רצחניים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גמלה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בליבו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להצטרף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למאבק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הלאומי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לגרום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ולפציעות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אזרחים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באינטרנט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העשוי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מצינור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כיצד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להפכו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לקטלני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טבילת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המחוברים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המלאכה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רכש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האמצעים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הדרושים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והרכיב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13.7.2016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מרוחק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הצליח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שרידיו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באפשרותו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לוודא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שהצינור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14.7.2016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הבוקר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המוקדמות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צינור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כפפות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פעמיות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להחלפה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קט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סכינים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שלקח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להבים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באורכים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cs="FrankRuehl" w:ascii="Century" w:hAnsi="Century"/>
          <w:spacing w:val="10"/>
          <w:sz w:val="22"/>
          <w:szCs w:val="28"/>
        </w:rPr>
        <w:t>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לאוניברסיטה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הצהריים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הפייסבוק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כניסת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לאלאקצא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תדיר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תגן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אלאקצא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?".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פרסום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ההודעה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15.7.2016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הררי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נוסף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ממטעני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הצינור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שהכין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והפעם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הפיצוץ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הצינור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התבקע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למחרת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בייצור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צינור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העטופים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במסמרים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טבולים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עכברים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בתיקו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חוטי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ברזל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כובע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משקפיים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גילוח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מצתים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ושקית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מביתו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נכנס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הביטחון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והתמקם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בחורשה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לצור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באהר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ליפף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פתילי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ההצתה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שלהם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להתפלל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הסמוך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לסגור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מהלימודים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הסרגלים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האוניברסיטה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שהאחרון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ימצא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ויעבירו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כרטיס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מהטלפון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הסלולרי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הבגדים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שארז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שכללו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חולצה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כיתוב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בעברית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גילח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זקנו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יהודי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להסתובב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בירושלים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לחורשה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04:00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להתפלל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הקרוב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לחורשה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לשכונת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ארמון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שבתוכו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והסכינים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17.7.2016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07:30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בארמון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נושא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הגב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הבחין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ילדים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המתואר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קינג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'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ורג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הומה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לאורך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הרחוב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'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שקל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במסעדה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לבסוף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משנוכח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המסעדה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מתלבט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לנסות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הצינור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ולזרוק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שדלתותיה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נפתחות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בתחנת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מרכז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ניגש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הרכבת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המאבטח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עורר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חשדו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חיפוש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גופו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ובתיקו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איתר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המטענים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המסמך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שהשאיר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לחברו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בספריית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האוניברסיטה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צוואה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בימים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האחרונים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הרמדאן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2016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למועד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פסק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דינו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המשפט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המחוזי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במישור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העובדתי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גדר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המחלוקת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מצומצם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ביותר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עבירת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והמחלוקת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הצדדים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נסבה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השאלה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19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0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יכול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ליהנות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כלשהי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היכולה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התחרט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מכוונתו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נהפוך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מתקדם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ביצוע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כשנתפס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-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ייתכן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ספורות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הביצוע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ערנותו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שמנעה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מימוש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תוכניתו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הרצחנית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במהלך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הזדמנויו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מספר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לעשות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הרשיע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המיוחסות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כמפורט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והשית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בפועל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מעצרו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ושנתיים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למשך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שלוש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שחרורו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ממאסרו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כאשר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התנאי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יעבור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עבירות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זהות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לאלה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הורשע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כתב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האישום</w:t>
      </w:r>
      <w:r>
        <w:rPr>
          <w:rFonts w:cs="FrankRuehl" w:ascii="Century" w:hAnsi="Century"/>
          <w:spacing w:val="10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before="0" w:after="240"/>
        <w:ind w:end="0"/>
        <w:contextualSpacing/>
        <w:jc w:val="start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תמצית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טענות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הצדדים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contextualSpacing/>
        <w:jc w:val="start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7" w:name="_Hlk52270401"/>
      <w:bookmarkEnd w:id="17"/>
      <w:r>
        <w:rPr>
          <w:rFonts w:cs="FrankRuehl" w:ascii="Century" w:hAnsi="Century"/>
          <w:spacing w:val="10"/>
          <w:sz w:val="22"/>
          <w:szCs w:val="28"/>
        </w:rPr>
        <w:t>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כשדחה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שנסע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באוטובו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נבעה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מנוכחותם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מלמדת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שחזר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מתוכניתו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החופשי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משעה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מהאוטובוס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ולחפש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כלעומת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להיתפס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להסגיר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שוטט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במרכז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העיר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גרס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הייתה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שירד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מהאוטובוס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ששהה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ההזדמנויות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להוציא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הסגיר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מצידו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צוואת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מתאבד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בגדר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ממשפחתו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שיפרעו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ללמוד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חזרה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סתירות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מתיישבת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הנאמר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סמוך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שעצר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שגה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כשקבע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לחילופין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בהתחשב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ובנסיבותיו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חמור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נטען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להמתיק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משיקולים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תועלתניים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להתעלם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שהחליט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הפיגוע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באוטובוס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לפגוע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בילדים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  <w:bookmarkStart w:id="18" w:name="_Hlk52270401"/>
      <w:bookmarkStart w:id="19" w:name="_Hlk52270401"/>
      <w:bookmarkEnd w:id="19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המשיבה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הצביעה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פעולה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אקטיבית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לראשונה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במסגרת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תשובתו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השנייה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לכתב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האישום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בגרסה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בקביעת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אמון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המאבטח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Cs w:val="28"/>
        </w:rPr>
        <w:t>15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Cs w:val="28"/>
          <w:rtl w:val="true"/>
        </w:rPr>
        <w:tab/>
      </w:r>
      <w:r>
        <w:rPr>
          <w:rFonts w:ascii="Century" w:hAnsi="Century" w:cs="FrankRuehl"/>
          <w:spacing w:val="10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בפסק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דינו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ובטענות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הצדדים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אפתח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כנגד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שבפנינו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מעלה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חוסה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ההגנה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המעוגנת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1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2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הקובע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spacing w:before="0" w:after="0"/>
        <w:ind w:start="1644" w:end="1276"/>
        <w:contextualSpacing/>
        <w:jc w:val="both"/>
        <w:rPr>
          <w:rFonts w:ascii="Century" w:hAnsi="Century" w:cs="Miriam"/>
          <w:sz w:val="22"/>
        </w:rPr>
      </w:pPr>
      <w:r>
        <w:rPr>
          <w:rFonts w:ascii="Century" w:hAnsi="Century" w:cs="Miriam"/>
          <w:sz w:val="22"/>
          <w:sz w:val="22"/>
          <w:rtl w:val="true"/>
        </w:rPr>
        <w:t>פטור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עקב</w:t>
      </w:r>
      <w:r>
        <w:rPr>
          <w:rFonts w:ascii="Century" w:hAnsi="Century" w:eastAsia="Century" w:cs="Century"/>
          <w:sz w:val="22"/>
          <w:sz w:val="22"/>
          <w:rtl w:val="true"/>
        </w:rPr>
        <w:t xml:space="preserve"> </w:t>
      </w:r>
      <w:r>
        <w:rPr>
          <w:rFonts w:ascii="Century" w:hAnsi="Century" w:cs="Miriam"/>
          <w:sz w:val="22"/>
          <w:sz w:val="22"/>
          <w:rtl w:val="true"/>
        </w:rPr>
        <w:t>חרטה</w:t>
      </w:r>
    </w:p>
    <w:p>
      <w:pPr>
        <w:pStyle w:val="Normal"/>
        <w:spacing w:before="0" w:after="0"/>
        <w:ind w:start="1644" w:end="1276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spacing w:before="0" w:after="0"/>
        <w:ind w:start="1644" w:end="1276"/>
        <w:contextualSpacing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</w:rPr>
        <w:t>28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.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ab/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לעבור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יישא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באחריות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לנסיון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הוכיח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שמחפץ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ומתוך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תרומה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למניעת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התוצאות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שבהן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מותנית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באמור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לגרוע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מאחריותו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הפלילית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מושלמת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אחרת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שבמעשה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644" w:end="1276"/>
        <w:contextualSpacing/>
        <w:jc w:val="both"/>
        <w:rPr>
          <w:rFonts w:ascii="Arial TUR" w:hAnsi="Arial TUR" w:cs="FrankRuehl"/>
          <w:spacing w:val="10"/>
          <w:sz w:val="22"/>
          <w:szCs w:val="28"/>
        </w:rPr>
      </w:pPr>
      <w:r>
        <w:rPr>
          <w:rFonts w:cs="FrankRuehl" w:ascii="Arial TUR" w:hAnsi="Arial TUR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הרציונלים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שבבסיס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תכליתו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וההיסטוריה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החקיקתית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בהרחבה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חרוש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ואיננו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נדרשים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לחזור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23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1996/11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23.12.2014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hyperlink r:id="rId2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5767/14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16.6.2015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בתמצית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שבתמצית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נציין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מצביעה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שהנאשם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להתנער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מהעבירה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הגם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שחצה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סף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ותכלית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לעודד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חדילה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הענקת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פטור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מאחריות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פלילית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הניסיון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לבצע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cs="FrankRuehl" w:ascii="Century" w:hAnsi="Century"/>
          <w:spacing w:val="10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ליהנות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מהגנת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ביוזמתו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ומתוך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חרטה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לכך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הושלמה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להבדיל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ממצב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העבירה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הושלמה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גורם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חיצוני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 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בפסיקה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הוכחה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מאזן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ההסתברויות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הנהוג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במשפט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האזרחי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297/11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סעיד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22.7.2013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2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10110/03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גמליאל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11.12.2006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eastAsia="Century" w:cs="Century" w:ascii="Century" w:hAnsi="Century"/>
          <w:spacing w:val="10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bookmarkStart w:id="20" w:name="_Hlk52269218"/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עוד נקבע כי במקרים שבהם ההתנהגות הנדרשת להשלמת המעשה טרם הושלמה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כדי לעמוד בתנאי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חדל מהשלמת המעשה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 העושה לנקוט בפעולה חיצונית שתמנע את השלמת העבירה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וכי אין זה מספיק שיחוש תחושת חרטה סובייקטיבית פנימית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עניין </w:t>
      </w:r>
      <w:r>
        <w:rPr>
          <w:rFonts w:ascii="Century" w:hAnsi="Century" w:cs="Miriam"/>
          <w:b/>
          <w:b/>
          <w:sz w:val="22"/>
          <w:sz w:val="22"/>
          <w:rtl w:val="true"/>
        </w:rPr>
        <w:t>נחאל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37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</w:t>
      </w:r>
      <w:r>
        <w:rPr>
          <w:rFonts w:cs="FrankRuehl" w:ascii="Century" w:hAnsi="Century"/>
          <w:spacing w:val="6"/>
          <w:sz w:val="28"/>
          <w:szCs w:val="28"/>
          <w:rtl w:val="true"/>
        </w:rPr>
        <w:t xml:space="preserve">. </w:t>
      </w:r>
      <w:bookmarkEnd w:id="20"/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מן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הכלל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הפרט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Miriam"/>
          <w:b/>
          <w:sz w:val="22"/>
        </w:rPr>
      </w:pPr>
      <w:r>
        <w:rPr>
          <w:rFonts w:cs="Miriam" w:ascii="Century" w:hAnsi="Century"/>
          <w:b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</w:rPr>
        <w:t>17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bookmarkStart w:id="21" w:name="_Hlk52272452"/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בית המשפט קמא קבע כי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מהתנהגותו לא עולה כוונה כלשהי המלמדת על כך שהתחרט או כי חזר בו מכוונתו לבצע את הפיגוע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הוא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נקט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בפעולה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אקטיבית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כלשהי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בעניין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זה</w:t>
      </w:r>
      <w:r>
        <w:rPr>
          <w:rFonts w:cs="Miriam" w:ascii="Century" w:hAnsi="Century"/>
          <w:b/>
          <w:sz w:val="22"/>
          <w:rtl w:val="true"/>
        </w:rPr>
        <w:t xml:space="preserve">, </w:t>
      </w:r>
      <w:r>
        <w:rPr>
          <w:rFonts w:ascii="Century" w:hAnsi="Century" w:cs="Miriam"/>
          <w:b/>
          <w:b/>
          <w:sz w:val="22"/>
          <w:sz w:val="22"/>
          <w:rtl w:val="true"/>
        </w:rPr>
        <w:t>אלא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לכל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היותר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המתין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לשעת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כושר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לבצע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הפיגוע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ברכבת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הקלה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זאת לאחר שירד מהאוטובוס וראה את המסעדה שהייתה כדבריו ריקה מאנשים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להכרעת הדין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ההדגשה הוספה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י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).</w:t>
      </w:r>
      <w:r>
        <w:rPr>
          <w:rFonts w:cs="Miriam" w:ascii="Century" w:hAnsi="Century"/>
          <w:b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לא זו אף זו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עוד נקבע כי המערער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נתפס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בשלב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מתקדם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מאוד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לכיוון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ביצוע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הפיגוע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נראה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עדותו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המאבטח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[...]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מדובר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היה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בשניות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ספורות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סמוך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מאוד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לכך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שהנאשם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יפעיל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כלפי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הרכבת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הקלה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וההתלבטות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היחידה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שהייתה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לנאשם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היא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האם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לעלות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הרכבת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ולהפעיל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להשליך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המטען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לעבר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הרכבת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הקלה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נראה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במקרה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זה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נמנע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הפיגוע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אך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ורק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עקב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ערנותו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המאבטח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[...]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שהבחין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בהתנהגותו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המוזרה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הנאשם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Cs w:val="28"/>
        </w:rPr>
      </w:pPr>
      <w:bookmarkEnd w:id="21"/>
      <w:r>
        <w:rPr>
          <w:rFonts w:cs="FrankRuehl" w:ascii="FrankRuehl" w:hAnsi="FrankRuehl"/>
          <w:color w:val="000000"/>
          <w:spacing w:val="10"/>
          <w:sz w:val="28"/>
          <w:szCs w:val="28"/>
        </w:rPr>
        <w:t>18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הלכה מושרשת היא כי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דרכה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ערכאת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ערעור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להתערב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בממצאי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עובדה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ומהימנות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זו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תמציתו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כלל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ההתערבות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[...]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וכאשר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נמצא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פסק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הדין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של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הערכאה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הדיונית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מעוגן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בחומר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הראיות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אזי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נעשה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שימוש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בכלל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hyperlink r:id="rId27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8146/09</w:t>
        </w:r>
      </w:hyperlink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אבשלום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8.9.2011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)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להלן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עניין </w:t>
      </w:r>
      <w:r>
        <w:rPr>
          <w:rFonts w:cs="Miriam"/>
          <w:sz w:val="28"/>
          <w:sz w:val="28"/>
          <w:rtl w:val="true"/>
        </w:rPr>
        <w:t>אבשלום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ראו גם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hyperlink r:id="rId28"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pacing w:val="10"/>
            <w:sz w:val="28"/>
            <w:sz w:val="28"/>
            <w:szCs w:val="28"/>
            <w:u w:val="single"/>
            <w:rtl w:val="true"/>
          </w:rPr>
          <w:t xml:space="preserve">פ </w:t>
        </w:r>
        <w:r>
          <w:rPr>
            <w:rStyle w:val="Hyperlink"/>
            <w:rFonts w:cs="FrankRuehl" w:ascii="FrankRuehl" w:hAnsi="FrankRuehl"/>
            <w:color w:val="0000FF"/>
            <w:spacing w:val="10"/>
            <w:sz w:val="28"/>
            <w:szCs w:val="28"/>
            <w:u w:val="single"/>
          </w:rPr>
          <w:t>4655/12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אדרי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25</w:t>
      </w:r>
      <w:r>
        <w:rPr>
          <w:rFonts w:cs="FrankRuehl" w:ascii="Century" w:hAnsi="Century"/>
          <w:spacing w:val="10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Cs w:val="28"/>
        </w:rPr>
        <w:t>29.9.2014</w:t>
      </w:r>
      <w:r>
        <w:rPr>
          <w:rFonts w:cs="FrankRuehl" w:ascii="Century" w:hAnsi="Century"/>
          <w:spacing w:val="10"/>
          <w:szCs w:val="28"/>
          <w:rtl w:val="true"/>
        </w:rPr>
        <w:t xml:space="preserve">); </w:t>
      </w:r>
      <w:hyperlink r:id="rId29"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Cs w:val="28"/>
            <w:u w:val="single"/>
          </w:rPr>
          <w:t>1310/12</w:t>
        </w:r>
      </w:hyperlink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שוורצמן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Cs w:val="28"/>
        </w:rPr>
        <w:t>28</w:t>
      </w:r>
      <w:r>
        <w:rPr>
          <w:rFonts w:cs="FrankRuehl" w:ascii="Century" w:hAnsi="Century"/>
          <w:spacing w:val="10"/>
          <w:szCs w:val="28"/>
          <w:rtl w:val="true"/>
        </w:rPr>
        <w:t xml:space="preserve">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3.11.2014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);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פ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993/00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נור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פ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ד נו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205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219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(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2002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Cs w:val="28"/>
          <w:rtl w:val="true"/>
        </w:rPr>
        <w:t>העובדה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שהמאבטח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הוסיף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פרטים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זניחים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נזכרו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בהודעתו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במשטרה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לגרוע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ממהימנותו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כפי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שנקבע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בית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המשפט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קמא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שהתרשם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מעדותו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באופן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בלתי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אמצעי</w:t>
      </w:r>
      <w:r>
        <w:rPr>
          <w:rFonts w:cs="FrankRuehl" w:ascii="Century" w:hAnsi="Century"/>
          <w:spacing w:val="10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Cs w:val="28"/>
          <w:rtl w:val="true"/>
        </w:rPr>
        <w:t>משכך</w:t>
      </w:r>
      <w:r>
        <w:rPr>
          <w:rFonts w:cs="FrankRuehl" w:ascii="Century" w:hAnsi="Century"/>
          <w:spacing w:val="10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Cs w:val="28"/>
          <w:rtl w:val="true"/>
        </w:rPr>
        <w:t>איני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רואה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לקבל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טענות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בכל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הנוגע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לעדותו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Cs w:val="28"/>
          <w:rtl w:val="true"/>
        </w:rPr>
        <w:t>המאבטח</w:t>
      </w:r>
      <w:r>
        <w:rPr>
          <w:rFonts w:cs="FrankRuehl" w:ascii="Century" w:hAnsi="Century"/>
          <w:spacing w:val="10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</w:rPr>
        <w:t>19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לאחר שבחנתי את ממצאי הערכאה הדיונית ואת טענות הצדדים לגופן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שוכנעתי כי הממצאים שקבע בית המשפט קמא מבוססים על חומר הראיות ואין מקום לסטות מהם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אין כל אינדיקצי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חיצונית שיש בה כדי לתמוך בטענת המערער כי שעה שירד מהאוטובוס חזר בו מתוכניתו לבצע פיגוע בכלל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מגרסתו הראשונה של המערער עולה כי גם לאחר שירד מהאוטובוס המשיך לחפש מטרה על מנת להוציא לפועל את זממו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בחקירתו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המערער טען כי נמנע מלבצע פיגוע במסעדה רק משום שהייתה ריקה מאדם ונעמד במקום שבו נעצר על ידי המאבטח מפני שחכך בדעתו כיצד לבצע את הפיגוע ברכבת הקלה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–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 אם בדרך של עלייה לרכבת או בהשלכת המטענים לתוכה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כך עולה גם מעדותו של המערער בבית המשפט קמא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: 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כשהסתובבת ברחובות אחרי שירדת מהאוטובוס חשבת אולי לעשות במסעדה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נכון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?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ת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: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כן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עמ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112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לפרוטוקול הדיון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 כן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בצדק קבע בית המשפט קמא כי טענת החרטה של המערער היא כבושה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על אף שהיו למערער מספר הזדמנויות בחקירותיו להעלות את הטענה כי התחרט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הוא לא עשה זאת והעלה את הטענה לראשונה בתשובתו לכתב האישום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התמונה המצטיירת ממכלול העובדות היא שהמערער לא חדל מהשלמת המעשה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וזה נמנע עקב התערבות גורם חיצוני בדמות המאבטח שעצר בעדו בעודנו שוקל באיזו דרך לבצע את הפיגוע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משכך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צדק בית המשפט קמא כשקבע כי המערער לא חזר בו מכוונתו לבצע פיגוע וכי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לכל היותר המתין לשעת כושר לבצע את הפיגוע ברכבת הקלה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עת שנתפס על ידי המאבטח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בפסקה 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63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להכרעת הדין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color w:val="000000"/>
          <w:spacing w:val="10"/>
          <w:sz w:val="22"/>
          <w:szCs w:val="28"/>
        </w:rPr>
      </w:pPr>
      <w:r>
        <w:rPr>
          <w:rFonts w:cs="FrankRuehl" w:ascii="Century" w:hAnsi="Century"/>
          <w:color w:val="000000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בתנאי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חדל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מהשלמת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ולא התקיים בו  היסוד של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מחפץ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נפשו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בלבד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זכאי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לפטור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עקב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חרטה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התנאים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המנויים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hyperlink r:id="rId30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בסעיף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28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</w:t>
      </w:r>
      <w:hyperlink r:id="rId31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הינם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מצטברים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לעמוד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בשלושת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יסודות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הסעיף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ליהנות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הפטור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ממש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בטענת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שנטענה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בחצי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בנוגע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למשמעות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הצוואה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המדובר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בצוואה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קלאסית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מפגע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כמצוות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טרם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צאתו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לדרכו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מבקש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להותיר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אחריו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חובות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/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</w:rPr>
        <w:t>21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ומכאן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נקודת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המוצא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דרכה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להתערב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הערכאה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במקרים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חריגים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מקום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שנגזר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קיצונית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מרמת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המקובלת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דומות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וממדיניות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הראויה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 (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עניין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אבשלום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/>
          <w:sz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;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: </w:t>
      </w:r>
      <w:hyperlink r:id="rId32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1242/97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גרינברג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3.2.1998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3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5764/07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12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12.12.2007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5641/09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ברזינסקי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11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22.3.2010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חורג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מרף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הנוהג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במידה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המצריכה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התערבות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ערכאת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 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מדיניות הענישה בעבירות של ניסיון לרצח על רקע לאומני נוטה להיות מחמירה מטעמים מובנים של גמול והרתעה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 (</w:t>
      </w:r>
      <w:hyperlink r:id="rId35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4742/16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פלוני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נ</w:t>
      </w:r>
      <w:r>
        <w:rPr>
          <w:rFonts w:cs="Miriam"/>
          <w:sz w:val="28"/>
          <w:rtl w:val="true"/>
        </w:rPr>
        <w:t xml:space="preserve">' </w:t>
      </w:r>
      <w:r>
        <w:rPr>
          <w:rFonts w:cs="Miriam"/>
          <w:sz w:val="28"/>
          <w:sz w:val="28"/>
          <w:rtl w:val="true"/>
        </w:rPr>
        <w:t>מדינת</w:t>
      </w:r>
      <w:r>
        <w:rPr>
          <w:rFonts w:cs="Times New Roman"/>
          <w:sz w:val="28"/>
          <w:sz w:val="28"/>
          <w:rtl w:val="true"/>
        </w:rPr>
        <w:t xml:space="preserve"> </w:t>
      </w:r>
      <w:r>
        <w:rPr>
          <w:rFonts w:cs="Miriam"/>
          <w:sz w:val="28"/>
          <w:sz w:val="28"/>
          <w:rtl w:val="true"/>
        </w:rPr>
        <w:t>ישראל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,</w:t>
      </w:r>
      <w:r>
        <w:rPr>
          <w:rFonts w:cs="Miriam"/>
          <w:sz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4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דיני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28.2.2018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יפים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לענייננו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שנאמרו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36"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Century" w:hAnsi="Century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Century" w:hAnsi="Century" w:eastAsia="Century" w:cs="Century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color w:val="0000FF"/>
            <w:spacing w:val="10"/>
            <w:sz w:val="22"/>
            <w:szCs w:val="28"/>
            <w:u w:val="single"/>
          </w:rPr>
          <w:t>1299/17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שרוק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דוויאת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(</w:t>
      </w:r>
      <w:r>
        <w:rPr>
          <w:rFonts w:cs="FrankRuehl" w:ascii="Century" w:hAnsi="Century"/>
          <w:spacing w:val="10"/>
          <w:sz w:val="22"/>
          <w:szCs w:val="28"/>
        </w:rPr>
        <w:t>13.1.2019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עונש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16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מאסר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בדרך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דקירת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אדם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"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לאומני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אידיאולוגי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מחמירה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החומרה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טמונה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היתר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בכך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שעבירות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רקע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זה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פוגעות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רק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ביחיד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בקבוצה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שהקורבן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משתייך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אליה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יחיא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פסקה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3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).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האחרונות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מסתמנת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נוספת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בעקבות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פיגועי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הדקירה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הרחב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שהיכה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במדינה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ושחוזר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ומכה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מעת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לעת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.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[...]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ניסיון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לרצח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הוחמרה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בשנים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האחרונות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עברה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תחת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שבט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ביקורתו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והיא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שמשמשת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להכרעה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שלפנינו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ראו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hyperlink r:id="rId37"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eastAsia="he-IL"/>
          </w:rPr>
          <w:t>ע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rtl w:val="true"/>
            <w:lang w:eastAsia="he-IL"/>
          </w:rPr>
          <w:t>"</w:t>
        </w:r>
        <w:r>
          <w:rPr>
            <w:rStyle w:val="Hyperlink"/>
            <w:rFonts w:ascii="Arial TUR" w:hAnsi="Arial TUR" w:cs="FrankRuehl"/>
            <w:color w:val="0000FF"/>
            <w:spacing w:val="10"/>
            <w:sz w:val="22"/>
            <w:sz w:val="22"/>
            <w:szCs w:val="28"/>
            <w:u w:val="single"/>
            <w:rtl w:val="true"/>
            <w:lang w:eastAsia="he-IL"/>
          </w:rPr>
          <w:t>פ</w:t>
        </w:r>
        <w:r>
          <w:rPr>
            <w:rStyle w:val="Hyperlink"/>
            <w:rFonts w:ascii="Arial TUR" w:hAnsi="Arial TUR" w:eastAsia="Arial TUR" w:cs="Arial TUR"/>
            <w:color w:val="0000FF"/>
            <w:spacing w:val="10"/>
            <w:sz w:val="22"/>
            <w:sz w:val="22"/>
            <w:szCs w:val="28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rFonts w:cs="FrankRuehl" w:ascii="Arial TUR" w:hAnsi="Arial TUR"/>
            <w:color w:val="0000FF"/>
            <w:spacing w:val="10"/>
            <w:sz w:val="22"/>
            <w:szCs w:val="28"/>
            <w:u w:val="single"/>
            <w:lang w:eastAsia="he-IL"/>
          </w:rPr>
          <w:t>4742/16</w:t>
        </w:r>
      </w:hyperlink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(</w:t>
      </w:r>
      <w:r>
        <w:rPr>
          <w:rFonts w:cs="FrankRuehl" w:ascii="Arial TUR" w:hAnsi="Arial TUR"/>
          <w:spacing w:val="10"/>
          <w:sz w:val="22"/>
          <w:szCs w:val="28"/>
        </w:rPr>
        <w:t>28.2.2018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18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לקטין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יחיא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17.5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20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שדקר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חייל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;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עניין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  <w:lang w:eastAsia="he-IL"/>
        </w:rPr>
        <w:t>קומבוז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,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שנדחה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ערעור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גזר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דין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17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שנות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מאסר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לצעיר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בן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cs="FrankRuehl" w:ascii="Arial TUR" w:hAnsi="Arial TUR"/>
          <w:spacing w:val="10"/>
          <w:sz w:val="22"/>
          <w:szCs w:val="28"/>
          <w:lang w:eastAsia="he-IL"/>
        </w:rPr>
        <w:t>29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שניסה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לדקור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  <w:lang w:eastAsia="he-IL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  <w:lang w:eastAsia="he-IL"/>
        </w:rPr>
        <w:t>חייל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>)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 xml:space="preserve">.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פי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אמת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מידה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זו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מצאנו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עילה</w:t>
      </w:r>
      <w:r>
        <w:rPr>
          <w:rFonts w:ascii="Arial TUR" w:hAnsi="Arial TUR" w:eastAsia="Arial TUR" w:cs="Arial TUR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" w:hAnsi="Arial TUR" w:cs="FrankRuehl"/>
          <w:spacing w:val="10"/>
          <w:sz w:val="22"/>
          <w:sz w:val="22"/>
          <w:szCs w:val="28"/>
          <w:rtl w:val="true"/>
        </w:rPr>
        <w:t>להתערבותנו</w:t>
      </w:r>
      <w:r>
        <w:rPr>
          <w:rFonts w:cs="FrankRuehl" w:ascii="Arial TUR" w:hAnsi="Arial TUR"/>
          <w:spacing w:val="10"/>
          <w:sz w:val="22"/>
          <w:szCs w:val="28"/>
          <w:rtl w:val="true"/>
        </w:rPr>
        <w:t>".</w:t>
      </w: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  <w:t xml:space="preserve"> </w:t>
      </w:r>
    </w:p>
    <w:p>
      <w:pPr>
        <w:pStyle w:val="Normal"/>
        <w:ind w:start="1644" w:end="1276"/>
        <w:jc w:val="both"/>
        <w:rPr>
          <w:rFonts w:ascii="Arial TUR" w:hAnsi="Arial TUR" w:cs="FrankRuehl"/>
          <w:spacing w:val="10"/>
          <w:sz w:val="22"/>
          <w:szCs w:val="28"/>
          <w:lang w:eastAsia="he-IL"/>
        </w:rPr>
      </w:pPr>
      <w:r>
        <w:rPr>
          <w:rFonts w:cs="FrankRuehl" w:ascii="Arial TUR" w:hAnsi="Arial TUR"/>
          <w:spacing w:val="10"/>
          <w:sz w:val="22"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Century" w:hAnsi="Century" w:cs="FrankRuehl"/>
          <w:spacing w:val="10"/>
          <w:sz w:val="22"/>
          <w:szCs w:val="28"/>
          <w:lang w:eastAsia="he-IL"/>
        </w:rPr>
      </w:pPr>
      <w:r>
        <w:rPr>
          <w:rFonts w:cs="FrankRuehl" w:ascii="Century" w:hAnsi="Century"/>
          <w:spacing w:val="10"/>
          <w:sz w:val="22"/>
          <w:szCs w:val="28"/>
          <w:rtl w:val="true"/>
          <w:lang w:eastAsia="he-IL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והדברים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יפים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וחומר</w:t>
      </w:r>
      <w:r>
        <w:rPr>
          <w:rtl w:val="true"/>
        </w:rPr>
        <w:t xml:space="preserve">, </w:t>
      </w:r>
      <w:r>
        <w:rPr>
          <w:rtl w:val="true"/>
        </w:rPr>
        <w:t>שבמקרה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לרצוח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ברבים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מטען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מסמרים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טבולים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ברעל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עכברים</w:t>
      </w:r>
      <w:r>
        <w:rPr>
          <w:rtl w:val="true"/>
        </w:rPr>
        <w:t xml:space="preserve">. </w:t>
      </w:r>
      <w:r>
        <w:rPr>
          <w:rtl w:val="true"/>
        </w:rPr>
        <w:t>פוטנציאל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ההרס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והמוות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לזרוע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זמן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קצר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שירד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מהאוטובוס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המבטא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והרתעת</w:t>
      </w:r>
      <w:r>
        <w:rPr>
          <w:rFonts w:eastAsia="Arial TUR" w:cs="Arial TUR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tl w:val="true"/>
        </w:rPr>
        <w:tab/>
      </w:r>
      <w:r>
        <w:rPr>
          <w:rtl w:val="true"/>
        </w:rPr>
        <w:t>א</w:t>
      </w:r>
      <w:r>
        <w:rPr>
          <w:rFonts w:ascii="FrankRuehl" w:hAnsi="FrankRuehl"/>
          <w:color w:val="000000"/>
          <w:sz w:val="28"/>
          <w:sz w:val="28"/>
          <w:rtl w:val="true"/>
        </w:rPr>
        <w:t>שר על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נקודת המוצא היא גם נקודת הסיום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ולא מצאתי כי מתקיימות במקרה דנן נסיבות חריגות אשר מצדיקות את התערבותנו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</w:rPr>
        <w:t>22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.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ab/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סוף דבר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,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שהערעור נדחה על שני חלקיו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5226" w:leader="none"/>
        </w:tabs>
        <w:spacing w:lineRule="auto" w:line="360" w:before="0" w:after="240"/>
        <w:ind w:end="0"/>
        <w:contextualSpacing/>
        <w:jc w:val="both"/>
        <w:rPr>
          <w:rFonts w:ascii="FrankRuehl" w:hAnsi="FrankRuehl" w:cs="FrankRuehl"/>
          <w:color w:val="000000"/>
          <w:spacing w:val="10"/>
          <w:sz w:val="28"/>
          <w:szCs w:val="28"/>
        </w:rPr>
      </w:pPr>
      <w:bookmarkStart w:id="22" w:name="Nitan"/>
      <w:r>
        <w:rPr>
          <w:rFonts w:eastAsia="FrankRuehl" w:cs="FrankRuehl" w:ascii="FrankRuehl" w:hAnsi="FrankRuehl"/>
          <w:color w:val="000000"/>
          <w:spacing w:val="10"/>
          <w:sz w:val="28"/>
          <w:szCs w:val="28"/>
          <w:rtl w:val="true"/>
        </w:rPr>
        <w:t xml:space="preserve">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ניתן היום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, ‏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ל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' 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>בתשרי התשפ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"</w:t>
      </w:r>
      <w:r>
        <w:rPr>
          <w:rFonts w:ascii="FrankRuehl" w:hAnsi="FrankRuehl" w:cs="FrankRuehl"/>
          <w:color w:val="000000"/>
          <w:spacing w:val="10"/>
          <w:sz w:val="28"/>
          <w:sz w:val="28"/>
          <w:szCs w:val="28"/>
          <w:rtl w:val="true"/>
        </w:rPr>
        <w:t xml:space="preserve">א 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>(‏</w:t>
      </w:r>
      <w:r>
        <w:rPr>
          <w:rFonts w:cs="FrankRuehl" w:ascii="FrankRuehl" w:hAnsi="FrankRuehl"/>
          <w:color w:val="000000"/>
          <w:spacing w:val="10"/>
          <w:sz w:val="28"/>
          <w:szCs w:val="28"/>
        </w:rPr>
        <w:t>18.10.2020</w:t>
      </w:r>
      <w:r>
        <w:rPr>
          <w:rFonts w:cs="FrankRuehl" w:ascii="FrankRuehl" w:hAnsi="FrankRuehl"/>
          <w:color w:val="000000"/>
          <w:spacing w:val="10"/>
          <w:sz w:val="28"/>
          <w:szCs w:val="28"/>
          <w:rtl w:val="true"/>
        </w:rPr>
        <w:t xml:space="preserve">). </w:t>
      </w:r>
      <w:bookmarkEnd w:id="22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" w:cs="Arial TUR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2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2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18082630</w:t>
      </w:r>
      <w:r>
        <w:rPr>
          <w:sz w:val="16"/>
          <w:rtl w:val="true"/>
        </w:rPr>
        <w:t>_</w:t>
      </w:r>
      <w:r>
        <w:rPr>
          <w:sz w:val="16"/>
        </w:rPr>
        <w:t>E07.docx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  <w:r>
        <w:rPr>
          <w:sz w:val="16"/>
          <w:rtl w:val="true"/>
        </w:rPr>
        <w:t>+</w:t>
      </w:r>
      <w:r>
        <w:rPr>
          <w:sz w:val="16"/>
          <w:sz w:val="16"/>
          <w:rtl w:val="true"/>
        </w:rPr>
        <w:t>עכב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8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54678313-8263/18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9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0"/>
      <w:footerReference w:type="default" r:id="rId41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FrankRuehl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Tahoma">
    <w:charset w:val="00" w:characterSet="windows-1252"/>
    <w:family w:val="swiss"/>
    <w:pitch w:val="variable"/>
  </w:font>
  <w:font w:name="Arial TUR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12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8263/18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עלי אבו חסן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>
      <w:rFonts w:ascii="FrankRuehl" w:hAnsi="FrankRuehl" w:eastAsia="Times New Roman" w:cs="FrankRueh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FrankRuehl" w:hAnsi="FrankRuehl" w:eastAsia="Times New Roman" w:cs="FrankRueh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WW8Num16z0">
    <w:name w:val="WW8Num16z0"/>
    <w:qFormat/>
    <w:rPr/>
  </w:style>
  <w:style w:type="character" w:styleId="WW8Num17z0">
    <w:name w:val="WW8Num17z0"/>
    <w:qFormat/>
    <w:rPr/>
  </w:style>
  <w:style w:type="character" w:styleId="WW8Num18z0">
    <w:name w:val="WW8Num18z0"/>
    <w:qFormat/>
    <w:rPr/>
  </w:style>
  <w:style w:type="character" w:styleId="WW8Num19z0">
    <w:name w:val="WW8Num19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" w:hAnsi="Arial TUR" w:cs="FrankRuehl"/>
      <w:spacing w:val="10"/>
      <w:sz w:val="22"/>
      <w:szCs w:val="28"/>
    </w:rPr>
  </w:style>
  <w:style w:type="character" w:styleId="default">
    <w:name w:val="defaul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basedOn w:val="DefaultParagraphFont"/>
    <w:qFormat/>
    <w:rPr/>
  </w:style>
  <w:style w:type="character" w:styleId="Ruller41">
    <w:name w:val="Ruller 4 ממוספר תו"/>
    <w:qFormat/>
    <w:rPr>
      <w:rFonts w:ascii="Garamond" w:hAnsi="Garamond" w:cs="FrankRuehl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" w:hAnsi="Arial TUR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" w:hAnsi="Arial TUR" w:cs="DavidFix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Ruller44">
    <w:name w:val="Ruller4 אלפביתי"/>
    <w:basedOn w:val="Ruller42"/>
    <w:next w:val="Ruller42"/>
    <w:qFormat/>
    <w:pPr>
      <w:numPr>
        <w:ilvl w:val="0"/>
        <w:numId w:val="2"/>
      </w:numPr>
    </w:pPr>
    <w:rPr/>
  </w:style>
  <w:style w:type="paragraph" w:styleId="filenumber0">
    <w:name w:val="filenumber0"/>
    <w:basedOn w:val="Normal"/>
    <w:qFormat/>
    <w:pPr>
      <w:overflowPunct w:val="true"/>
      <w:autoSpaceDE w:val="true"/>
      <w:bidi w:val="0"/>
      <w:spacing w:before="280" w:after="280"/>
      <w:textAlignment w:val="auto"/>
    </w:pPr>
    <w:rPr>
      <w:rFonts w:cs="Times New Roman"/>
      <w:sz w:val="24"/>
    </w:rPr>
  </w:style>
  <w:style w:type="paragraph" w:styleId="Revision">
    <w:name w:val="Revision"/>
    <w:qFormat/>
    <w:pPr>
      <w:widowControl/>
      <w:bidi w:val="0"/>
    </w:pPr>
    <w:rPr>
      <w:rFonts w:ascii="Century" w:hAnsi="Century" w:eastAsia="Times New Roman" w:cs="FrankRuehl"/>
      <w:color w:val="auto"/>
      <w:spacing w:val="10"/>
      <w:sz w:val="20"/>
      <w:szCs w:val="28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1558390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8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2" TargetMode="External"/><Relationship Id="rId7" Type="http://schemas.openxmlformats.org/officeDocument/2006/relationships/hyperlink" Target="http://www.nevo.co.il/law/70301/186.a" TargetMode="External"/><Relationship Id="rId8" Type="http://schemas.openxmlformats.org/officeDocument/2006/relationships/hyperlink" Target="http://www.nevo.co.il/law/70301/305.1" TargetMode="External"/><Relationship Id="rId9" Type="http://schemas.openxmlformats.org/officeDocument/2006/relationships/hyperlink" Target="http://www.nevo.co.il/law/90721" TargetMode="External"/><Relationship Id="rId10" Type="http://schemas.openxmlformats.org/officeDocument/2006/relationships/hyperlink" Target="http://www.nevo.co.il/law/90721/12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05.1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144.b2" TargetMode="External"/><Relationship Id="rId15" Type="http://schemas.openxmlformats.org/officeDocument/2006/relationships/hyperlink" Target="http://www.nevo.co.il/law/70301/144.b" TargetMode="External"/><Relationship Id="rId16" Type="http://schemas.openxmlformats.org/officeDocument/2006/relationships/hyperlink" Target="http://www.nevo.co.il/law/70301/186.a" TargetMode="External"/><Relationship Id="rId17" Type="http://schemas.openxmlformats.org/officeDocument/2006/relationships/hyperlink" Target="http://www.nevo.co.il/law/90721/12" TargetMode="External"/><Relationship Id="rId18" Type="http://schemas.openxmlformats.org/officeDocument/2006/relationships/hyperlink" Target="http://www.nevo.co.il/law/90721" TargetMode="External"/><Relationship Id="rId19" Type="http://schemas.openxmlformats.org/officeDocument/2006/relationships/hyperlink" Target="http://www.nevo.co.il/law/70301/28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28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case/5804761" TargetMode="External"/><Relationship Id="rId24" Type="http://schemas.openxmlformats.org/officeDocument/2006/relationships/hyperlink" Target="http://www.nevo.co.il/case/20363341" TargetMode="External"/><Relationship Id="rId25" Type="http://schemas.openxmlformats.org/officeDocument/2006/relationships/hyperlink" Target="http://www.nevo.co.il/case/5691461" TargetMode="External"/><Relationship Id="rId26" Type="http://schemas.openxmlformats.org/officeDocument/2006/relationships/hyperlink" Target="http://www.nevo.co.il/case/5768375" TargetMode="External"/><Relationship Id="rId27" Type="http://schemas.openxmlformats.org/officeDocument/2006/relationships/hyperlink" Target="http://www.nevo.co.il/case/5756128" TargetMode="External"/><Relationship Id="rId28" Type="http://schemas.openxmlformats.org/officeDocument/2006/relationships/hyperlink" Target="http://www.nevo.co.il/case/5573130" TargetMode="External"/><Relationship Id="rId29" Type="http://schemas.openxmlformats.org/officeDocument/2006/relationships/hyperlink" Target="http://www.nevo.co.il/case/5574172" TargetMode="External"/><Relationship Id="rId30" Type="http://schemas.openxmlformats.org/officeDocument/2006/relationships/hyperlink" Target="http://www.nevo.co.il/law/70301/28" TargetMode="External"/><Relationship Id="rId31" Type="http://schemas.openxmlformats.org/officeDocument/2006/relationships/hyperlink" Target="http://www.nevo.co.il/law/70301" TargetMode="External"/><Relationship Id="rId32" Type="http://schemas.openxmlformats.org/officeDocument/2006/relationships/hyperlink" Target="http://www.nevo.co.il/case/5755866" TargetMode="External"/><Relationship Id="rId33" Type="http://schemas.openxmlformats.org/officeDocument/2006/relationships/hyperlink" Target="http://www.nevo.co.il/case/6246583" TargetMode="External"/><Relationship Id="rId34" Type="http://schemas.openxmlformats.org/officeDocument/2006/relationships/hyperlink" Target="http://www.nevo.co.il/case/6025720" TargetMode="External"/><Relationship Id="rId35" Type="http://schemas.openxmlformats.org/officeDocument/2006/relationships/hyperlink" Target="http://www.nevo.co.il/case/21477317" TargetMode="External"/><Relationship Id="rId36" Type="http://schemas.openxmlformats.org/officeDocument/2006/relationships/hyperlink" Target="http://www.nevo.co.il/case/22232071" TargetMode="External"/><Relationship Id="rId37" Type="http://schemas.openxmlformats.org/officeDocument/2006/relationships/hyperlink" Target="http://www.nevo.co.il/case/21477317" TargetMode="External"/><Relationship Id="rId38" Type="http://schemas.openxmlformats.org/officeDocument/2006/relationships/hyperlink" Target="http://supreme.court.gov.il/" TargetMode="External"/><Relationship Id="rId39" Type="http://schemas.openxmlformats.org/officeDocument/2006/relationships/hyperlink" Target="http://www.nevo.co.il/advertisements/nevo-100.doc" TargetMode="External"/><Relationship Id="rId40" Type="http://schemas.openxmlformats.org/officeDocument/2006/relationships/header" Target="header1.xml"/><Relationship Id="rId41" Type="http://schemas.openxmlformats.org/officeDocument/2006/relationships/footer" Target="footer1.xml"/><Relationship Id="rId42" Type="http://schemas.openxmlformats.org/officeDocument/2006/relationships/numbering" Target="numbering.xml"/><Relationship Id="rId43" Type="http://schemas.openxmlformats.org/officeDocument/2006/relationships/fontTable" Target="fontTable.xml"/><Relationship Id="rId44" Type="http://schemas.openxmlformats.org/officeDocument/2006/relationships/settings" Target="settings.xml"/><Relationship Id="rId4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2020-10-19T09:38:00Z</dcterms:created>
  <dc:creator>h4</dc:creator>
  <dc:description/>
  <cp:keywords/>
  <dc:language>en-IL</dc:language>
  <cp:lastModifiedBy>orly</cp:lastModifiedBy>
  <cp:lastPrinted>2020-10-18T13:07:00Z</cp:lastPrinted>
  <dcterms:modified xsi:type="dcterms:W3CDTF">2020-10-19T09:38:00Z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עלי אבו חסן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21558390;5804761;20363341;5691461;5768375;5756128;5573130;5574172;5755866;6246583;6025720;21477317:2;22232071</vt:lpwstr>
  </property>
  <property fmtid="{D5CDD505-2E9C-101B-9397-08002B2CF9AE}" pid="9" name="CITY">
    <vt:lpwstr/>
  </property>
  <property fmtid="{D5CDD505-2E9C-101B-9397-08002B2CF9AE}" pid="10" name="DATE">
    <vt:lpwstr>20201018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עמית;ע' ברון;ע' גרוסקופף</vt:lpwstr>
  </property>
  <property fmtid="{D5CDD505-2E9C-101B-9397-08002B2CF9AE}" pid="14" name="LAWLISTTMP1">
    <vt:lpwstr>70301/305.1;144.b2;144.b;186.a;028:3</vt:lpwstr>
  </property>
  <property fmtid="{D5CDD505-2E9C-101B-9397-08002B2CF9AE}" pid="15" name="LAWLISTTMP2">
    <vt:lpwstr>90721/012</vt:lpwstr>
  </property>
  <property fmtid="{D5CDD505-2E9C-101B-9397-08002B2CF9AE}" pid="16" name="LAWYER">
    <vt:lpwstr>דפנה שמול;סאלח מחאמיד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קרן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>דיון פלילי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77;77;77;18;18</vt:lpwstr>
  </property>
  <property fmtid="{D5CDD505-2E9C-101B-9397-08002B2CF9AE}" pid="38" name="NOSE21">
    <vt:lpwstr>הגנות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>ערעור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1431;1446;1446;504;504</vt:lpwstr>
  </property>
  <property fmtid="{D5CDD505-2E9C-101B-9397-08002B2CF9AE}" pid="49" name="NOSE31">
    <vt:lpwstr>חרטה</vt:lpwstr>
  </property>
  <property fmtid="{D5CDD505-2E9C-101B-9397-08002B2CF9AE}" pid="50" name="NOSE310">
    <vt:lpwstr/>
  </property>
  <property fmtid="{D5CDD505-2E9C-101B-9397-08002B2CF9AE}" pid="51" name="NOSE32">
    <vt:lpwstr>מדיניות ענישה: ניסיון לרצח</vt:lpwstr>
  </property>
  <property fmtid="{D5CDD505-2E9C-101B-9397-08002B2CF9AE}" pid="52" name="NOSE33">
    <vt:lpwstr>מדיניות ענישה: עבירות אלימות על רקע לאומני‏</vt:lpwstr>
  </property>
  <property fmtid="{D5CDD505-2E9C-101B-9397-08002B2CF9AE}" pid="53" name="NOSE34">
    <vt:lpwstr>אי-התערבות בממצאים עובדתיים</vt:lpwstr>
  </property>
  <property fmtid="{D5CDD505-2E9C-101B-9397-08002B2CF9AE}" pid="54" name="NOSE35">
    <vt:lpwstr>אי-התערבות במידת העונש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8681;18350;16899;3849;17039</vt:lpwstr>
  </property>
  <property fmtid="{D5CDD505-2E9C-101B-9397-08002B2CF9AE}" pid="60" name="PADIDATE">
    <vt:lpwstr>20201019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8263</vt:lpwstr>
  </property>
  <property fmtid="{D5CDD505-2E9C-101B-9397-08002B2CF9AE}" pid="66" name="PROCYEAR">
    <vt:lpwstr>18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410120201018</vt:lpwstr>
  </property>
  <property fmtid="{D5CDD505-2E9C-101B-9397-08002B2CF9AE}" pid="70" name="TYPE_N_DATE">
    <vt:lpwstr>41020201018</vt:lpwstr>
  </property>
  <property fmtid="{D5CDD505-2E9C-101B-9397-08002B2CF9AE}" pid="71" name="VOLUME">
    <vt:lpwstr/>
  </property>
  <property fmtid="{D5CDD505-2E9C-101B-9397-08002B2CF9AE}" pid="72" name="WORDNUMPAGES">
    <vt:lpwstr>11</vt:lpwstr>
  </property>
</Properties>
</file>