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  <w:lang w:val="en-US" w:eastAsia="en-US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פ </w:t>
      </w:r>
      <w:r>
        <w:rPr>
          <w:rFonts w:cs="David" w:ascii="David" w:hAnsi="David"/>
          <w:b/>
          <w:bCs/>
          <w:sz w:val="28"/>
          <w:szCs w:val="28"/>
          <w:lang w:val="en-US" w:eastAsia="en-US"/>
        </w:rPr>
        <w:t>8265/22</w:t>
      </w:r>
      <w:r>
        <w:rPr>
          <w:rFonts w:cs="David" w:ascii="David" w:hAnsi="David"/>
          <w:b/>
          <w:bCs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  <w:lang w:val="en-US" w:eastAsia="en-US"/>
        </w:rPr>
      </w:pPr>
      <w:r>
        <w:rPr>
          <w:rFonts w:cs="David" w:ascii="David" w:hAnsi="David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יוסף אלרון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אלכס שטיין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גילה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מוחמד ג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עברי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  <w:lang w:val="en-US" w:eastAsia="en-US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  <w:lang w:val="en-US" w:eastAsia="en-US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משיבים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r>
              <w:rPr>
                <w:rFonts w:cs="David" w:ascii="David" w:hAnsi="David"/>
                <w:sz w:val="28"/>
                <w:szCs w:val="28"/>
                <w:lang w:val="en-US" w:eastAsia="en-US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r>
              <w:rPr>
                <w:rFonts w:cs="David" w:ascii="David" w:hAnsi="David"/>
                <w:sz w:val="28"/>
                <w:szCs w:val="28"/>
                <w:lang w:val="en-US" w:eastAsia="en-US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יורשי המנוח רונן עוז ז</w:t>
            </w: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ל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  <w:szCs w:val="28"/>
                <w:lang w:val="en-US" w:eastAsia="en-US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  <w:lang w:val="en-US" w:eastAsia="en-US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lang w:val="en-US" w:eastAsia="en-US"/>
              </w:rPr>
            </w:pPr>
            <w:r>
              <w:rPr>
                <w:rFonts w:ascii="David" w:hAnsi="David"/>
                <w:rtl w:val="true"/>
                <w:lang w:val="en-US" w:eastAsia="en-US"/>
              </w:rPr>
              <w:t>ערעור על גזר דינו של בית המשפט המחוזי בירושלים ב</w:t>
            </w:r>
            <w:r>
              <w:rPr>
                <w:rFonts w:cs="David" w:ascii="David" w:hAnsi="David"/>
                <w:rtl w:val="true"/>
                <w:lang w:val="en-US" w:eastAsia="en-US"/>
              </w:rPr>
              <w:t>-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  <w:lang w:val="en-US" w:eastAsia="en-US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  <w:lang w:val="en-US" w:eastAsia="en-US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lang w:val="en-US" w:eastAsia="en-US"/>
                </w:rPr>
                <w:t>21473-08-18</w:t>
              </w:r>
            </w:hyperlink>
            <w:r>
              <w:rPr>
                <w:rFonts w:cs="David" w:ascii="David" w:hAnsi="David"/>
                <w:rtl w:val="true"/>
                <w:lang w:val="en-US" w:eastAsia="en-US"/>
              </w:rPr>
              <w:t xml:space="preserve"> [</w:t>
            </w:r>
            <w:r>
              <w:rPr>
                <w:rFonts w:ascii="David" w:hAnsi="David"/>
                <w:rtl w:val="true"/>
                <w:lang w:val="en-US" w:eastAsia="en-US"/>
              </w:rPr>
              <w:t>נבו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] </w:t>
            </w:r>
            <w:r>
              <w:rPr>
                <w:rFonts w:ascii="David" w:hAnsi="David"/>
                <w:rtl w:val="true"/>
                <w:lang w:val="en-US" w:eastAsia="en-US"/>
              </w:rPr>
              <w:t xml:space="preserve">מיום </w:t>
            </w:r>
            <w:r>
              <w:rPr>
                <w:rFonts w:cs="David" w:ascii="David" w:hAnsi="David"/>
                <w:lang w:val="en-US" w:eastAsia="en-US"/>
              </w:rPr>
              <w:t>19.10.2022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 </w:t>
            </w:r>
            <w:r>
              <w:rPr>
                <w:rFonts w:ascii="David" w:hAnsi="David"/>
                <w:rtl w:val="true"/>
                <w:lang w:val="en-US" w:eastAsia="en-US"/>
              </w:rPr>
              <w:t>שניתן על ידי סגן הנשיא ר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' </w:t>
            </w:r>
            <w:r>
              <w:rPr>
                <w:rFonts w:ascii="David" w:hAnsi="David"/>
                <w:rtl w:val="true"/>
                <w:lang w:val="en-US" w:eastAsia="en-US"/>
              </w:rPr>
              <w:t>כרמל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, </w:t>
            </w:r>
            <w:r>
              <w:rPr>
                <w:rFonts w:ascii="David" w:hAnsi="David"/>
                <w:rtl w:val="true"/>
                <w:lang w:val="en-US" w:eastAsia="en-US"/>
              </w:rPr>
              <w:t>השופטת ש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' </w:t>
            </w:r>
            <w:r>
              <w:rPr>
                <w:rFonts w:ascii="David" w:hAnsi="David"/>
                <w:rtl w:val="true"/>
                <w:lang w:val="en-US" w:eastAsia="en-US"/>
              </w:rPr>
              <w:t>רנר והשופטת ח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' </w:t>
            </w:r>
            <w:r>
              <w:rPr>
                <w:rFonts w:ascii="David" w:hAnsi="David"/>
                <w:rtl w:val="true"/>
                <w:lang w:val="en-US" w:eastAsia="en-US"/>
              </w:rPr>
              <w:t>מאק</w:t>
            </w:r>
            <w:r>
              <w:rPr>
                <w:rFonts w:cs="David" w:ascii="David" w:hAnsi="David"/>
                <w:rtl w:val="true"/>
                <w:lang w:val="en-US" w:eastAsia="en-US"/>
              </w:rPr>
              <w:t>-</w:t>
            </w:r>
            <w:r>
              <w:rPr>
                <w:rFonts w:ascii="David" w:hAnsi="David"/>
                <w:rtl w:val="true"/>
                <w:lang w:val="en-US" w:eastAsia="en-US"/>
              </w:rPr>
              <w:t>קלמנוביץ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lang w:val="en-US" w:eastAsia="en-US"/>
              </w:rPr>
            </w:pPr>
            <w:r>
              <w:rPr>
                <w:rFonts w:cs="Miriam" w:ascii="Miriam" w:hAnsi="Miriam"/>
                <w:rtl w:val="true"/>
                <w:lang w:val="en-US" w:eastAsia="en-US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lang w:val="en-US" w:eastAsia="en-US"/>
              </w:rPr>
            </w:pPr>
            <w:r>
              <w:rPr>
                <w:rFonts w:ascii="David" w:hAnsi="David"/>
                <w:rtl w:val="true"/>
                <w:lang w:val="en-US" w:eastAsia="en-US"/>
              </w:rPr>
              <w:t>תאריך ישיבה</w:t>
            </w:r>
            <w:r>
              <w:rPr>
                <w:rFonts w:cs="David" w:ascii="David" w:hAnsi="David"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  <w:lang w:val="en-US" w:eastAsia="en-US"/>
              </w:rPr>
            </w:pPr>
            <w:r>
              <w:rPr>
                <w:rFonts w:cs="David" w:ascii="David" w:hAnsi="David"/>
                <w:rtl w:val="true"/>
                <w:lang w:val="en-US" w:eastAsia="en-US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David" w:hAnsi="David"/>
                <w:rtl w:val="true"/>
                <w:lang w:val="en-US" w:eastAsia="en-US"/>
              </w:rPr>
              <w:t>כ</w:t>
            </w:r>
            <w:r>
              <w:rPr>
                <w:rFonts w:cs="David" w:ascii="David" w:hAnsi="David"/>
                <w:rtl w:val="true"/>
                <w:lang w:val="en-US" w:eastAsia="en-US"/>
              </w:rPr>
              <w:t xml:space="preserve">' </w:t>
            </w:r>
            <w:r>
              <w:rPr>
                <w:rFonts w:ascii="David" w:hAnsi="David"/>
                <w:rtl w:val="true"/>
                <w:lang w:val="en-US" w:eastAsia="en-US"/>
              </w:rPr>
              <w:t>בסיוון התשפ</w:t>
            </w:r>
            <w:r>
              <w:rPr>
                <w:rFonts w:cs="David" w:ascii="David" w:hAnsi="David"/>
                <w:rtl w:val="true"/>
                <w:lang w:val="en-US" w:eastAsia="en-US"/>
              </w:rPr>
              <w:t>"</w:t>
            </w:r>
            <w:r>
              <w:rPr>
                <w:rFonts w:ascii="David" w:hAnsi="David"/>
                <w:rtl w:val="true"/>
                <w:lang w:val="en-US" w:eastAsia="en-US"/>
              </w:rPr>
              <w:t xml:space="preserve">ד </w:t>
            </w:r>
            <w:r>
              <w:rPr>
                <w:rFonts w:ascii="David" w:hAnsi="David"/>
                <w:rtl w:val="true"/>
                <w:lang w:val="en-US" w:eastAsia="en-US"/>
              </w:rPr>
              <w:t xml:space="preserve">       </w:t>
            </w:r>
            <w:r>
              <w:rPr>
                <w:rFonts w:cs="David" w:ascii="David" w:hAnsi="David"/>
                <w:rtl w:val="true"/>
                <w:lang w:val="en-US" w:eastAsia="en-US"/>
              </w:rPr>
              <w:t>(</w:t>
            </w:r>
            <w:r>
              <w:rPr>
                <w:rFonts w:cs="David" w:ascii="David" w:hAnsi="David"/>
                <w:lang w:val="en-US" w:eastAsia="en-US"/>
              </w:rPr>
              <w:t>26.6.2024</w:t>
            </w:r>
            <w:r>
              <w:rPr>
                <w:rFonts w:cs="David" w:ascii="David" w:hAnsi="David"/>
                <w:rtl w:val="true"/>
                <w:lang w:val="en-US" w:eastAsia="en-US"/>
              </w:rPr>
              <w:t>)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עאטף פרחאת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>משיב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  <w:lang w:val="en-US" w:eastAsia="en-US"/>
              </w:rPr>
              <w:t xml:space="preserve">ה </w:t>
            </w:r>
            <w:r>
              <w:rPr>
                <w:rFonts w:cs="David" w:ascii="David" w:hAnsi="David"/>
                <w:sz w:val="28"/>
                <w:szCs w:val="28"/>
                <w:lang w:val="en-US" w:eastAsia="en-US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עדי שגב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בשם המשיבים </w:t>
            </w:r>
            <w:r>
              <w:rPr>
                <w:rFonts w:cs="David" w:ascii="David" w:hAnsi="David"/>
                <w:sz w:val="28"/>
                <w:szCs w:val="28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ורד אנוך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9">
        <w:r>
          <w:rPr>
            <w:rStyle w:val="Hyperlink"/>
            <w:rFonts w:cs="FrankRuehl" w:ascii="FrankRuehl" w:hAnsi="FrankRuehl"/>
            <w:u w:val="none"/>
          </w:rPr>
          <w:t>77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298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301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304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21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_Hlk174950399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יצרה מדרג חדש של עבירות המתה על יסוד עיקרון האשמה ומתוך הכרה בחשיבות ערך קדושת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פיצול עבירת ההריגה נועד לשקף את החומרה שרואה המחוקק בעבירות המתה המבוצעות ביסוד חפצי של אדישות – אך לא לבטא הקלה כלשהי ביחס לעבירות המתה המבוצעות ביסוד חפצי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הריגה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בקלות דעת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 וחבלה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שבוצעו עת הצית בית מלון ממנו פוטר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זאת נגזרו עליו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ליורשי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לרעיית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כנגד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בקבעו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יצרה מדרג חדש של עבירות המתה על יסוד עיקרון האשמה ומתוך הכרה בחשיבות ערך קדושת החיים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אחד הטעמים המרכזיים שניצבו בבסיס אימוץ הרפורמה היה היקף השתרעותה הרחב מדי של עבירת ההריגה שעוגנה </w:t>
      </w:r>
      <w:hyperlink r:id="rId23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298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רקע זה הוחלט לפצל את עבירה ההריגה כך שמקרים שבהם נאשם פעל ביסוד חפצי של אדישות יכנסו לגדרי עבירת הרצח הבסיסית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4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300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עבירת הרצח בנסיבות מחמירות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5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301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ואילו מקרים שבהם היסוד החפצי המיוחס לנאשם הוא קלות דעת יבואו בגדר עבירת ההמתה בקלות דעת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6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301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ג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במטרה לשקף נאמנה את חומרת המעשים ואת מידת אשמתו של הנאשם במישור התיוג הנלווה לעבירה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ובנוסף ליצור הלימה בין המעשים לבין העונש הקבוע בגינם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לעבירת ההמתה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שנקבע לה היה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למטרת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הובהר כי פיצול עבירת ההריגה נועד לשקף את החומרה שרואה המחוקק בעבירות המתה המבוצעות ביסוד חפצי של אדישות – אך לא לבטא הקלה כלשהי ביחס לעבירות המתה המבוצעות ביסוד חפצי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שהעונש שהיה קבוע בצד עבירת ההריגה לא הופחת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אף הוחמר ביחס לעבירות המבוצעות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של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נועד להתאים את הדין לכך שמקרי ההמתה באדישות ומקרי ההמתה בקלות דעת אינם דרים עוד בכפיפה אחת תחת אותו סעיף חוק – הא ותו 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ביחס להמתה המבוצעת בקלות דעת לא השתנתה אפוא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ולטענת המערער לפיה הרפורמה מגלמת הקלה עם הממיתים בקלות דעת – אין יסוד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המוצא לבחינת הערעור על חומרת העונש מצויה בכלל לפיו אין זה מדרכה של ערכאת הערעור להתערב בעונש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בהם אירעה חריגה קיצונית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כשנפלה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אינו בא בגדרי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העבירות שבהן הורשע המערער – קשות וחמורות 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יודגש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אף אם הפגיעה בערך קדושת החיים בוצעה מתוך יסוד נפשי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הדבר מלמד כי המעשים אינם חמורים כשלעצמם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נטילה מודעת של סיכון בלתי סביר לכך שחיי אדם ייפגעו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כשהיא מלווה בתקווה שהתוצאה הקטלנית תימנע – מחייבת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אמורים ביתר שאת כשלצד עבירה זו המערער הורשע בביצוע עבירות חמורות שבחמורות – כזו היא עבירת ההצתה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וכזו היא עבירת חבלה חמורה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של עבירות אלה נלמדת גם מהתבוננות על העונשים המרביים הקבועים בצידן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נסיבות ביצוע העבירות בענייננו מלמדות כי הצורך בהטלת ענישה מחמירה חל בעניינו של המערער על אחת כמה וכמה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מדובר במקרה שללא ספק נמנה על המקרים החמורים של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ובראשונה יש לעמוד על הנזק הפוטנציאלי הגלום במעשיו של המערער ועל הנזק שנגרם בפועל כתוצאה מהם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ציין וחזר ציין כי ראשיתה של הצתה ידועה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אחריתה מי ישורנה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מקבלים משנה תוקף משמדובר בהצתת מקום כבית מלון בו לנים אורחים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הפגיעה האפשרית בחיי אדם במקום מעין זה אינה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תרחיש רחוק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בלשון המעטה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שהמקרה הטראגי שבנדון מלמד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למרבה הצער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ענייננו לא תם בנזק שרק עלול היה להתממש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וקשה מכולן היא הפגיעה במשפחת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לאמור עד כה מתווספים התכנון שקדם לעבירות וחלקו היחסי של המערער בעשייתן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עולה לאין שיעור על חלקם של יתר הנאשמים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שאת טענותיו המבקשות להיתלות בפערים כאלה ואחרים בין העונש שנגזר עליו לבין העונש שהושת על יתר הנאשמים – יש לדחות מכל וכל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הנסיבות שאינן קשורות בביצוע העבירות לא מצדיקות אף הן הקלה כלשהי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נטל אחריות חלקית בלבד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המצמצם את חומרת המעשים ומשליך את האחריות להם על גורמים חיצוניים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נכתב כי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מנתק את עצמו רגשית מעוצמת הפגיעה ותוצאותיה הטרגיות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מחובר בעיקר למחירים הכבדים אותם שילם בעצמו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ברור כי גם אם התסקירים מצביעים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ניצנים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ראשוניים של סיכויי שיקום – אין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ביתר 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הקלה בעונש מעבר לזו שגולמה בכך שעונשו מוקם מתחת למחציתו של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בעבר מספר פעמים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בביצוען של עבירות אלימות ושלוש עבירות הצתה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ההליכים הקודמים שהתנהלו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העונשים שנגזרו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שינו כהוא זה את דרכו הקלוקלת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לרכיב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לא תתערב בשק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הערכאה הדיונית בקביעת הפיצוי לטובת 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 במקרים יוצאי דופן בהם ניכרת חריגה קיצונית משיעור הפיצוי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מאחר שתכלית החיוב בפיצוי לפי </w:t>
      </w:r>
      <w:hyperlink r:id="rId27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77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היא הענקת מזור ארעי דחוף לנפגע העבירה ולמשפחתו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ולנוכח הנזקים שנגרמו למשפחת המנוח כתוצאה ממעשי המערער – לא נמצא להתערב בפיצוי שהושת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יודגש כי הפגיעה במשפחת המנוח היא כפולה – עניינה הן בנזק שבאובדן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ההשלכות המגולמות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בפגיעה שנגרמה לבני המשפחה כתוצאה מעצם שהותם במקום השריפה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 באלה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המסקנה המתבקשת היא כי אין מקום להפחתת הפיצוי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pacing w:val="0"/>
          <w:sz w:val="24"/>
          <w:szCs w:val="26"/>
        </w:rPr>
      </w:pPr>
      <w:r>
        <w:rPr>
          <w:rFonts w:cs="David" w:ascii="David" w:hAnsi="David"/>
          <w:spacing w:val="0"/>
          <w:sz w:val="24"/>
          <w:szCs w:val="26"/>
          <w:rtl w:val="true"/>
        </w:rPr>
      </w:r>
      <w:bookmarkStart w:id="9" w:name="_Hlk174950399"/>
      <w:bookmarkStart w:id="10" w:name="ABSTRACT_END"/>
      <w:bookmarkStart w:id="11" w:name="_Hlk174950399"/>
      <w:bookmarkStart w:id="12" w:name="ABSTRACT_END"/>
      <w:bookmarkEnd w:id="11"/>
      <w:bookmarkEnd w:id="12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  <w:lang w:val="en-US" w:eastAsia="en-US"/>
              </w:rPr>
            </w:pPr>
            <w:bookmarkStart w:id="13" w:name="PsakDin"/>
            <w:bookmarkEnd w:id="13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bookmarkStart w:id="14" w:name="NGCSBookmark"/>
      <w:bookmarkEnd w:id="14"/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וסף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  <w:u w:val="single"/>
        </w:rPr>
      </w:pP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מוחמד ג</w:t>
      </w:r>
      <w:r>
        <w:rPr>
          <w:rtl w:val="true"/>
        </w:rPr>
        <w:t>'</w:t>
      </w:r>
      <w:r>
        <w:rPr>
          <w:rtl w:val="true"/>
        </w:rPr>
        <w:t>עברי</w:t>
      </w:r>
      <w:r>
        <w:rPr>
          <w:rtl w:val="true"/>
        </w:rPr>
        <w:t xml:space="preserve">, </w:t>
      </w:r>
      <w:r>
        <w:rPr>
          <w:rtl w:val="true"/>
        </w:rPr>
        <w:t>הורשע בהמתתו בקלות דעת של רונן עוז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בעבירת הצתה ובחבלה חמורה בנסיבות מחמירות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בגין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נגזר עליו עונש של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לצד ענישה נלווית על ידי בית המשפט המחוזי בירושלים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רנר</w:t>
      </w:r>
      <w:r>
        <w:rPr>
          <w:rFonts w:ascii="Century" w:hAnsi="Century" w:cs="Century"/>
          <w:sz w:val="22"/>
          <w:sz w:val="22"/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קלמנוביץ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21473-08-18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נבו</w:t>
      </w:r>
      <w:r>
        <w:rPr>
          <w:rFonts w:cs="Century" w:ascii="Century" w:hAnsi="Century"/>
          <w:sz w:val="22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19.10.2022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הערעור שלפנינו מופנה לעניין העונש בלבד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 האישום עבדו יחדיו בבית מלון בירושלים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פוטר מעבודתו עקב סכסוך שהתגלע בינו לבין בעלת המלון ונאשמת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פוטרה גם היא בשלב מסוים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26.7.2018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ונאשמת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ולהציתו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סווטשרט</w:t>
      </w:r>
      <w:r>
        <w:rPr>
          <w:rtl w:val="true"/>
        </w:rPr>
        <w:t xml:space="preserve">" </w:t>
      </w:r>
      <w:r>
        <w:rPr>
          <w:rtl w:val="true"/>
        </w:rPr>
        <w:t>ומכנסיים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תוסתר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1:35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אורחים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טואלט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ומגבות</w:t>
      </w:r>
      <w:r>
        <w:rPr>
          <w:rtl w:val="true"/>
        </w:rPr>
        <w:t xml:space="preserve">, </w:t>
      </w:r>
      <w:r>
        <w:rPr>
          <w:rtl w:val="true"/>
        </w:rPr>
        <w:t>והצמידה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הטואלט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, </w:t>
      </w:r>
      <w:r>
        <w:rPr>
          <w:rtl w:val="true"/>
        </w:rPr>
        <w:t>וביודעו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התלקחה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, </w:t>
      </w:r>
      <w:r>
        <w:rPr>
          <w:rtl w:val="true"/>
        </w:rPr>
        <w:t>והשליך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הסווטשרט</w:t>
      </w:r>
      <w:r>
        <w:rPr>
          <w:rtl w:val="true"/>
        </w:rPr>
        <w:t xml:space="preserve">, </w:t>
      </w:r>
      <w:r>
        <w:rPr>
          <w:rtl w:val="true"/>
        </w:rPr>
        <w:t>המכנסיים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והמצתים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הוצת</w:t>
      </w:r>
      <w:r>
        <w:rPr>
          <w:rtl w:val="true"/>
        </w:rPr>
        <w:t xml:space="preserve">,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בשטיחי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החדרים</w:t>
      </w:r>
      <w:r>
        <w:rPr>
          <w:rtl w:val="true"/>
        </w:rPr>
        <w:t xml:space="preserve">. </w:t>
      </w:r>
      <w:r>
        <w:rPr>
          <w:rtl w:val="true"/>
        </w:rPr>
        <w:t>האורחים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מהשריפה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ילדיהם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לוחמי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לחלצו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/>
        <w:t>65%</w:t>
      </w:r>
      <w:r>
        <w:rPr>
          <w:rtl w:val="true"/>
        </w:rPr>
        <w:t xml:space="preserve"> </w:t>
      </w:r>
      <w:r>
        <w:rPr>
          <w:rtl w:val="true"/>
        </w:rPr>
        <w:t>משטח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ומונשם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14.10.2018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רעיית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בגפיים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והתחתונות</w:t>
      </w:r>
      <w:r>
        <w:rPr>
          <w:rtl w:val="true"/>
        </w:rPr>
        <w:t xml:space="preserve">;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;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מאושפזים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tl w:val="true"/>
        </w:rPr>
        <w:t xml:space="preserve">. </w:t>
      </w:r>
      <w:r>
        <w:rPr>
          <w:rtl w:val="true"/>
        </w:rPr>
        <w:t>ארון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בגין מעשיו</w:t>
      </w:r>
      <w:r>
        <w:rPr>
          <w:rtl w:val="true"/>
        </w:rPr>
        <w:t xml:space="preserve">, </w:t>
      </w:r>
      <w:r>
        <w:rPr>
          <w:rtl w:val="true"/>
        </w:rPr>
        <w:t xml:space="preserve">יוחסו למערער בתחילה בכתב האישום המתוקן עבירות של רצח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הצתה לפי </w:t>
      </w:r>
      <w:hyperlink r:id="rId3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448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סיפה 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וחבלה בכוונה מחמירה לפי </w:t>
      </w:r>
      <w:hyperlink r:id="rId3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329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)(</w:t>
        </w:r>
        <w:r>
          <w:rPr>
            <w:rStyle w:val="Hyperlink"/>
            <w:rFonts w:cs="Century" w:ascii="Century" w:hAnsi="Century"/>
            <w:sz w:val="22"/>
          </w:rPr>
          <w:t>1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הסוגיה העיקרית שעמדה לפתחו של בית המשפט המחוזי בהכרעת הדין הייתה היסוד הנפשי של המערער בעת ביצוע עבירת ההמתה</w:t>
      </w:r>
      <w:r>
        <w:rPr>
          <w:rtl w:val="true"/>
        </w:rPr>
        <w:t xml:space="preserve">. </w:t>
      </w:r>
      <w:r>
        <w:rPr>
          <w:rtl w:val="true"/>
        </w:rPr>
        <w:t>בתום ניהול הליך הוכחות</w:t>
      </w:r>
      <w:r>
        <w:rPr>
          <w:rtl w:val="true"/>
        </w:rPr>
        <w:t xml:space="preserve">, </w:t>
      </w:r>
      <w:r>
        <w:rPr>
          <w:rtl w:val="true"/>
        </w:rPr>
        <w:t>נקבע כי העבירה בוצעה מתוך יחס חפצי של קלות דעת ולא של אדישות</w:t>
      </w:r>
      <w:r>
        <w:rPr>
          <w:rtl w:val="true"/>
        </w:rPr>
        <w:t xml:space="preserve">, </w:t>
      </w:r>
      <w:r>
        <w:rPr>
          <w:rtl w:val="true"/>
        </w:rPr>
        <w:t xml:space="preserve">ומשכך המערער הורשע בביצוע עבירה של המתה בקלות דעת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ולא בעבירת רצח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בעבירה של חבלה חמורה בנסיבות מחמירות לפי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חלף עבירה של חבלה בכוונה מחמירה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הסכמת המדינה כי לא הוכח שהתקיימה כוונה מיוחדת להסב מום או נכות למי מבאי המלון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הורשע בביצוע עבירת ההצתה כפי שזו יוחסה לו בכתב האישום המתוקן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עמד בגזר הדין על כך שמעשיו של המערער פגעו בערכים המוגנים פגיעה </w:t>
      </w:r>
      <w:r>
        <w:rPr>
          <w:rtl w:val="true"/>
        </w:rPr>
        <w:t>"</w:t>
      </w:r>
      <w:r>
        <w:rPr>
          <w:rtl w:val="true"/>
        </w:rPr>
        <w:t>קשה וחמורה ביותר</w:t>
      </w:r>
      <w:r>
        <w:rPr>
          <w:rtl w:val="true"/>
        </w:rPr>
        <w:t xml:space="preserve">", </w:t>
      </w:r>
      <w:r>
        <w:rPr>
          <w:rtl w:val="true"/>
        </w:rPr>
        <w:t>וזאת לנוכח התממשות הסכנה לתוצאה קטלנית המגולמת בהצתה</w:t>
      </w:r>
      <w:r>
        <w:rPr>
          <w:rtl w:val="true"/>
        </w:rPr>
        <w:t xml:space="preserve">. </w:t>
      </w:r>
      <w:r>
        <w:rPr>
          <w:rtl w:val="true"/>
        </w:rPr>
        <w:t>עוד צוינו הנזקים הקשים שנגרמו כפועל יוצא מהעבירות הן לגוף</w:t>
      </w:r>
      <w:r>
        <w:rPr>
          <w:rtl w:val="true"/>
        </w:rPr>
        <w:t xml:space="preserve">, </w:t>
      </w:r>
      <w:r>
        <w:rPr>
          <w:rtl w:val="true"/>
        </w:rPr>
        <w:t>הן לרכוש</w:t>
      </w:r>
      <w:r>
        <w:rPr>
          <w:rtl w:val="true"/>
        </w:rPr>
        <w:t xml:space="preserve">, </w:t>
      </w:r>
      <w:r>
        <w:rPr>
          <w:rtl w:val="true"/>
        </w:rPr>
        <w:t>וחשוב מהם – לחיי אדם</w:t>
      </w:r>
      <w:r>
        <w:rPr>
          <w:rtl w:val="true"/>
        </w:rPr>
        <w:t xml:space="preserve">. </w:t>
      </w:r>
      <w:r>
        <w:rPr>
          <w:rtl w:val="true"/>
        </w:rPr>
        <w:t>בהקשר זה התייחס בית המשפט המחוזי לתצהיר נפגעי העבירה שהוגש בעניינם של בני משפחת המנוח</w:t>
      </w:r>
      <w:r>
        <w:rPr>
          <w:rtl w:val="true"/>
        </w:rPr>
        <w:t xml:space="preserve">, </w:t>
      </w:r>
      <w:r>
        <w:rPr>
          <w:rtl w:val="true"/>
        </w:rPr>
        <w:t>ובו מתוארות ההשלכות הקשות של מעשי המערער על המשך חייהם</w:t>
      </w:r>
      <w:r>
        <w:rPr>
          <w:rtl w:val="true"/>
        </w:rPr>
        <w:t xml:space="preserve">. </w:t>
      </w:r>
      <w:r>
        <w:rPr>
          <w:rtl w:val="true"/>
        </w:rPr>
        <w:t>לאחר שניתנה התייחסות למדיניות הענישה הנוהגת ובייחוד להחמרה בשנים האחרונות ביחס לעבירת ההצתה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בעניינו של המערער הוא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 לצד מאסר מותנה משמעותי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התייחס לכך שהמערער הודה בפני שירות המבחן בביצוע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אך הדגיש כי לצד זאת הביע עמדה </w:t>
      </w:r>
      <w:r>
        <w:rPr>
          <w:rtl w:val="true"/>
        </w:rPr>
        <w:t>"</w:t>
      </w:r>
      <w:r>
        <w:rPr>
          <w:rtl w:val="true"/>
        </w:rPr>
        <w:t>מצמצמת</w:t>
      </w:r>
      <w:r>
        <w:rPr>
          <w:rtl w:val="true"/>
        </w:rPr>
        <w:t xml:space="preserve">" </w:t>
      </w:r>
      <w:r>
        <w:rPr>
          <w:rtl w:val="true"/>
        </w:rPr>
        <w:t>והתקשה להכיר בחומרת מעשיו</w:t>
      </w:r>
      <w:r>
        <w:rPr>
          <w:rtl w:val="true"/>
        </w:rPr>
        <w:t xml:space="preserve">. </w:t>
      </w:r>
      <w:r>
        <w:rPr>
          <w:rtl w:val="true"/>
        </w:rPr>
        <w:t>עוד צוין כי למערער עבר פלילי הכולל עבירות אלימות ואף שלוש עבירות הצתה שבגינן נדון למאסרים בפועל ולמאסרים מותנים שלא היה בהם כדי להרתיעו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בראי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המערער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תוך הפעלה בחופף של מאסר מותנה בן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שהוטל עליו בתיק אחר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מותנה לבל יעבור עבירה מסוג פשע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פיצוי בסך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ליורשי המנוח שיועברו לידי רעייתו</w:t>
      </w:r>
      <w:r>
        <w:rPr>
          <w:rtl w:val="true"/>
        </w:rPr>
        <w:t xml:space="preserve">; </w:t>
      </w:r>
      <w:r>
        <w:rPr>
          <w:rtl w:val="true"/>
        </w:rPr>
        <w:t xml:space="preserve">ופיצוי בסך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לרעיית המנוח ולשני ילדיו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נגזר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לצד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הרשעתה בעבירות של גרם מוות ברשלנות 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סיוע להצתה לפי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 ו</w:t>
      </w:r>
      <w:r>
        <w:rPr>
          <w:rtl w:val="true"/>
        </w:rPr>
        <w:t>-</w:t>
      </w:r>
      <w:hyperlink r:id="rId39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ושהייה בלתי חוקית בישראל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נגזר עונש מאסר בפועל של שנתיים</w:t>
      </w:r>
      <w:r>
        <w:rPr>
          <w:rtl w:val="true"/>
        </w:rPr>
        <w:t xml:space="preserve">, </w:t>
      </w:r>
      <w:r>
        <w:rPr>
          <w:rtl w:val="true"/>
        </w:rPr>
        <w:t xml:space="preserve">לצד מאסר מותנה ותשלום פיצוי בסך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לאחר שהורשע על פי הודאתו בעבירה של סיוע להצתה לפי </w:t>
      </w:r>
      <w:hyperlink r:id="rId4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סיפה ו</w:t>
      </w:r>
      <w:r>
        <w:rPr>
          <w:rtl w:val="true"/>
        </w:rPr>
        <w:t>-</w:t>
      </w:r>
      <w:hyperlink r:id="rId43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 בנימוקי הערעור ובדיון לפנינו</w:t>
      </w:r>
      <w:r>
        <w:rPr>
          <w:rtl w:val="true"/>
        </w:rPr>
        <w:t xml:space="preserve">, </w:t>
      </w:r>
      <w:r>
        <w:rPr>
          <w:rtl w:val="true"/>
        </w:rPr>
        <w:t>גזר דינו של בית המשפט המחוזי מחמיר עמו יתר על המידה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נטען כי העונש שנגזר על המערער אינו עולה בקנה אחד עם ביטולה של עבירת ההריגה במסגרת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המרתה</w:t>
      </w:r>
      <w:r>
        <w:rPr>
          <w:rtl w:val="true"/>
        </w:rPr>
        <w:t xml:space="preserve">", </w:t>
      </w:r>
      <w:r>
        <w:rPr>
          <w:rtl w:val="true"/>
        </w:rPr>
        <w:t>כלשון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בעבירת ההמתה בקלות דעת</w:t>
      </w:r>
      <w:r>
        <w:rPr>
          <w:rtl w:val="true"/>
        </w:rPr>
        <w:t xml:space="preserve">; </w:t>
      </w:r>
      <w:r>
        <w:rPr>
          <w:rtl w:val="true"/>
        </w:rPr>
        <w:t xml:space="preserve">וכי עונש המקסימום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שקבוע בצידה שמור למקרים חמורים מהמקרה דנן שבהם העבירה כללה שימוש ישיר באלימות קשה כלפי הקורבן</w:t>
      </w:r>
      <w:r>
        <w:rPr>
          <w:rtl w:val="true"/>
        </w:rPr>
        <w:t xml:space="preserve">. </w:t>
      </w:r>
      <w:r>
        <w:rPr>
          <w:rtl w:val="true"/>
        </w:rPr>
        <w:t>עוד נטען כי העונש סוטה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במיוחד בשים לב לעונש שנגזר ב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29.6.2020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שנסיבותיו דומות </w:t>
      </w:r>
      <w:r>
        <w:rPr>
          <w:rtl w:val="true"/>
        </w:rPr>
        <w:t>"</w:t>
      </w:r>
      <w:r>
        <w:rPr>
          <w:rtl w:val="true"/>
        </w:rPr>
        <w:t>דמיון רב</w:t>
      </w:r>
      <w:r>
        <w:rPr>
          <w:rtl w:val="true"/>
        </w:rPr>
        <w:t xml:space="preserve">" </w:t>
      </w:r>
      <w:r>
        <w:rPr>
          <w:rtl w:val="true"/>
        </w:rPr>
        <w:t>לנסיבות ענייננו</w:t>
      </w:r>
      <w:r>
        <w:rPr>
          <w:rtl w:val="true"/>
        </w:rPr>
        <w:t xml:space="preserve">, </w:t>
      </w:r>
      <w:r>
        <w:rPr>
          <w:rtl w:val="true"/>
        </w:rPr>
        <w:t>כך לפי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. </w:t>
      </w:r>
      <w:r>
        <w:rPr>
          <w:rtl w:val="true"/>
        </w:rPr>
        <w:t>הלה הוסיף וטען כי גזר הדין מחמיר אף בהשוואה ליתר הנאשמים המעורבים בפרשה</w:t>
      </w:r>
      <w:r>
        <w:rPr>
          <w:rtl w:val="true"/>
        </w:rPr>
        <w:t xml:space="preserve">, </w:t>
      </w:r>
      <w:r>
        <w:rPr>
          <w:rtl w:val="true"/>
        </w:rPr>
        <w:t xml:space="preserve">ובפרט נטען לקיומו של פער בלתי מוצדק בין עונשו לבין העונש שנגזר על נאשמת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עוד טען כי לא ניתן משקל מספק לנסיבות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ובהן היעדר תכנון מוקדם והשפעת האלכוהול שצרך עובר לביצוע העבירות</w:t>
      </w:r>
      <w:r>
        <w:rPr>
          <w:rtl w:val="true"/>
        </w:rPr>
        <w:t xml:space="preserve">; </w:t>
      </w:r>
      <w:r>
        <w:rPr>
          <w:rtl w:val="true"/>
        </w:rPr>
        <w:t>וכי בית המשפט המחוזי אף לא שקלל כראוי את הנסיבות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וביניהן נסיבותיו האישיות</w:t>
      </w:r>
      <w:r>
        <w:rPr>
          <w:rtl w:val="true"/>
        </w:rPr>
        <w:t xml:space="preserve">, </w:t>
      </w:r>
      <w:r>
        <w:rPr>
          <w:rtl w:val="true"/>
        </w:rPr>
        <w:t>נטילת האחריות מצדו ושיקולי שיקום שמצדיקים לשיטתו אף סטייה לקולה ממתחם העונש ההולם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השיג על רכיב הפיצוי שהוטל עליו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סכום הפיצוי חורג מהמקובל בפסיקה במקרים דומים</w:t>
      </w:r>
      <w:r>
        <w:rPr>
          <w:rtl w:val="true"/>
        </w:rPr>
        <w:t xml:space="preserve">, </w:t>
      </w:r>
      <w:r>
        <w:rPr>
          <w:rtl w:val="true"/>
        </w:rPr>
        <w:t>וכי המערער הופלה לרעה ביחס לרכיב הפיצוי שהושת על יתר הנאשמים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המדינה סמכה את ידיה על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תוך שהפנתה לאמור בתסקיר נפגעי העבירה בדבר הנזק שנגרם למשפחת המנוח כתוצאה ממעשיו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כן נטען כי יש להבחין בין נסיבות המקרה דנן לבין הנסיבות שנדונו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, </w:t>
      </w:r>
      <w:r>
        <w:rPr>
          <w:rtl w:val="true"/>
        </w:rPr>
        <w:t>כך שבניגוד לטענת בא</w:t>
      </w:r>
      <w:r>
        <w:rPr>
          <w:rtl w:val="true"/>
        </w:rPr>
        <w:t>-</w:t>
      </w:r>
      <w:r>
        <w:rPr>
          <w:rtl w:val="true"/>
        </w:rPr>
        <w:t>כוח המערער אין מקום להקיש משם לענייננו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המדינה הצביעה על הפערים שבין חלקו של המערער בביצוע העבירות לבין חלקם של יתר הנאשמים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המצדיקים לעמדתה את פערי הענישה ביניהם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משפחת המנוח ונפגעי העבירה בהתייחסה לבקשת בא</w:t>
      </w:r>
      <w:r>
        <w:rPr>
          <w:rtl w:val="true"/>
        </w:rPr>
        <w:t>-</w:t>
      </w:r>
      <w:r>
        <w:rPr>
          <w:rtl w:val="true"/>
        </w:rPr>
        <w:t>כוח המערער להפחית מגובה הפיצוי</w:t>
      </w:r>
      <w:r>
        <w:rPr>
          <w:rtl w:val="true"/>
        </w:rPr>
        <w:t xml:space="preserve">, </w:t>
      </w:r>
      <w:r>
        <w:rPr>
          <w:rtl w:val="true"/>
        </w:rPr>
        <w:t>הדגישה את הפגיעה הקשה בנפגעי העבירה</w:t>
      </w:r>
      <w:r>
        <w:rPr>
          <w:rtl w:val="true"/>
        </w:rPr>
        <w:t xml:space="preserve">, </w:t>
      </w:r>
      <w:r>
        <w:rPr>
          <w:rtl w:val="true"/>
        </w:rPr>
        <w:t>השלכותיה של פגיעה זו</w:t>
      </w:r>
      <w:r>
        <w:rPr>
          <w:rtl w:val="true"/>
        </w:rPr>
        <w:t xml:space="preserve">, </w:t>
      </w:r>
      <w:r>
        <w:rPr>
          <w:rtl w:val="true"/>
        </w:rPr>
        <w:t>ואת סבלם הרב כתוצאה מההצתה שבגינה אף אושפזו לפרק זמן בלתי מבוטל</w:t>
      </w:r>
      <w:r>
        <w:rPr>
          <w:rtl w:val="true"/>
        </w:rPr>
        <w:t xml:space="preserve">. </w:t>
      </w:r>
      <w:r>
        <w:rPr>
          <w:rtl w:val="true"/>
        </w:rPr>
        <w:t>על כך היא הוסיפה את אובדנו של אבי המשפחה וההשלכות על המשפחה בכללותה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 המדינה הצטרפה לדברים אלה והדגישה כי אין להתערב בגובה הפיצוי הכספי</w:t>
      </w:r>
      <w:r>
        <w:rPr>
          <w:rtl w:val="true"/>
        </w:rPr>
        <w:t xml:space="preserve">, </w:t>
      </w:r>
      <w:r>
        <w:rPr>
          <w:rtl w:val="true"/>
        </w:rPr>
        <w:t xml:space="preserve">תוך שציינה כי העובדה שעל נאשמת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הוטל תשלום פיצוי אינה מצדיקה את הפחתת הפיצוי שהושת על המערער בשים לב לחלקו בביצוע העבירות שבהן הוא הורשע לעומתה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דין 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ובטרם אתייחס לנסיבות עניינו של המערער</w:t>
      </w:r>
      <w:r>
        <w:rPr>
          <w:rtl w:val="true"/>
        </w:rPr>
        <w:t xml:space="preserve">, </w:t>
      </w:r>
      <w:r>
        <w:rPr>
          <w:rtl w:val="true"/>
        </w:rPr>
        <w:t>אבקש להתייחס למדיניות הענישה בעבירת ההמתה בקלות דעת במישור העקרוני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טענת בא</w:t>
      </w:r>
      <w:r>
        <w:rPr>
          <w:rtl w:val="true"/>
        </w:rPr>
        <w:t>-</w:t>
      </w:r>
      <w:r>
        <w:rPr>
          <w:rtl w:val="true"/>
        </w:rPr>
        <w:t>כוח המערער בדבר היחס שבין 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לבין עבירת ההריגה שנהגה עובר לאימוצו של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2779</w:t>
      </w:r>
      <w:r>
        <w:rPr>
          <w:rtl w:val="true"/>
        </w:rPr>
        <w:t xml:space="preserve">, </w:t>
      </w:r>
      <w:r>
        <w:rPr/>
        <w:t>230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הרפורמה בעבירות ההמתה יצרה מדרג חדש של עבירות המתה על יסוד עיקרון האשמה ומתוך הכרה בחשיבות ערך קדושת החיים </w:t>
      </w:r>
      <w:r>
        <w:rPr>
          <w:rtl w:val="true"/>
        </w:rPr>
        <w:t>(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21.8.2022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אחד הטעמים המרכזיים שניצבו בבסיס אימוצה של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היה היקף השתרעותה הרחב מידי של עבירת ההריגה שעוגנה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בגדרה של עבירת ההריגה</w:t>
      </w:r>
      <w:r>
        <w:rPr>
          <w:rtl w:val="true"/>
        </w:rPr>
        <w:t xml:space="preserve">, </w:t>
      </w:r>
      <w:r>
        <w:rPr>
          <w:rtl w:val="true"/>
        </w:rPr>
        <w:t>באו מגוון רחב של מקרים השונים מהותית האחד ממשנהו ברמת חומרתם</w:t>
      </w:r>
      <w:r>
        <w:rPr>
          <w:rtl w:val="true"/>
        </w:rPr>
        <w:t xml:space="preserve">, </w:t>
      </w:r>
      <w:r>
        <w:rPr>
          <w:rtl w:val="true"/>
        </w:rPr>
        <w:t xml:space="preserve">כמו גם במידת אשמו של מבצע העבירה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כפי שצוין בדברי ההסבר לרפורמה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לתייגם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ומנוסחת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26.3.2024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יאסין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177</w:t>
      </w:r>
      <w:r>
        <w:rPr>
          <w:rtl w:val="true"/>
        </w:rPr>
        <w:t xml:space="preserve">; 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ישיבה</w:t>
      </w:r>
      <w:r>
        <w:rPr>
          <w:rFonts w:eastAsia="Arial TUR;Arial" w:cs="Arial TUR;Arial"/>
          <w:rtl w:val="true"/>
        </w:rPr>
        <w:t xml:space="preserve"> </w:t>
      </w:r>
      <w:r>
        <w:rPr/>
        <w:t>703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ומשפט</w:t>
      </w:r>
      <w:r>
        <w:rPr>
          <w:rtl w:val="true"/>
        </w:rPr>
        <w:t xml:space="preserve">, </w:t>
      </w:r>
      <w:r>
        <w:rPr>
          <w:rtl w:val="true"/>
        </w:rPr>
        <w:t>הכנסת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(</w:t>
      </w:r>
      <w:r>
        <w:rPr/>
        <w:t>13.11.2018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703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דוח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(</w:t>
      </w:r>
      <w:r>
        <w:rPr/>
        <w:t>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פיצולה של 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שהעונש שהיה קבוע בצידה הוא עונש 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גרר מאליו את הצורך בהתאמת העונשים שנקבעו בצד העבירות החדשות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בגין עבירת הרצח בנסיבות מחמירות נקבע עונש של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 xml:space="preserve">ובגין עבירת הרצח הבסיסית נקבע 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מרבי</w:t>
      </w:r>
      <w:r>
        <w:rPr>
          <w:rtl w:val="true"/>
        </w:rPr>
        <w:t xml:space="preserve"> של מאסר עולם</w:t>
      </w:r>
      <w:r>
        <w:rPr>
          <w:rtl w:val="true"/>
        </w:rPr>
        <w:t xml:space="preserve">. </w:t>
      </w:r>
      <w:r>
        <w:rPr>
          <w:rtl w:val="true"/>
        </w:rPr>
        <w:t>אשר לעבירת ההמתה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העונש שהוצע במסגרת דוח הצוות היה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), </w:t>
      </w:r>
      <w:r>
        <w:rPr>
          <w:rtl w:val="true"/>
        </w:rPr>
        <w:t xml:space="preserve">אך המחוקק קבע לבסוף כי זה יעמוד על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וזאת לאחר שנשמעו גם דעות הקוראות להעמידו 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703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בהתאם למטרתה של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היינו יצירת מדרג חדש של עבירות המתה הנסמך על עיקרון האשמה ועל חשיבות ערך קדושת החיים – הובהר כי פיצולה של עבירת ההריגה נועד לשקף את החומרה שרואה המחוקק בעבירות המתה המבוצעות ביסוד חפצי של אדישות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בפסקאות </w:t>
      </w:r>
      <w:r>
        <w:rPr>
          <w:rFonts w:cs="Century" w:ascii="Century" w:hAnsi="Century"/>
          <w:sz w:val="22"/>
        </w:rPr>
        <w:t>41-36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169</w:t>
      </w:r>
      <w:r>
        <w:rPr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 xml:space="preserve"> לבטא הקלה כלשהי ביחס לעבירות המתה המבוצעות ביסוד חפצי של קלות דעת</w:t>
      </w:r>
      <w:r>
        <w:rPr>
          <w:rtl w:val="true"/>
        </w:rPr>
        <w:t xml:space="preserve">. </w:t>
      </w:r>
      <w:r>
        <w:rPr>
          <w:rtl w:val="true"/>
        </w:rPr>
        <w:t xml:space="preserve">הדבר עלה אף 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תתרחש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נוהגים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דרכים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כגון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הקרבן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177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 כי הרפורמה מגלמת הקלה עם הממיתים בקלות דעת</w:t>
      </w:r>
      <w:r>
        <w:rPr>
          <w:rtl w:val="true"/>
        </w:rPr>
        <w:t xml:space="preserve">, </w:t>
      </w:r>
      <w:r>
        <w:rPr>
          <w:rtl w:val="true"/>
        </w:rPr>
        <w:t>אין יסוד להיסמך עליו</w:t>
      </w:r>
      <w:r>
        <w:rPr>
          <w:rtl w:val="true"/>
        </w:rPr>
        <w:t xml:space="preserve">. </w:t>
      </w:r>
      <w:r>
        <w:rPr>
          <w:rtl w:val="true"/>
        </w:rPr>
        <w:t>הלכה למעשה</w:t>
      </w:r>
      <w:r>
        <w:rPr>
          <w:rtl w:val="true"/>
        </w:rPr>
        <w:t xml:space="preserve">, </w:t>
      </w:r>
      <w:r>
        <w:rPr>
          <w:rtl w:val="true"/>
        </w:rPr>
        <w:t>לא רק שהעונש שהיה קבוע בצד עבירת ההריגה לא הופחת</w:t>
      </w:r>
      <w:r>
        <w:rPr>
          <w:rtl w:val="true"/>
        </w:rPr>
        <w:t xml:space="preserve">, </w:t>
      </w:r>
      <w:r>
        <w:rPr>
          <w:rtl w:val="true"/>
        </w:rPr>
        <w:t>הוא אף הוחמר ביחס לעבירות המבוצעות באדישות</w:t>
      </w:r>
      <w:r>
        <w:rPr>
          <w:rtl w:val="true"/>
        </w:rPr>
        <w:t xml:space="preserve">. </w:t>
      </w:r>
      <w:r>
        <w:rPr>
          <w:rtl w:val="true"/>
        </w:rPr>
        <w:t xml:space="preserve">העונש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נועד להתאים את הדין לכך שמקרי ההמתה באדישות ומקרי ההמתה בקלות דעת אינם דרים עוד בכפיפה אחת תחת אותו סעיף חוק – הא ותו לא</w:t>
      </w:r>
      <w:r>
        <w:rPr>
          <w:rtl w:val="true"/>
        </w:rPr>
        <w:t xml:space="preserve">. </w:t>
      </w:r>
      <w:r>
        <w:rPr>
          <w:rtl w:val="true"/>
        </w:rPr>
        <w:t xml:space="preserve">מדיניות הענישה ביחס להמתה המבוצעת בקלות דעת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tl w:val="true"/>
        </w:rPr>
        <w:t xml:space="preserve"> השתנתה אפוא</w:t>
      </w:r>
      <w:r>
        <w:rPr>
          <w:rtl w:val="true"/>
        </w:rPr>
        <w:t xml:space="preserve">. </w:t>
      </w:r>
      <w:r>
        <w:rPr>
          <w:rtl w:val="true"/>
        </w:rPr>
        <w:t xml:space="preserve">כך נקבע בפסיקה ביחס לעבירות בנסיבות של תאונות דרכים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אלגרגאוי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10.10.2021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21.4.2021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19.1.2021</w:t>
      </w:r>
      <w:r>
        <w:rPr>
          <w:rtl w:val="true"/>
        </w:rPr>
        <w:t xml:space="preserve">)); </w:t>
      </w:r>
      <w:r>
        <w:rPr>
          <w:rtl w:val="true"/>
        </w:rPr>
        <w:t xml:space="preserve">וכך נקבע ביחס </w:t>
      </w:r>
      <w:r>
        <w:rPr>
          <w:rtl w:val="true"/>
        </w:rPr>
        <w:t>"</w:t>
      </w:r>
      <w:r>
        <w:rPr>
          <w:rtl w:val="true"/>
        </w:rPr>
        <w:t>למקרים חמורים של המתה בקלות דעת</w:t>
      </w:r>
      <w:r>
        <w:rPr>
          <w:rtl w:val="true"/>
        </w:rPr>
        <w:t xml:space="preserve">" </w:t>
      </w:r>
      <w:r>
        <w:rPr>
          <w:rtl w:val="true"/>
        </w:rPr>
        <w:t xml:space="preserve">כלשון דברי ההסבר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בורובסקי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25.8.2021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בורובסקי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6404/20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עבאסי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5.4.2021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אחרי שנוכחנו לדעת כי דין טענת בא</w:t>
      </w:r>
      <w:r>
        <w:rPr>
          <w:rtl w:val="true"/>
        </w:rPr>
        <w:t>-</w:t>
      </w:r>
      <w:r>
        <w:rPr>
          <w:rtl w:val="true"/>
        </w:rPr>
        <w:t>כוח המערער ברובד העקרוני להידחות</w:t>
      </w:r>
      <w:r>
        <w:rPr>
          <w:rtl w:val="true"/>
        </w:rPr>
        <w:t xml:space="preserve">, </w:t>
      </w:r>
      <w:r>
        <w:rPr>
          <w:rtl w:val="true"/>
        </w:rPr>
        <w:t>יש להידרש לבחינת נסיבותיו הקונקרטיות של המקרה דנן – תחילה בעניין רכיב המאסר בפועל שנגזר עליו</w:t>
      </w:r>
      <w:r>
        <w:rPr>
          <w:rtl w:val="true"/>
        </w:rPr>
        <w:t xml:space="preserve">, </w:t>
      </w:r>
      <w:r>
        <w:rPr>
          <w:rtl w:val="true"/>
        </w:rPr>
        <w:t>ולבסוף במישור רכיב הפיצוי שנפסק לטובת נפגעי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נקודת המוצא לבחינת הערעור על חומרת עונש המאסר בפועל</w:t>
      </w:r>
      <w:r>
        <w:rPr>
          <w:rtl w:val="true"/>
        </w:rPr>
        <w:t xml:space="preserve">, </w:t>
      </w:r>
      <w:r>
        <w:rPr>
          <w:rtl w:val="true"/>
        </w:rPr>
        <w:t>מצויה בכלל הידוע לפיו אין זה מדרכה של ערכאת הערעור להתערב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שבהם אירעה חריגה קיצונית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r>
        <w:rPr>
          <w:rtl w:val="true"/>
        </w:rPr>
        <w:t>ראו מיני רבים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2189/23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20.2.2024</w:t>
      </w:r>
      <w:r>
        <w:rPr>
          <w:rtl w:val="true"/>
        </w:rPr>
        <w:t xml:space="preserve">)). </w:t>
      </w:r>
      <w:r>
        <w:rPr>
          <w:rtl w:val="true"/>
        </w:rPr>
        <w:t>המקרה דנן אינו בא בגדרי מקרים חריגים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העבירות שבהן הורשע המערער – קשות וחמורות הן</w:t>
      </w:r>
      <w:r>
        <w:rPr>
          <w:rtl w:val="true"/>
        </w:rPr>
        <w:t xml:space="preserve">. </w:t>
      </w:r>
      <w:r>
        <w:rPr>
          <w:rtl w:val="true"/>
        </w:rPr>
        <w:t xml:space="preserve">על חשיבותו של ערך קדושת החיים עמדתי פעמים רבות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1.6.2022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54-49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11.9.2022</w:t>
      </w:r>
      <w:r>
        <w:rPr>
          <w:rtl w:val="true"/>
        </w:rPr>
        <w:t xml:space="preserve">)). </w:t>
      </w:r>
      <w:r>
        <w:rPr>
          <w:rtl w:val="true"/>
        </w:rPr>
        <w:t>אדגיש כי אף אם הפגיעה בערך זה בוצעה מתוך יסוד נפשי של קלות דעת</w:t>
      </w:r>
      <w:r>
        <w:rPr>
          <w:rtl w:val="true"/>
        </w:rPr>
        <w:t xml:space="preserve">, </w:t>
      </w:r>
      <w:r>
        <w:rPr>
          <w:rtl w:val="true"/>
        </w:rPr>
        <w:t>אין הדבר מלמד כי המעשים אינם חמורים כלשעצמם</w:t>
      </w:r>
      <w:r>
        <w:rPr>
          <w:rtl w:val="true"/>
        </w:rPr>
        <w:t xml:space="preserve">. </w:t>
      </w:r>
      <w:r>
        <w:rPr>
          <w:rtl w:val="true"/>
        </w:rPr>
        <w:t>נטילה מודעת של סיכון בלתי סביר לכך שחיי אדם ייפגעו</w:t>
      </w:r>
      <w:r>
        <w:rPr>
          <w:rtl w:val="true"/>
        </w:rPr>
        <w:t xml:space="preserve">, </w:t>
      </w:r>
      <w:r>
        <w:rPr>
          <w:rtl w:val="true"/>
        </w:rPr>
        <w:t>גם כשהיא מלווה בתקווה שהתוצאה הקטלנית תימנע – מחייבת ענישה מחמירה</w:t>
      </w:r>
      <w:r>
        <w:rPr>
          <w:rtl w:val="true"/>
        </w:rPr>
        <w:t xml:space="preserve">. </w:t>
      </w:r>
      <w:r>
        <w:rPr>
          <w:rtl w:val="true"/>
        </w:rPr>
        <w:t xml:space="preserve">הדברים אמורים ביתר שאת כשלצד עבירה זו המערער הורשע בביצוען של עבירות חמורות שבחמורות – כזו היא עבירת ההצתה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15.5.2022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הולר</w:t>
      </w:r>
      <w:r>
        <w:rPr>
          <w:rtl w:val="true"/>
        </w:rPr>
        <w:t xml:space="preserve">)); </w:t>
      </w:r>
      <w:r>
        <w:rPr>
          <w:rtl w:val="true"/>
        </w:rPr>
        <w:t xml:space="preserve">וכזו היא עבירת חבלה חמורה בנסיבות מחמירות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גולאני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28.11.2021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מהתבוננות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בצידן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8515/23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17.7.2024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4.4.2024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, </w:t>
      </w:r>
      <w:hyperlink r:id="rId66">
        <w:r>
          <w:rPr>
            <w:rStyle w:val="Hyperlink"/>
          </w:rPr>
          <w:t>333</w:t>
        </w:r>
      </w:hyperlink>
      <w:r>
        <w:rPr>
          <w:rtl w:val="true"/>
        </w:rPr>
        <w:t xml:space="preserve">, </w:t>
      </w:r>
      <w:hyperlink r:id="rId6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8"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חומרת העבירות אינה ניצבת בגפה</w:t>
      </w:r>
      <w:r>
        <w:rPr>
          <w:rtl w:val="true"/>
        </w:rPr>
        <w:t xml:space="preserve">. </w:t>
      </w:r>
      <w:r>
        <w:rPr>
          <w:rtl w:val="true"/>
        </w:rPr>
        <w:t>נסיבות ביצוע העבירות בענייננו מלמדות כי הצורך בהטלת ענישה מחמירה חל בעניינו של המערער על אחת כמה וכמה</w:t>
      </w:r>
      <w:r>
        <w:rPr>
          <w:rtl w:val="true"/>
        </w:rPr>
        <w:t xml:space="preserve">; </w:t>
      </w:r>
      <w:r>
        <w:rPr>
          <w:rtl w:val="true"/>
        </w:rPr>
        <w:t xml:space="preserve">וכי בניגוד לטענתו – מדובר במקרה שבהחלט וללא ספק נמנה על המקרים החמורים של המתה בקלות דעת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בורובסקי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בראש ובראשונה יש לעמוד על הנזק הפוטנציאלי הגלום במעשיו של המערער </w:t>
      </w:r>
      <w:r>
        <w:rPr>
          <w:rtl w:val="true"/>
        </w:rPr>
        <w:t>(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ועל הנזק שנגרם בפועל כתוצאה מהם </w:t>
      </w:r>
      <w:r>
        <w:rPr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בית משפט זה ציין וחזר ציין כי ראשיתה של הצתה ידועה</w:t>
      </w:r>
      <w:r>
        <w:rPr>
          <w:rtl w:val="true"/>
        </w:rPr>
        <w:t xml:space="preserve">, </w:t>
      </w:r>
      <w:r>
        <w:rPr>
          <w:rtl w:val="true"/>
        </w:rPr>
        <w:t xml:space="preserve">אך אחריתה מי ישורנה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10</w:t>
      </w:r>
      <w:r>
        <w:rPr>
          <w:rtl w:val="true"/>
        </w:rPr>
        <w:t xml:space="preserve">); </w:t>
      </w:r>
      <w:r>
        <w:rPr>
          <w:rtl w:val="true"/>
        </w:rPr>
        <w:t>או במילים פשוטות – לא ניתן לחזות מראש עד כמה הרסני יהא הנזק שייגרם כתוצאה ממעשה הצתה</w:t>
      </w:r>
      <w:r>
        <w:rPr>
          <w:rtl w:val="true"/>
        </w:rPr>
        <w:t xml:space="preserve">, </w:t>
      </w:r>
      <w:r>
        <w:rPr>
          <w:rtl w:val="true"/>
        </w:rPr>
        <w:t>ואם יפגע רק ברכוש או שמא אף יגבה חיי אדם</w:t>
      </w:r>
      <w:r>
        <w:rPr>
          <w:rtl w:val="true"/>
        </w:rPr>
        <w:t xml:space="preserve">. </w:t>
      </w:r>
      <w:r>
        <w:rPr>
          <w:rtl w:val="true"/>
        </w:rPr>
        <w:t>הדברים מקבלים משנה תוקף משמדובר בהצתת מקום כבית מלון בו לנים אורחים רבים</w:t>
      </w:r>
      <w:r>
        <w:rPr>
          <w:rtl w:val="true"/>
        </w:rPr>
        <w:t xml:space="preserve">. </w:t>
      </w:r>
      <w:r>
        <w:rPr>
          <w:rtl w:val="true"/>
        </w:rPr>
        <w:t xml:space="preserve">הפגיעה האפשרית בחיי אדם במקום מעין זה אינה </w:t>
      </w:r>
      <w:r>
        <w:rPr>
          <w:rtl w:val="true"/>
        </w:rPr>
        <w:t>"</w:t>
      </w:r>
      <w:r>
        <w:rPr>
          <w:rtl w:val="true"/>
        </w:rPr>
        <w:t>תרחיש רחוק</w:t>
      </w:r>
      <w:r>
        <w:rPr>
          <w:rtl w:val="true"/>
        </w:rPr>
        <w:t xml:space="preserve">" </w:t>
      </w:r>
      <w:r>
        <w:rPr>
          <w:rtl w:val="true"/>
        </w:rPr>
        <w:t>וזאת בלשון המעטה</w:t>
      </w:r>
      <w:r>
        <w:rPr>
          <w:rtl w:val="true"/>
        </w:rPr>
        <w:t xml:space="preserve">, </w:t>
      </w:r>
      <w:r>
        <w:rPr>
          <w:rtl w:val="true"/>
        </w:rPr>
        <w:t>כפי שהמקרה הטראגי שלפנינו מלמד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להתממש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אורחים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לחגוג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לקריאה</w:t>
      </w:r>
      <w:r>
        <w:rPr>
          <w:rtl w:val="true"/>
        </w:rPr>
        <w:t xml:space="preserve">.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הייסורים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;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,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והשבעה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מללוותם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tl w:val="true"/>
        </w:rPr>
        <w:t>-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רגע</w:t>
      </w:r>
      <w:r>
        <w:rPr>
          <w:rtl w:val="true"/>
        </w:rPr>
        <w:t>-</w:t>
      </w:r>
      <w:r>
        <w:rPr>
          <w:rtl w:val="true"/>
        </w:rPr>
        <w:t>רגע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בעשייתן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פיטוריו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כנקמה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למזימתו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" </w:t>
      </w:r>
      <w:r>
        <w:rPr>
          <w:rtl w:val="true"/>
        </w:rPr>
        <w:t>שהוציא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הנסיבות שאינן קשורות בביצוע העבירות לא מצדיקות אף הן הקלה כלשהי בעונשו של המערער</w:t>
      </w:r>
      <w:r>
        <w:rPr>
          <w:rtl w:val="true"/>
        </w:rPr>
        <w:t xml:space="preserve">. </w:t>
      </w:r>
      <w:r>
        <w:rPr>
          <w:rtl w:val="true"/>
        </w:rPr>
        <w:t>בייחוד ראוי להזכיר את תסקירי שירות המבחן שהוגשו בעניינו ואת עברו הפלילי</w:t>
      </w:r>
      <w:r>
        <w:rPr>
          <w:rtl w:val="true"/>
        </w:rPr>
        <w:t xml:space="preserve">. </w:t>
      </w:r>
      <w:r>
        <w:rPr>
          <w:rtl w:val="true"/>
        </w:rPr>
        <w:t>אשר לתסקירי שירות המבחן</w:t>
      </w:r>
      <w:r>
        <w:rPr>
          <w:rtl w:val="true"/>
        </w:rPr>
        <w:t xml:space="preserve">, </w:t>
      </w:r>
      <w:r>
        <w:rPr>
          <w:rtl w:val="true"/>
        </w:rPr>
        <w:t>גם כאן לא אפרט את הדברים מפאת שיקולי צנעת הפרט</w:t>
      </w:r>
      <w:r>
        <w:rPr>
          <w:rtl w:val="true"/>
        </w:rPr>
        <w:t xml:space="preserve">. </w:t>
      </w:r>
      <w:r>
        <w:rPr>
          <w:rtl w:val="true"/>
        </w:rPr>
        <w:t>כן יודגש כי בכל הקשור לנטילת אחריות על מעשיו</w:t>
      </w:r>
      <w:r>
        <w:rPr>
          <w:rtl w:val="true"/>
        </w:rPr>
        <w:t xml:space="preserve">, </w:t>
      </w:r>
      <w:r>
        <w:rPr>
          <w:rtl w:val="true"/>
        </w:rPr>
        <w:t>מצוין כי המערער נטל אחריות חלקית בלבד</w:t>
      </w:r>
      <w:r>
        <w:rPr>
          <w:rtl w:val="true"/>
        </w:rPr>
        <w:t xml:space="preserve">, </w:t>
      </w:r>
      <w:r>
        <w:rPr>
          <w:rtl w:val="true"/>
        </w:rPr>
        <w:t>באופן המצמצם את חומרת מעשיו ומשליך את האחריות להם על גורמים חיצוניים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נכתב כי המערער </w:t>
      </w:r>
      <w:r>
        <w:rPr>
          <w:rtl w:val="true"/>
        </w:rPr>
        <w:t>"</w:t>
      </w:r>
      <w:r>
        <w:rPr>
          <w:rtl w:val="true"/>
        </w:rPr>
        <w:t>מנתק את עצמו רגשית מעוצמת הפגיעה ותוצאותיה הטרגיות</w:t>
      </w:r>
      <w:r>
        <w:rPr>
          <w:rtl w:val="true"/>
        </w:rPr>
        <w:t xml:space="preserve">" </w:t>
      </w:r>
      <w:r>
        <w:rPr>
          <w:rtl w:val="true"/>
        </w:rPr>
        <w:t xml:space="preserve">תוך שהוא </w:t>
      </w:r>
      <w:r>
        <w:rPr>
          <w:rtl w:val="true"/>
        </w:rPr>
        <w:t>"</w:t>
      </w:r>
      <w:r>
        <w:rPr>
          <w:rtl w:val="true"/>
        </w:rPr>
        <w:t>מחובר בעיקר למחירים הכבדים אותם שילם בעצמו</w:t>
      </w:r>
      <w:r>
        <w:rPr>
          <w:rtl w:val="true"/>
        </w:rPr>
        <w:t xml:space="preserve">".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ברור כי גם אם התסקירים מצביעים על </w:t>
      </w:r>
      <w:r>
        <w:rPr>
          <w:rtl w:val="true"/>
        </w:rPr>
        <w:t>"</w:t>
      </w:r>
      <w:r>
        <w:rPr>
          <w:rtl w:val="true"/>
        </w:rPr>
        <w:t>ניצנים</w:t>
      </w:r>
      <w:r>
        <w:rPr>
          <w:rtl w:val="true"/>
        </w:rPr>
        <w:t xml:space="preserve">" </w:t>
      </w:r>
      <w:r>
        <w:rPr>
          <w:rtl w:val="true"/>
        </w:rPr>
        <w:t>ראשוניים של סיכויי שיקום – אין בכך</w:t>
      </w:r>
      <w:r>
        <w:rPr>
          <w:rtl w:val="true"/>
        </w:rPr>
        <w:t xml:space="preserve">, </w:t>
      </w:r>
      <w:r>
        <w:rPr>
          <w:rtl w:val="true"/>
        </w:rPr>
        <w:t>או ביתר נסיבותיו האישיות</w:t>
      </w:r>
      <w:r>
        <w:rPr>
          <w:rtl w:val="true"/>
        </w:rPr>
        <w:t xml:space="preserve">, </w:t>
      </w:r>
      <w:r>
        <w:rPr>
          <w:rtl w:val="true"/>
        </w:rPr>
        <w:t>כדי להצדיק הקלה בעונש מעבר לזו שגולמה בכך שעונשו מוקם מתחת למחציתו של מתחם העונש ההולם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המערער הורשע בעבר מספר פעמים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בביצוען של עבירות אלימות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ההליכים הקודמים שהתנהלו בעניינו</w:t>
      </w:r>
      <w:r>
        <w:rPr>
          <w:rtl w:val="true"/>
        </w:rPr>
        <w:t xml:space="preserve">, </w:t>
      </w:r>
      <w:r>
        <w:rPr>
          <w:rtl w:val="true"/>
        </w:rPr>
        <w:t>כמו גם העונשים שנגזרו עליו</w:t>
      </w:r>
      <w:r>
        <w:rPr>
          <w:rtl w:val="true"/>
        </w:rPr>
        <w:t xml:space="preserve">, </w:t>
      </w:r>
      <w:r>
        <w:rPr>
          <w:rtl w:val="true"/>
        </w:rPr>
        <w:t>לא החזירוהו למוטב ולא שינו כהוא זה את דרכו הקלוקלת</w:t>
      </w:r>
      <w:r>
        <w:rPr>
          <w:rtl w:val="true"/>
        </w:rPr>
        <w:t xml:space="preserve">. </w:t>
      </w:r>
      <w:r>
        <w:rPr>
          <w:rtl w:val="true"/>
        </w:rPr>
        <w:t>בית המשפט נדרש למעשה להקל בעונשו על סמך תקוות שבסיסן רעוע כי הפעם הזו ישנה את דרכיו – מבלי שיש לכך תימוכין בעובדות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עוד ראיתי לציין כי ניסיון המערער לגזור גזירה שווה מהמקרה שנידון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לעניינו שלו – דינו אף הוא לדחייה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כידוע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ענישה היא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אינדיבידואלית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והעושה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בורובסקי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נסיבות הנאשמים והעבירות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שונות מנסיבות המערער והעבירות בהליך דנן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יש להצביע על מספר הקורבנות הרב 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וזאת מבלי להמעיט ולו במקצת מחומרת המעשים שנדונו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גם במישור העבר הפלילי אין כל מקום להשוואה בין עברו המכביד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הכולל הרשעות קודמות בעבירות אלימות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ובעיקר שלוש עבירות הצתה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לבין עברם הפלילי של הנאשמים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>הרפורמה בעבירות ההמתה אינה מצדיקה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הקלה בעונשו של המערער</w:t>
      </w:r>
      <w:r>
        <w:rPr>
          <w:rtl w:val="true"/>
        </w:rPr>
        <w:t xml:space="preserve">; </w:t>
      </w:r>
      <w:r>
        <w:rPr>
          <w:rtl w:val="true"/>
        </w:rPr>
        <w:t>העונש שנגזר עליו אינו סוטה ממדיניות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והוא עולה בקנה אחד עם עמדת המחוקק ביחס לחומרת העבירות שבהן הוא הורשע</w:t>
      </w:r>
      <w:r>
        <w:rPr>
          <w:rtl w:val="true"/>
        </w:rPr>
        <w:t xml:space="preserve">; </w:t>
      </w:r>
      <w:r>
        <w:rPr>
          <w:rtl w:val="true"/>
        </w:rPr>
        <w:t>נסיבות ביצוע העבירות ונסיבותיו האישיות של המערער מלמדות גם הן כי המקרה שלפנינו מחייב ענישה אשר תהלום את חומרת מעשיו ותוצאותיהם</w:t>
      </w:r>
      <w:r>
        <w:rPr>
          <w:rtl w:val="true"/>
        </w:rPr>
        <w:t xml:space="preserve">. </w:t>
      </w:r>
      <w:r>
        <w:rPr>
          <w:rtl w:val="true"/>
        </w:rPr>
        <w:t>בראי כל אלו</w:t>
      </w:r>
      <w:r>
        <w:rPr>
          <w:rtl w:val="true"/>
        </w:rPr>
        <w:t xml:space="preserve">, </w:t>
      </w:r>
      <w:r>
        <w:rPr>
          <w:rtl w:val="true"/>
        </w:rPr>
        <w:t>העונש שנגזר על המערער הוא עונש ראוי</w:t>
      </w:r>
      <w:r>
        <w:rPr>
          <w:rtl w:val="true"/>
        </w:rPr>
        <w:t xml:space="preserve">, </w:t>
      </w:r>
      <w:r>
        <w:rPr>
          <w:rtl w:val="true"/>
        </w:rPr>
        <w:t>ועל כן אין כל עילה להתערב בגזר דינו של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השיג באריכות על גובה הפיצוי שנגזר עליו</w:t>
      </w:r>
      <w:r>
        <w:rPr>
          <w:rtl w:val="true"/>
        </w:rPr>
        <w:t xml:space="preserve">, </w:t>
      </w:r>
      <w:r>
        <w:rPr>
          <w:rtl w:val="true"/>
        </w:rPr>
        <w:t>בפרט בהתחשב בפער שבינו לבין יתר הנאשמים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הלכה היא כי ערכאת הערעור לא תתערב בשיקול דעתה של הערכאה הדיונית בקביעת הפיצוי לטובת נפגעי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יוצאי דופן שבהם ניכרת חריגה קיצונית משיעור הפיצוי הראוי </w:t>
      </w:r>
      <w:r>
        <w:rPr>
          <w:rtl w:val="true"/>
        </w:rPr>
        <w:t>(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19.2.2023</w:t>
      </w:r>
      <w:r>
        <w:rPr>
          <w:rtl w:val="true"/>
        </w:rPr>
        <w:t xml:space="preserve">)).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 xml:space="preserve">מאחר שתכליתו של חיוב בפיצוי לפי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היא הענקת מזור ארעי דחוף לנפגע העבירה ולמשפחתו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29.1.2019</w:t>
      </w:r>
      <w:r>
        <w:rPr>
          <w:rtl w:val="true"/>
        </w:rPr>
        <w:t xml:space="preserve">)), </w:t>
      </w:r>
      <w:r>
        <w:rPr>
          <w:rtl w:val="true"/>
        </w:rPr>
        <w:t>ולנוכח הנזקים שנגרמו למשפחת המנוח כתוצאה ממעשיו של המערער – איני מוצא מקום להתערב בפיצוי שהשית עליו בית המשפט המחוזי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רואה אני להדגיש בהקשר זה כי למעשה הפגיעה במשפחת המנוח היא כפולה –עניינה הן בנזק שבאובדן המנוח</w:t>
      </w:r>
      <w:r>
        <w:rPr>
          <w:rtl w:val="true"/>
        </w:rPr>
        <w:t xml:space="preserve">, </w:t>
      </w:r>
      <w:r>
        <w:rPr>
          <w:rtl w:val="true"/>
        </w:rPr>
        <w:t>אב המשפחה</w:t>
      </w:r>
      <w:r>
        <w:rPr>
          <w:rtl w:val="true"/>
        </w:rPr>
        <w:t xml:space="preserve">, </w:t>
      </w:r>
      <w:r>
        <w:rPr>
          <w:rtl w:val="true"/>
        </w:rPr>
        <w:t xml:space="preserve">על כל ההשלכות המגולמות בכך </w:t>
      </w:r>
      <w:r>
        <w:rPr>
          <w:rtl w:val="true"/>
        </w:rPr>
        <w:t>(</w:t>
      </w:r>
      <w:r>
        <w:rPr>
          <w:rtl w:val="true"/>
        </w:rPr>
        <w:t>עוד לעניין זה ראו</w:t>
      </w:r>
      <w:r>
        <w:rPr>
          <w:rtl w:val="true"/>
        </w:rPr>
        <w:t xml:space="preserve">: </w:t>
      </w:r>
      <w:hyperlink r:id="rId7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בוקובזה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13.9.2017</w:t>
      </w:r>
      <w:r>
        <w:rPr>
          <w:rtl w:val="true"/>
        </w:rPr>
        <w:t xml:space="preserve">)); </w:t>
      </w:r>
      <w:r>
        <w:rPr>
          <w:rtl w:val="true"/>
        </w:rPr>
        <w:t>הן בפגיעה שנגרמה לבני המשפחה כתוצאה מעצם שהותם במקום השריפה שהצית המערער</w:t>
      </w:r>
      <w:r>
        <w:rPr>
          <w:rtl w:val="true"/>
        </w:rPr>
        <w:t xml:space="preserve">. </w:t>
      </w:r>
      <w:r>
        <w:rPr>
          <w:rtl w:val="true"/>
        </w:rPr>
        <w:t>בהתחשב בכל אלה</w:t>
      </w:r>
      <w:r>
        <w:rPr>
          <w:rtl w:val="true"/>
        </w:rPr>
        <w:t xml:space="preserve">, </w:t>
      </w:r>
      <w:r>
        <w:rPr>
          <w:rtl w:val="true"/>
        </w:rPr>
        <w:t>המסקנה המתבקשת היא כי אין מקום להפחתת הפיצוי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לבקשה כי נורה על פריסת תשלומי הפיצוי</w:t>
      </w:r>
      <w:r>
        <w:rPr>
          <w:rtl w:val="true"/>
        </w:rPr>
        <w:t xml:space="preserve">, </w:t>
      </w:r>
      <w:r>
        <w:rPr>
          <w:rtl w:val="true"/>
        </w:rPr>
        <w:t>המערער יוכל לפנות בעניין בבקשה מתאימה למרכז לגביית קנסות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אבקש להפנות מילים אחדות למשפחת המנוח</w:t>
      </w:r>
      <w:r>
        <w:rPr>
          <w:rtl w:val="true"/>
        </w:rPr>
        <w:t xml:space="preserve">, </w:t>
      </w:r>
      <w:r>
        <w:rPr>
          <w:rtl w:val="true"/>
        </w:rPr>
        <w:t>ובפרט לבתו שהביעה בפנינו את כאבה וכאב משפחתה במהלך הדיון</w:t>
      </w:r>
      <w:r>
        <w:rPr>
          <w:rtl w:val="true"/>
        </w:rPr>
        <w:t xml:space="preserve">. </w:t>
      </w:r>
      <w:r>
        <w:rPr>
          <w:rtl w:val="true"/>
        </w:rPr>
        <w:t>ההליך המשפטי כרוך</w:t>
      </w:r>
      <w:r>
        <w:rPr>
          <w:rtl w:val="true"/>
        </w:rPr>
        <w:t xml:space="preserve">, </w:t>
      </w:r>
      <w:r>
        <w:rPr>
          <w:rtl w:val="true"/>
        </w:rPr>
        <w:t>מעצם טיבו</w:t>
      </w:r>
      <w:r>
        <w:rPr>
          <w:rtl w:val="true"/>
        </w:rPr>
        <w:t xml:space="preserve">, </w:t>
      </w:r>
      <w:r>
        <w:rPr>
          <w:rtl w:val="true"/>
        </w:rPr>
        <w:t>בריחוק מסוים בין השופט היושב בדין לבין הבאים בשעריו של בית המשפט</w:t>
      </w:r>
      <w:r>
        <w:rPr>
          <w:rtl w:val="true"/>
        </w:rPr>
        <w:t xml:space="preserve">. </w:t>
      </w:r>
      <w:r>
        <w:rPr>
          <w:rtl w:val="true"/>
        </w:rPr>
        <w:t>אין פירוש הדבר כי דבריהם של הצדדים להליך</w:t>
      </w:r>
      <w:r>
        <w:rPr>
          <w:rtl w:val="true"/>
        </w:rPr>
        <w:t xml:space="preserve">, </w:t>
      </w:r>
      <w:r>
        <w:rPr>
          <w:rtl w:val="true"/>
        </w:rPr>
        <w:t>ובמיוחד אלו של נפגעי עבירה</w:t>
      </w:r>
      <w:r>
        <w:rPr>
          <w:rtl w:val="true"/>
        </w:rPr>
        <w:t xml:space="preserve">, </w:t>
      </w:r>
      <w:r>
        <w:rPr>
          <w:rtl w:val="true"/>
        </w:rPr>
        <w:t>חולפים ליד אוזנו של השופט כלא היו</w:t>
      </w:r>
      <w:r>
        <w:rPr>
          <w:rtl w:val="true"/>
        </w:rPr>
        <w:t xml:space="preserve">. </w:t>
      </w:r>
      <w:r>
        <w:rPr>
          <w:rtl w:val="true"/>
        </w:rPr>
        <w:t>ההפך הוא הנכון</w:t>
      </w:r>
      <w:r>
        <w:rPr>
          <w:rtl w:val="true"/>
        </w:rPr>
        <w:t xml:space="preserve">: </w:t>
      </w:r>
      <w:r>
        <w:rPr>
          <w:rtl w:val="true"/>
        </w:rPr>
        <w:t>דברים אלו חודרים עמוקות לליבו של השופט</w:t>
      </w:r>
      <w:r>
        <w:rPr>
          <w:rtl w:val="true"/>
        </w:rPr>
        <w:t xml:space="preserve">. </w:t>
      </w:r>
      <w:r>
        <w:rPr>
          <w:rtl w:val="true"/>
        </w:rPr>
        <w:t>וכאלו היו דברי בת המנוח אשר הדהדו באולם בית המשפט</w:t>
      </w:r>
      <w:r>
        <w:rPr>
          <w:rtl w:val="true"/>
        </w:rPr>
        <w:t xml:space="preserve">. </w:t>
      </w:r>
      <w:r>
        <w:rPr>
          <w:rtl w:val="true"/>
        </w:rPr>
        <w:t>הצער והכאב שמלווים אותה ואת משפחתה מאז אותו יום נורא</w:t>
      </w:r>
      <w:r>
        <w:rPr>
          <w:rtl w:val="true"/>
        </w:rPr>
        <w:t xml:space="preserve">, </w:t>
      </w:r>
      <w:r>
        <w:rPr>
          <w:rtl w:val="true"/>
        </w:rPr>
        <w:t>קשים הם עד מאוד</w:t>
      </w:r>
      <w:r>
        <w:rPr>
          <w:rtl w:val="true"/>
        </w:rPr>
        <w:t xml:space="preserve">. </w:t>
      </w:r>
      <w:r>
        <w:rPr>
          <w:rtl w:val="true"/>
        </w:rPr>
        <w:t>לא נותר לי אלא לקוות כי בסיום ההליכים הפליליים בעניינו של המערער</w:t>
      </w:r>
      <w:r>
        <w:rPr>
          <w:rtl w:val="true"/>
        </w:rPr>
        <w:t xml:space="preserve">, </w:t>
      </w:r>
      <w:r>
        <w:rPr>
          <w:rtl w:val="true"/>
        </w:rPr>
        <w:t>יהיה כדי להקל על התמודדותם היום</w:t>
      </w:r>
      <w:r>
        <w:rPr>
          <w:rtl w:val="true"/>
        </w:rPr>
        <w:t>-</w:t>
      </w:r>
      <w:r>
        <w:rPr>
          <w:rtl w:val="true"/>
        </w:rPr>
        <w:t>יומית</w:t>
      </w:r>
      <w:r>
        <w:rPr>
          <w:rtl w:val="true"/>
        </w:rPr>
        <w:t xml:space="preserve">, </w:t>
      </w:r>
      <w:r>
        <w:rPr>
          <w:rtl w:val="true"/>
        </w:rPr>
        <w:t>גם אם במעט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אציע לחברי ולחברתי כי נורה על דחיית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1"/>
        <w:gridCol w:w="2841"/>
        <w:gridCol w:w="2841"/>
      </w:tblGrid>
      <w:tr>
        <w:trPr>
          <w:trHeight w:val="263" w:hRule="atLeast"/>
        </w:trPr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אלכס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1"/>
        <w:gridCol w:w="2841"/>
        <w:gridCol w:w="2841"/>
      </w:tblGrid>
      <w:tr>
        <w:trPr>
          <w:trHeight w:val="263" w:hRule="atLeast"/>
        </w:trPr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גילה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br/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1"/>
        <w:gridCol w:w="2841"/>
        <w:gridCol w:w="2841"/>
      </w:tblGrid>
      <w:tr>
        <w:trPr/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18.8.2024</w:t>
      </w:r>
      <w:r>
        <w:rPr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1"/>
        <w:gridCol w:w="2841"/>
        <w:gridCol w:w="2841"/>
      </w:tblGrid>
      <w:tr>
        <w:trPr/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end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color w:val="FFFFFF"/>
          <w:spacing w:val="10"/>
          <w:sz w:val="2"/>
          <w:szCs w:val="2"/>
          <w:lang w:val="en-US" w:eastAsia="en-US"/>
        </w:rPr>
      </w:pPr>
      <w:r>
        <w:rPr>
          <w:rFonts w:cs="FrankRuehl" w:ascii="FrankRuehl" w:hAnsi="FrankRuehl"/>
          <w:color w:val="FFFFFF"/>
          <w:spacing w:val="10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8"/>
          <w:szCs w:val="28"/>
          <w:lang w:val="en-US" w:eastAsia="en-US"/>
        </w:rPr>
      </w:pPr>
      <w:r>
        <w:rPr>
          <w:rFonts w:cs="FrankRuehl" w:ascii="FrankRuehl" w:hAnsi="FrankRuehl"/>
          <w:color w:val="FFFFFF"/>
          <w:sz w:val="28"/>
          <w:szCs w:val="2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  <w:lang w:val="en-US" w:eastAsia="en-US"/>
        </w:rPr>
      </w:pPr>
      <w:hyperlink r:id="rId7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  <w:lang w:val="en-US" w:eastAsia="en-US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  <w:lang w:val="en-US" w:eastAsia="en-US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val="en-US" w:eastAsia="en-US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54678313-8265/22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8"/>
          <w:u w:val="single"/>
          <w:lang w:val="en-US" w:eastAsia="en-US"/>
        </w:rPr>
      </w:pPr>
      <w:r>
        <w:rPr>
          <w:rFonts w:ascii="FrankRuehl" w:hAnsi="FrankRuehl" w:cs="FrankRuehl"/>
          <w:color w:val="000000"/>
          <w:sz w:val="28"/>
          <w:sz w:val="28"/>
          <w:u w:val="single"/>
          <w:rtl w:val="true"/>
          <w:lang w:val="en-US" w:eastAsia="en-US"/>
        </w:rPr>
        <w:t>נוסח מסמך זה כפוף לשינויי ניסוח ועריכה</w:t>
      </w:r>
    </w:p>
    <w:sectPr>
      <w:headerReference w:type="default" r:id="rId78"/>
      <w:footerReference w:type="default" r:id="rId79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8265/22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עברי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18241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18241&amp;lt;/CaseID&amp;gt;&#10;        &amp;lt;CaseMonth&amp;gt;12&amp;lt;/CaseMonth&amp;gt;&#10;        &amp;lt;CaseYear&amp;gt;2022&amp;lt;/CaseYear&amp;gt;&#10;        &amp;lt;CaseNumber&amp;gt;67977&amp;lt;/CaseNumber&amp;gt;&#10;        &amp;lt;NumeratorGroupID&amp;gt;1&amp;lt;/NumeratorGroupID&amp;gt;&#10;        &amp;lt;CaseName&amp;gt;ג&amp;#39;עברי (חסוי) נ&amp;#39; מדינת ישראל  ואח&amp;#39;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7&amp;lt;/CaseLinkTypeID&amp;gt;&#10;        &amp;lt;ProcedureID&amp;gt;2&amp;lt;/ProcedureID&amp;gt;&#10;        &amp;lt;PreviousCaseYear&amp;gt;2022&amp;lt;/PreviousCaseYear&amp;gt;&#10;        &amp;lt;PreviousCaseNumber&amp;gt;826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8265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2-12-04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בוצע שימוע לפסק הדין שיפורסם ביום 18.8.2024 בשעה 8:30&#10;&amp;lt;/CaseDesc&amp;gt;&#10;        &amp;lt;isExistMinorSide&amp;gt;false&amp;lt;/isExistMinorSide&amp;gt;&#10;        &amp;lt;isExistMinorWitness&amp;gt;false&amp;lt;/isExistMinorWitness&amp;gt;&#10;        &amp;lt;PreviousCaseIdentifier&amp;gt;2022008265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18241&amp;lt;/CaseID&amp;gt;&#10;        &amp;lt;CaseMonth&amp;gt;12&amp;lt;/CaseMonth&amp;gt;&#10;        &amp;lt;CaseYear&amp;gt;2022&amp;lt;/CaseYear&amp;gt;&#10;        &amp;lt;CaseNumber&amp;gt;67977&amp;lt;/CaseNumber&amp;gt;&#10;        &amp;lt;NumeratorGroupID&amp;gt;1&amp;lt;/NumeratorGroupID&amp;gt;&#10;        &amp;lt;CaseName&amp;gt;ג&amp;#39;עברי (חסוי) נ&amp;#39; מדינת ישראל  ואח&amp;#39;&amp;lt;/CaseName&amp;gt;&#10;        &amp;lt;CourtID&amp;gt;11&amp;lt;/CourtID&amp;gt;&#10;        &amp;lt;CaseTypeID&amp;gt;10013&amp;lt;/CaseTypeID&amp;gt;&#10;        &amp;lt;CaseInterestID&amp;gt;10714&amp;lt;/CaseInterestID&amp;gt;&#10;        &amp;lt;CaseLinkTypeID&amp;gt;7&amp;lt;/CaseLinkTypeID&amp;gt;&#10;        &amp;lt;ProcedureID&amp;gt;2&amp;lt;/ProcedureID&amp;gt;&#10;        &amp;lt;PreviousCaseYear&amp;gt;2022&amp;lt;/PreviousCaseYear&amp;gt;&#10;        &amp;lt;PreviousCaseNumber&amp;gt;8265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8265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2-12-04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בוצע שימוע לפסק הדין שיפורסם ביום 18.8.2024 בשעה 8:30&#10;&amp;lt;/CaseDesc&amp;gt;&#10;        &amp;lt;PreviousCaseIdentifier&amp;gt;2022008265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441293&amp;lt;/DecisionID&amp;gt;&#10;        &amp;lt;DecisionName&amp;gt;פסק דין  שניתנה ע&amp;quot;י  יוסף אלרון&amp;lt;/DecisionName&amp;gt;&#10;        &amp;lt;DecisionStatusID&amp;gt;1&amp;lt;/DecisionStatusID&amp;gt;&#10;        &amp;lt;DecisionStatusChangeDate&amp;gt;2024-08-18T07:29:25.18+03:00&amp;lt;/DecisionStatusChangeDate&amp;gt;&#10;        &amp;lt;DecisionSignatureDate&amp;gt;2024-08-18T07:29:24.103+03:00&amp;lt;/DecisionSignatureDate&amp;gt;&#10;        &amp;lt;DecisionSignatureUserID&amp;gt;053565529@GOV.IL&amp;lt;/DecisionSignatureUserID&amp;gt;&#10;        &amp;lt;DecisionCreateDate&amp;gt;2024-08-14T16:54:03.91+03:00&amp;lt;/DecisionCreateDate&amp;gt;&#10;        &amp;lt;DecisionChangeDate&amp;gt;2024-08-18T07:29:25.257+03:00&amp;lt;/DecisionChangeDate&amp;gt;&#10;        &amp;lt;DecisionChangeUserID&amp;gt;200290393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2777556&amp;lt;/DocumentID&amp;gt;&#10;        &amp;lt;PrivilegeID&amp;gt;2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356552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18591658@GOV.IL&amp;lt;/DecisionCreationUserID&amp;gt;&#10;        &amp;lt;DecisionDisplayName&amp;gt;פסק דין  שניתנה ע&amp;quot;י  יוסף אלרון&amp;lt;/DecisionDisplayName&amp;gt;&#10;        &amp;lt;IsScanned&amp;gt;false&amp;lt;/IsScanned&amp;gt;&#10;        &amp;lt;DecisionSignatureUserName&amp;gt;יוסף אלרון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5&amp;lt;/DecisionNumberInCase&amp;gt;&#10;        &amp;lt;DecisionMeetingDate&amp;gt;2024-06-26T00:00:00+03:00&amp;lt;/DecisionMeetingDate&amp;gt;&#10;      &amp;lt;/dt_Decision&amp;gt;&#10;      &amp;lt;dt_DecisionCase diffgr:id=&amp;quot;dt_DecisionCase1&amp;quot; msdata:rowOrder=&amp;quot;0&amp;quot;&amp;gt;&#10;        &amp;lt;DecisionID&amp;gt;154441293&amp;lt;/DecisionID&amp;gt;&#10;        &amp;lt;CaseID&amp;gt;81818241&amp;lt;/CaseID&amp;gt;&#10;        &amp;lt;IsOriginal&amp;gt;true&amp;lt;/IsOriginal&amp;gt;&#10;        &amp;lt;IsDeleted&amp;gt;false&amp;lt;/IsDeleted&amp;gt;&#10;        &amp;lt;CaseName&amp;gt;ג&amp;#39;עברי (חסוי) נ&amp;#39; מדינת ישראל  ואח&amp;#39;&amp;lt;/CaseName&amp;gt;&#10;        &amp;lt;CaseDisplayIdentifier&amp;gt;ע&amp;quot;פ 8265/22&amp;lt;/CaseDisplayIdentifier&amp;gt;&#10;      &amp;lt;/dt_DecisionCase&amp;gt;&#10;    &amp;lt;/DecisionDS&amp;gt;&#10;  &amp;lt;/diffgr:diffgram&amp;gt;&#10;&amp;lt;/DecisionDS&amp;gt;"/>
    <w:docVar w:name="DecisionID" w:val="154441293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qFormat/>
    <w:rPr>
      <w:color w:val="808080"/>
    </w:rPr>
  </w:style>
  <w:style w:type="character" w:styleId="CharChar">
    <w:name w:val=" Char Char"/>
    <w:qFormat/>
    <w:rPr>
      <w:rFonts w:cs="David"/>
      <w:sz w:val="24"/>
      <w:szCs w:val="24"/>
      <w:lang w:val="en-IL" w:eastAsia="en-IL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0908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i.a.1" TargetMode="External"/><Relationship Id="rId6" Type="http://schemas.openxmlformats.org/officeDocument/2006/relationships/hyperlink" Target="http://www.nevo.co.il/law/70301/40i.a.2" TargetMode="External"/><Relationship Id="rId7" Type="http://schemas.openxmlformats.org/officeDocument/2006/relationships/hyperlink" Target="http://www.nevo.co.il/law/70301/40i.a.3" TargetMode="External"/><Relationship Id="rId8" Type="http://schemas.openxmlformats.org/officeDocument/2006/relationships/hyperlink" Target="http://www.nevo.co.il/law/70301/40i.a.4" TargetMode="External"/><Relationship Id="rId9" Type="http://schemas.openxmlformats.org/officeDocument/2006/relationships/hyperlink" Target="http://www.nevo.co.il/law/70301/77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0.a.3" TargetMode="External"/><Relationship Id="rId13" Type="http://schemas.openxmlformats.org/officeDocument/2006/relationships/hyperlink" Target="http://www.nevo.co.il/law/70301/301a" TargetMode="External"/><Relationship Id="rId14" Type="http://schemas.openxmlformats.org/officeDocument/2006/relationships/hyperlink" Target="http://www.nevo.co.il/law/70301/301c" TargetMode="External"/><Relationship Id="rId15" Type="http://schemas.openxmlformats.org/officeDocument/2006/relationships/hyperlink" Target="http://www.nevo.co.il/law/70301/304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333" TargetMode="External"/><Relationship Id="rId18" Type="http://schemas.openxmlformats.org/officeDocument/2006/relationships/hyperlink" Target="http://www.nevo.co.il/law/70301/335.a.2" TargetMode="External"/><Relationship Id="rId19" Type="http://schemas.openxmlformats.org/officeDocument/2006/relationships/hyperlink" Target="http://www.nevo.co.il/law/70301/448" TargetMode="External"/><Relationship Id="rId20" Type="http://schemas.openxmlformats.org/officeDocument/2006/relationships/hyperlink" Target="http://www.nevo.co.il/law/70301/448.a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90721/12.1" TargetMode="External"/><Relationship Id="rId23" Type="http://schemas.openxmlformats.org/officeDocument/2006/relationships/hyperlink" Target="http://www.nevo.co.il/law/70301/298" TargetMode="External"/><Relationship Id="rId24" Type="http://schemas.openxmlformats.org/officeDocument/2006/relationships/hyperlink" Target="http://www.nevo.co.il/law/70301/300.a" TargetMode="External"/><Relationship Id="rId25" Type="http://schemas.openxmlformats.org/officeDocument/2006/relationships/hyperlink" Target="http://www.nevo.co.il/law/70301/301a" TargetMode="External"/><Relationship Id="rId26" Type="http://schemas.openxmlformats.org/officeDocument/2006/relationships/hyperlink" Target="http://www.nevo.co.il/law/70301/301c" TargetMode="External"/><Relationship Id="rId27" Type="http://schemas.openxmlformats.org/officeDocument/2006/relationships/hyperlink" Target="http://www.nevo.co.il/law/70301/77" TargetMode="External"/><Relationship Id="rId28" Type="http://schemas.openxmlformats.org/officeDocument/2006/relationships/hyperlink" Target="http://www.nevo.co.il/case/24909088" TargetMode="External"/><Relationship Id="rId29" Type="http://schemas.openxmlformats.org/officeDocument/2006/relationships/hyperlink" Target="http://www.nevo.co.il/law/70301/300.a.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48.a" TargetMode="External"/><Relationship Id="rId32" Type="http://schemas.openxmlformats.org/officeDocument/2006/relationships/hyperlink" Target="http://www.nevo.co.il/law/70301/329.a.1" TargetMode="External"/><Relationship Id="rId33" Type="http://schemas.openxmlformats.org/officeDocument/2006/relationships/hyperlink" Target="http://www.nevo.co.il/law/70301/301c" TargetMode="External"/><Relationship Id="rId34" Type="http://schemas.openxmlformats.org/officeDocument/2006/relationships/hyperlink" Target="http://www.nevo.co.il/law/70301/300.a.3" TargetMode="External"/><Relationship Id="rId35" Type="http://schemas.openxmlformats.org/officeDocument/2006/relationships/hyperlink" Target="http://www.nevo.co.il/law/70301/333" TargetMode="External"/><Relationship Id="rId36" Type="http://schemas.openxmlformats.org/officeDocument/2006/relationships/hyperlink" Target="http://www.nevo.co.il/law/70301/335.a.2" TargetMode="External"/><Relationship Id="rId37" Type="http://schemas.openxmlformats.org/officeDocument/2006/relationships/hyperlink" Target="http://www.nevo.co.il/law/70301/304" TargetMode="External"/><Relationship Id="rId38" Type="http://schemas.openxmlformats.org/officeDocument/2006/relationships/hyperlink" Target="http://www.nevo.co.il/law/70301/448.a" TargetMode="External"/><Relationship Id="rId39" Type="http://schemas.openxmlformats.org/officeDocument/2006/relationships/hyperlink" Target="http://www.nevo.co.il/law/70301/31" TargetMode="External"/><Relationship Id="rId40" Type="http://schemas.openxmlformats.org/officeDocument/2006/relationships/hyperlink" Target="http://www.nevo.co.il/law/90721/12.1" TargetMode="External"/><Relationship Id="rId41" Type="http://schemas.openxmlformats.org/officeDocument/2006/relationships/hyperlink" Target="http://www.nevo.co.il/law/90721" TargetMode="External"/><Relationship Id="rId42" Type="http://schemas.openxmlformats.org/officeDocument/2006/relationships/hyperlink" Target="http://www.nevo.co.il/law/70301/448" TargetMode="External"/><Relationship Id="rId43" Type="http://schemas.openxmlformats.org/officeDocument/2006/relationships/hyperlink" Target="http://www.nevo.co.il/law/70301/31" TargetMode="External"/><Relationship Id="rId44" Type="http://schemas.openxmlformats.org/officeDocument/2006/relationships/hyperlink" Target="http://www.nevo.co.il/case/22401476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7608313" TargetMode="External"/><Relationship Id="rId47" Type="http://schemas.openxmlformats.org/officeDocument/2006/relationships/hyperlink" Target="http://www.nevo.co.il/law/70301/298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00.a" TargetMode="External"/><Relationship Id="rId50" Type="http://schemas.openxmlformats.org/officeDocument/2006/relationships/hyperlink" Target="http://www.nevo.co.il/law/70301/301a" TargetMode="External"/><Relationship Id="rId51" Type="http://schemas.openxmlformats.org/officeDocument/2006/relationships/hyperlink" Target="http://www.nevo.co.il/law/70301/301c" TargetMode="External"/><Relationship Id="rId52" Type="http://schemas.openxmlformats.org/officeDocument/2006/relationships/hyperlink" Target="http://www.nevo.co.il/case/27915737" TargetMode="External"/><Relationship Id="rId53" Type="http://schemas.openxmlformats.org/officeDocument/2006/relationships/hyperlink" Target="http://www.nevo.co.il/case/26146667" TargetMode="External"/><Relationship Id="rId54" Type="http://schemas.openxmlformats.org/officeDocument/2006/relationships/hyperlink" Target="http://www.nevo.co.il/case/27372060" TargetMode="External"/><Relationship Id="rId55" Type="http://schemas.openxmlformats.org/officeDocument/2006/relationships/hyperlink" Target="http://www.nevo.co.il/case/26541540" TargetMode="External"/><Relationship Id="rId56" Type="http://schemas.openxmlformats.org/officeDocument/2006/relationships/hyperlink" Target="http://www.nevo.co.il/case/26291652" TargetMode="External"/><Relationship Id="rId57" Type="http://schemas.openxmlformats.org/officeDocument/2006/relationships/hyperlink" Target="http://www.nevo.co.il/case/27004212" TargetMode="External"/><Relationship Id="rId58" Type="http://schemas.openxmlformats.org/officeDocument/2006/relationships/hyperlink" Target="http://www.nevo.co.il/case/29490938" TargetMode="External"/><Relationship Id="rId59" Type="http://schemas.openxmlformats.org/officeDocument/2006/relationships/hyperlink" Target="http://www.nevo.co.il/case/28313659" TargetMode="External"/><Relationship Id="rId60" Type="http://schemas.openxmlformats.org/officeDocument/2006/relationships/hyperlink" Target="http://www.nevo.co.il/case/27443208" TargetMode="External"/><Relationship Id="rId61" Type="http://schemas.openxmlformats.org/officeDocument/2006/relationships/hyperlink" Target="http://www.nevo.co.il/case/28180190" TargetMode="External"/><Relationship Id="rId62" Type="http://schemas.openxmlformats.org/officeDocument/2006/relationships/hyperlink" Target="http://www.nevo.co.il/case/26978020" TargetMode="External"/><Relationship Id="rId63" Type="http://schemas.openxmlformats.org/officeDocument/2006/relationships/hyperlink" Target="http://www.nevo.co.il/case/30241387" TargetMode="External"/><Relationship Id="rId64" Type="http://schemas.openxmlformats.org/officeDocument/2006/relationships/hyperlink" Target="http://www.nevo.co.il/case/29700356" TargetMode="External"/><Relationship Id="rId65" Type="http://schemas.openxmlformats.org/officeDocument/2006/relationships/hyperlink" Target="http://www.nevo.co.il/law/70301/301c" TargetMode="External"/><Relationship Id="rId66" Type="http://schemas.openxmlformats.org/officeDocument/2006/relationships/hyperlink" Target="http://www.nevo.co.il/law/70301/333" TargetMode="External"/><Relationship Id="rId67" Type="http://schemas.openxmlformats.org/officeDocument/2006/relationships/hyperlink" Target="http://www.nevo.co.il/law/70301/335.a.2" TargetMode="External"/><Relationship Id="rId68" Type="http://schemas.openxmlformats.org/officeDocument/2006/relationships/hyperlink" Target="http://www.nevo.co.il/law/70301/448.a" TargetMode="External"/><Relationship Id="rId69" Type="http://schemas.openxmlformats.org/officeDocument/2006/relationships/hyperlink" Target="http://www.nevo.co.il/law/70301/40i.a.3" TargetMode="External"/><Relationship Id="rId70" Type="http://schemas.openxmlformats.org/officeDocument/2006/relationships/hyperlink" Target="http://www.nevo.co.il/law/70301/40i.a.4" TargetMode="External"/><Relationship Id="rId71" Type="http://schemas.openxmlformats.org/officeDocument/2006/relationships/hyperlink" Target="http://www.nevo.co.il/law/70301/40i.a.1" TargetMode="External"/><Relationship Id="rId72" Type="http://schemas.openxmlformats.org/officeDocument/2006/relationships/hyperlink" Target="http://www.nevo.co.il/law/70301/40i.a.2" TargetMode="External"/><Relationship Id="rId73" Type="http://schemas.openxmlformats.org/officeDocument/2006/relationships/hyperlink" Target="http://www.nevo.co.il/case/27555133" TargetMode="External"/><Relationship Id="rId74" Type="http://schemas.openxmlformats.org/officeDocument/2006/relationships/hyperlink" Target="http://www.nevo.co.il/law/70301/77" TargetMode="External"/><Relationship Id="rId75" Type="http://schemas.openxmlformats.org/officeDocument/2006/relationships/hyperlink" Target="http://www.nevo.co.il/case/24323669" TargetMode="External"/><Relationship Id="rId76" Type="http://schemas.openxmlformats.org/officeDocument/2006/relationships/hyperlink" Target="http://www.nevo.co.il/case/21477594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2024-08-19T08:50:00Z</dcterms:created>
  <dc:creator>h4</dc:creator>
  <dc:description/>
  <cp:keywords/>
  <dc:language>en-IL</dc:language>
  <cp:lastModifiedBy>orly</cp:lastModifiedBy>
  <cp:lastPrinted>2024-08-18T07:54:00Z</cp:lastPrinted>
  <dcterms:modified xsi:type="dcterms:W3CDTF">2024-08-19T08:50:00Z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ג'עברי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ישראל;יורשי המנוח רונן עוז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24909088:2;22401476;27608313;27915737;26146667;27372060;26541540;26291652;27004212;29490938;28313659;27443208;28180190;26978020;30241387;29700356;27555133;24323669;21477594</vt:lpwstr>
  </property>
  <property fmtid="{D5CDD505-2E9C-101B-9397-08002B2CF9AE}" pid="9" name="CITY">
    <vt:lpwstr/>
  </property>
  <property fmtid="{D5CDD505-2E9C-101B-9397-08002B2CF9AE}" pid="10" name="DATE">
    <vt:lpwstr>20240818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אלרון;אלכס שטיין;גילה כנפי שטייניץ</vt:lpwstr>
  </property>
  <property fmtid="{D5CDD505-2E9C-101B-9397-08002B2CF9AE}" pid="14" name="LAWLISTTMP1">
    <vt:lpwstr>70301/300.a.3:2;448.a:3;329.a.1;301c:3;333:2;335.a.2:2;304;031:2;448;298;300.a;301a;040i.a.3;040i.a.4;040i.a.1;040i.a.2;077</vt:lpwstr>
  </property>
  <property fmtid="{D5CDD505-2E9C-101B-9397-08002B2CF9AE}" pid="15" name="LAWLISTTMP2">
    <vt:lpwstr>90721/012.1</vt:lpwstr>
  </property>
  <property fmtid="{D5CDD505-2E9C-101B-9397-08002B2CF9AE}" pid="16" name="LAWYER">
    <vt:lpwstr>עדי שגב;ורד אנוך;עאטף פרחאת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1446;1443;1446;1446</vt:lpwstr>
  </property>
  <property fmtid="{D5CDD505-2E9C-101B-9397-08002B2CF9AE}" pid="49" name="NOSE31">
    <vt:lpwstr>תיקון 137</vt:lpwstr>
  </property>
  <property fmtid="{D5CDD505-2E9C-101B-9397-08002B2CF9AE}" pid="50" name="NOSE310">
    <vt:lpwstr/>
  </property>
  <property fmtid="{D5CDD505-2E9C-101B-9397-08002B2CF9AE}" pid="51" name="NOSE32">
    <vt:lpwstr>הריגה</vt:lpwstr>
  </property>
  <property fmtid="{D5CDD505-2E9C-101B-9397-08002B2CF9AE}" pid="52" name="NOSE33">
    <vt:lpwstr>מדיניות ענישה: המתה בקלות דעת</vt:lpwstr>
  </property>
  <property fmtid="{D5CDD505-2E9C-101B-9397-08002B2CF9AE}" pid="53" name="NOSE34">
    <vt:lpwstr>דרכי ענישה: פיצויים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18866;8816;18472;8968</vt:lpwstr>
  </property>
  <property fmtid="{D5CDD505-2E9C-101B-9397-08002B2CF9AE}" pid="60" name="PADIDATE">
    <vt:lpwstr>20240819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8265</vt:lpwstr>
  </property>
  <property fmtid="{D5CDD505-2E9C-101B-9397-08002B2CF9AE}" pid="66" name="PROCYEAR">
    <vt:lpwstr>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410120240818</vt:lpwstr>
  </property>
  <property fmtid="{D5CDD505-2E9C-101B-9397-08002B2CF9AE}" pid="70" name="TYPE_N_DATE">
    <vt:lpwstr>41020240818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