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8267/22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2" w:name="FirstAppellant"/>
            <w:bookmarkEnd w:id="2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גולן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אביטן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29.11.2022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31343-04-19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רביד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יניב</w:t>
            </w:r>
            <w:r>
              <w:rPr>
                <w:sz w:val="24"/>
                <w:szCs w:val="24"/>
                <w:rtl w:val="true"/>
              </w:rPr>
              <w:t>;</w:t>
            </w:r>
          </w:p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תגובה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מטעם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המשיבה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1.1.2023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 xml:space="preserve">בשם </w:t>
            </w:r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Lawyer"/>
            <w:bookmarkEnd w:id="3"/>
            <w:r>
              <w:rPr>
                <w:rFonts w:ascii="David;Times New Roman" w:hAnsi="David;Times New Roman"/>
                <w:rtl w:val="true"/>
              </w:rPr>
              <w:t xml:space="preserve">בשם </w:t>
            </w: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"/>
          <w:szCs w:val="2"/>
        </w:rPr>
      </w:pPr>
      <w:r>
        <w:rPr>
          <w:rFonts w:cs="FrankRuehl" w:ascii="FrankRuehl" w:hAnsi="FrankRuehl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94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4" w:name="LawTable_End"/>
      <w:bookmarkStart w:id="5" w:name="LawTable_End"/>
      <w:bookmarkEnd w:id="5"/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6" w:name="ABSTRACT_START"/>
      <w:bookmarkStart w:id="7" w:name="_Hlk126142469"/>
      <w:bookmarkEnd w:id="6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בחר להימלט מישראל בעיצומו של ההליך הפלילי שהתנהל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שהה מחוץ לישראל במשך ארבע שנים כמעט ושב אליה לאחר מתן הכרעת הדין בעניינם של יתר הנאשמים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להחיל את הכלל לפיו אין להתיר לבעל דין ליצור לעצמו בהתנהגותו עילת פסלות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לגופו של 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כי טענות המערער מבססות עילה לפסילת המותב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בהכרעת הדין שניתנה בעניינם של יתר הנאשמים אין קביעות עובדתיות או משפטיות מובהקות ביחס למערער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מסקנות מהן יתקשו חברי ההרכב לסטות בהמשך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שופטים – עילת הפסלות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שופטים – פסילה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במסגרת פרשת </w:t>
      </w:r>
      <w:r>
        <w:rPr>
          <w:rFonts w:cs="Times New Roman" w:ascii="Times New Roman" w:hAnsi="Times New Roman"/>
          <w:spacing w:val="0"/>
          <w:szCs w:val="26"/>
        </w:rPr>
        <w:t>512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הוגש נגד המערער כתב אישום המייחס לחלק מהנאשמים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רצח ועבירת ניסיון 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סיום פרשת התביעה בהליך וערב תחילת פרשת ההגנה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ניצל המערער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חלון התאווררות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שניתן לו מן האיזוק האלקטרוני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ונמלט מישראל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 הותלו ההליכים נגדו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ההליך המשיך להתנהל כסדרו ביחס ליתר הנאשמים בפרשה ועם חלקם אף נחתמו הסדרי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ביום </w:t>
      </w:r>
      <w:r>
        <w:rPr>
          <w:rFonts w:cs="Times New Roman" w:ascii="Times New Roman" w:hAnsi="Times New Roman"/>
          <w:spacing w:val="0"/>
          <w:szCs w:val="26"/>
        </w:rPr>
        <w:t>16.11.2021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ניתנה הכרעת דין ביחס לנאשמים אחרים 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וביום </w:t>
      </w:r>
      <w:r>
        <w:rPr>
          <w:rFonts w:cs="Times New Roman" w:ascii="Times New Roman" w:hAnsi="Times New Roman"/>
          <w:spacing w:val="0"/>
          <w:szCs w:val="26"/>
        </w:rPr>
        <w:t>28.6.2022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גזר דין אשר סיים את ההליך בערכאה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ערעורים שהוגשו 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על הכרעת הדין וגזר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עודם תלויים ועומדים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ביום </w:t>
      </w:r>
      <w:r>
        <w:rPr>
          <w:rFonts w:cs="Times New Roman" w:ascii="Times New Roman" w:hAnsi="Times New Roman"/>
          <w:spacing w:val="0"/>
          <w:szCs w:val="26"/>
        </w:rPr>
        <w:t>24.8.2022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ארבע שנים בקירוב לאחר הימלטותו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נעצר המערער עם שובו לישראל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ובו ביום הודיעה המשיבה על חידוש ההליכים נגדו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באותו היום אף ניתנה החלטת השופטת רביד המורה על חידוש ההליכים ונקבע דיון תזכורת בפניה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 התקיימו שני דיוני תזכורת בפני השופטת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בפתח הדיון השני ציין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 המערער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לא נראה וכרגע אפשר להתקדם במסלול הנוסף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והמערער פנה בעצמו לשופטת רביד וביקש ממנה לפסול את עצמה בציינו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אחת ההחלטות שברחתי זה בגללך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זה בגלל איך שהתנהל הבית 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 המערער ביקש להעלות טענת פסלות בישיבה הבאה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והשופטת רביד הורתה לו להגיש בקשת פסלות בכתב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הוגשה בקשת פסלות לגבי חברי ההרכב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וזו 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נשיאת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דחתה את הערעור בקבעה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כבר נפסק כי אין להלום תוצאה לפיה יוכל בעל דין לגרום בהתנהגותו שלו להחלפת המותב שדן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למשל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תלונה  שמגיש מבקש הפסלות נגד המותב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כתב אישום המוגש נגד מבקש הפסלות בשל עבירה שביצע כלפי המותב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להקים עילת פסלות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הדין באשר להתנהגות פסולה מצד מבקש הפסלות בזיקה להליך המתנהל בפני המותב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כגון התבטאויות מזלזלות כלפי המותב או איומים עליו או על משפחתו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זו יסודה בתפיסה לפיה אין לאפשר לבעל דין שדעתו אינה נוחה מן המותב הדן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ליצור לעצמו עילת פסלות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אין מקום להקנות יתרון דיוני למי שפעל באופן פסול כזה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בעניין ברמלי צוין כי הכרה בעילת פסלות עקב איומים על שופט עלולה ליצור תמריצים מסוכנים לפגיעה במותב על מנת להביא לפסילתו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תיתכנה אמנם נסיבות חריגות ונדירות העשויות להביא לפסילת מותב עקב חומרת מעשיו של מבקש הפסלות נגד המותב או עקב חומרת הפגיעה במותב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אך שאלת קיומן של נסיבות כאמור נבחנת בכל מקרה ומקרה תוך מתן משקל משמעותי לתחושת המותב 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בנסיבות המקרה הנדון ניתן להחיל את הכלל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ולפיו אין להתיר לבעל דין ליצור לעצמו בהתנהגותו עילת פסלות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בחר להימלט מישראל בעיצומו של ההליך הפלילי שהתנהל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שהה מחוץ לישראל במשך ארבע שנים כמעט ושב אליה לאחר מתן הכרעת הדין בעניינם של יתר הנאשמים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להלום כי יתאפשר למערער להיבנות מהתנהלותו הפסולה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ציין בפני השופטת רביד כי אחת הסיבות לבריחתו נעוצה בחוסר שביעות רצונו מן האופן בו התנהל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היעלה על הדעת כי עתה עם שובו תיענה משאלתו וב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זכות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בריחתו יוחלף ההרכב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 מכך – קבלת בקשת הפסלות עלולה להקנות למערער בהיבטים מסוימים יתרון דיוני על פני שותפיו לכתב האישום שניהלו את המשפט כסדרו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הבהרת המשיבה בדבר מקום הימצאם של חלק מעדי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 בין אם משפטו של המערער יתנהל בפני מותב אחר מבראשית ובין אם ימשך משלב פרשת ההגנה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מותב כזה יידרש להתמודד עם מכשולים ובכללם הצורך להכריע במהימנותם של עדים שלא נשמעו בפניו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ההבחנה שמבקש המערער להתוות בין עצם הימלטותו ובין הכרעת הדין המנומקת שניתנה בהיעדרו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הבחנה מלאכותית שאין לקבלה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בעת שנמלט המערער מן הארץ היה ביכולתו להניח שההליך הפלילי יוסיף להתנהל בהיעדרו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במסגרת זו יישמעו עדים וייקבעו ממצאים העשויים להשפיע במידה כזו או אחרת על הדיון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קבלת הטענה כי עילת הפסלות התגבשה בשל הכרעת הדין שניתנה בעניינם של הנאשמים האחרים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ויותר לאחר בריחת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בה לא רק כדי להקנות למערער יתרון בלתי הוגן על פני הנאשמים האחרים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אף תתמרץ הימלטות ממושכת מאימת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אף לגופו של 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כי טענות המערער מבססות עילה לפסילת המותב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עילת הפסלות הנטענת אינה נסמכת על העובדה שחברי ההרכב דנו במשפטם של הנאשמים האחרים 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והמערער אף אינו טוען שההרכב נחשף לחומר ראיות בלתי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קביל העשוי להשפיע על עמדתו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מתמקד בהכרעת הדין שניתנה ביחס לאותם נאשמים אחרים – ממנה עולה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לגישתו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המותב קבע ממצאים וגיבש דעה גם בנוגע אליו ולעבירות המיוחסות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 נקבע לא אחת כי העובדה שמותב הכריע בעניינם של חלק מהנאשמים בפרשה מסוימת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מקימה כשלעצמה עילה לפסילתו מלדון בעניינו של נאשם נוסף שדינו טרם הוכרע – וזאת אף כשמדובר במסכת עובדתית דומה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וכשאותם העֵדים מעידים ביחס לכל הנאשמים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זה יפה למצבים בהם הוגש כתב אישום נגד מספר נאשמים במאוחד וכן למצבים שמשפטיהם מתנהלים בנפרד או שהדיון בעניינם אוחד בחלקו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שרק חלק מהעדים נשמעו במשותף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ייתכנו מקרים חריגים בהם התבטאויות או קביעות של המותב בעניינם של נאשמים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תבססנה עילת פסלות ביחס לנאשם שדינו טרם הוכרע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 יש לבחון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מהות קביעותיו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מידת נחרצותן ואת השלכותיהן האפשריות על עניינו של מבקש הפסלות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האם בענייננו תוכןּ הכרעת הדין ביחס לנאשמים האחרים מקים עילת פסלות בשל חשש ממשי למשוא פנים מצד המותב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להבחין בין התרשמות חברי ההרכב מעדי התביעה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כללי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ברמת המאקרו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ובין הקביעות הפרטניות הנוגעות למהימנות העדים בזיקה לכל אחד מן האישומים והנאשמים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בקביעות הכלליות בעניין מהימנותו של מי מהעדים הללו כדי לבסס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כשלעצמן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חשש ממשי למשוא פנים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שהדבר נוגע למערער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ולעניין זה יפים הדברים שנאמרו בעניין פחימה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עיון בציטוטים מתוך הכרעת הדין עליהם מסתמך המערער בטענותיו והנוגעים לאישומים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המיוחסים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מעלה כי הטענה בדבר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נעילת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דעתם של חברי ההרכב לעניין אשמת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היא משוללת יסוד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חברי ההרכב התייחסו אמנם למהימנותם של עדי המדינה בהקשר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וציינו למשל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העדויות של שניים מהם ביחס לאישום השלישי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תואמות ומשלימות זו את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 יש לזכור כי באי כוחו של המערער חקרו את העדים הללו בחקירה נגדית ומשכך קשה לטעון כי נשללה ממנו ההזדמנות להתמודד עם גרסאותיהם של עדי התביעה ולערערן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פרשת ההגנה תינתן למערער האפשרות להציג ראיות ועדויות שטרם הוצגו בפני חברי ההרכב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ולשכנעם באמיתות גרסתו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כי יכול שעדותו של עד באותו משפט ממש תזכה לסינון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וחלק מדבריו יתקבל כאמין וחלק אחר יידחה ככוזב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הדין בעניין עדויותיו של עד נגד נאשמים 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להגיע לכלל מסקנה כי העדות נגד נאשם פלוני היא מבוססת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בו בזמן שהעדות נגד נאשם אחר היא בלתי אמינה או מופרכת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עיון בציטוטים מהכרעת הדין אליהם הפנה המערער מעלה כי הוא מוזכר בהם באופן עקיף בלבד ומבלי שנקבעו לגביו ממצאים עובדתיים קונקרטיים ומנומקים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כי אין מדובר בקביעות עובדתיות  או משפטיות מובהקות ביחס למערער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במסקנות שמהן יתקשו חברי ההרכב לסטות בהמשך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בכך שונה ענייננו מעניין כהן שעליו מסתמך המערער בטענותיו או מעניין אבו עמארה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_Hlk126142469"/>
      <w:bookmarkStart w:id="9" w:name="ABSTRACT_END"/>
      <w:bookmarkStart w:id="10" w:name="_Hlk126142469"/>
      <w:bookmarkStart w:id="11" w:name="ABSTRACT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FrankRuehl" w:hAnsi="FrankRuehl"/>
          <w:sz w:val="28"/>
        </w:rPr>
      </w:pPr>
      <w:bookmarkStart w:id="15" w:name="Writer_Name"/>
      <w:bookmarkEnd w:id="15"/>
      <w:r>
        <w:rPr>
          <w:rFonts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ערעור על ה</w:t>
      </w:r>
      <w:r>
        <w:rPr>
          <w:rFonts w:ascii="FrankRuehl" w:hAnsi="FrankRuehl"/>
          <w:sz w:val="28"/>
          <w:sz w:val="28"/>
          <w:rtl w:val="true"/>
        </w:rPr>
        <w:t>חלטת</w:t>
      </w:r>
      <w:r>
        <w:rPr>
          <w:rFonts w:ascii="FrankRuehl" w:hAnsi="FrankRuehl"/>
          <w:sz w:val="28"/>
          <w:sz w:val="28"/>
          <w:rtl w:val="true"/>
        </w:rPr>
        <w:t xml:space="preserve"> בית המשפט המחוזי בתל אביב</w:t>
      </w:r>
      <w:r>
        <w:rPr>
          <w:rFonts w:ascii="FrankRuehl" w:hAnsi="FrankRuehl"/>
          <w:sz w:val="28"/>
          <w:rtl w:val="true"/>
        </w:rPr>
        <w:t>-</w:t>
      </w:r>
      <w:r>
        <w:rPr>
          <w:rFonts w:ascii="FrankRuehl" w:hAnsi="FrankRuehl"/>
          <w:sz w:val="28"/>
          <w:sz w:val="28"/>
          <w:rtl w:val="true"/>
        </w:rPr>
        <w:t xml:space="preserve">יפו </w:t>
      </w:r>
      <w:r>
        <w:rPr>
          <w:rFonts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רביד</w:t>
      </w:r>
      <w:r>
        <w:rPr>
          <w:rFonts w:ascii="FrankRuehl" w:hAnsi="FrankRuehl"/>
          <w:sz w:val="28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FrankRuehl" w:hAnsi="FrankRuehl"/>
          <w:sz w:val="28"/>
          <w:sz w:val="28"/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יניב</w:t>
      </w:r>
      <w:r>
        <w:rPr>
          <w:rFonts w:ascii="FrankRuehl" w:hAnsi="FrankRuehl"/>
          <w:sz w:val="28"/>
          <w:rtl w:val="true"/>
        </w:rPr>
        <w:t xml:space="preserve">) </w:t>
      </w:r>
      <w:r>
        <w:rPr>
          <w:rFonts w:ascii="FrankRuehl" w:hAnsi="FrankRuehl"/>
          <w:sz w:val="28"/>
          <w:sz w:val="28"/>
          <w:rtl w:val="true"/>
        </w:rPr>
        <w:t xml:space="preserve">מיום </w:t>
      </w:r>
      <w:r>
        <w:rPr>
          <w:rFonts w:ascii="FrankRuehl" w:hAnsi="FrankRuehl"/>
          <w:sz w:val="28"/>
        </w:rPr>
        <w:t>29.11.2022</w:t>
      </w:r>
      <w:r>
        <w:rPr>
          <w:rFonts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</w:t>
      </w:r>
      <w:hyperlink r:id="rId7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תפ</w:t>
        </w:r>
        <w:r>
          <w:rPr>
            <w:rStyle w:val="Hyperlink"/>
            <w:rFonts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ח </w:t>
        </w:r>
        <w:r>
          <w:rPr>
            <w:rStyle w:val="Hyperlink"/>
            <w:rFonts w:ascii="FrankRuehl" w:hAnsi="FrankRuehl"/>
            <w:color w:val="0000FF"/>
            <w:sz w:val="28"/>
            <w:u w:val="single"/>
          </w:rPr>
          <w:t>31343-04-19</w:t>
        </w:r>
      </w:hyperlink>
      <w:r>
        <w:rPr>
          <w:rFonts w:ascii="FrankRuehl" w:hAnsi="FrankRuehl"/>
          <w:sz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sz w:val="28"/>
          <w:sz w:val="28"/>
          <w:rtl w:val="true"/>
        </w:rPr>
        <w:t>שבה נדחתה בקשת המערער לפסילת שלושת חברי ההרכב מלדון בעניינו</w:t>
      </w:r>
      <w:r>
        <w:rPr>
          <w:rFonts w:ascii="FrankRuehl" w:hAnsi="FrankRuehl"/>
          <w:sz w:val="28"/>
          <w:rtl w:val="true"/>
        </w:rPr>
        <w:t>.</w:t>
      </w:r>
    </w:p>
    <w:p>
      <w:pPr>
        <w:pStyle w:val="Ruller43"/>
        <w:ind w:end="0"/>
        <w:jc w:val="both"/>
        <w:rPr>
          <w:rFonts w:ascii="FrankRuehl" w:hAnsi="FrankRuehl"/>
          <w:sz w:val="28"/>
        </w:rPr>
      </w:pPr>
      <w:r>
        <w:rPr>
          <w:rFonts w:ascii="FrankRuehl" w:hAnsi="FrankRuehl"/>
          <w:sz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והחלטת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המותב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ההליך נושא הערעור דנן </w:t>
      </w:r>
      <w:r>
        <w:rPr>
          <w:rtl w:val="true"/>
        </w:rPr>
        <w:t>(</w:t>
      </w:r>
      <w:r>
        <w:rPr>
          <w:rtl w:val="true"/>
        </w:rPr>
        <w:t>אשר נפתח במקור ב</w:t>
      </w:r>
      <w:hyperlink r:id="rId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24984-07-15</w:t>
        </w:r>
      </w:hyperlink>
      <w:r>
        <w:rPr>
          <w:rtl w:val="true"/>
        </w:rPr>
        <w:t xml:space="preserve">)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עוסק בפרשה הידועה בתור </w:t>
      </w:r>
      <w:r>
        <w:rPr>
          <w:rtl w:val="true"/>
        </w:rPr>
        <w:t>"</w:t>
      </w:r>
      <w:r>
        <w:rPr>
          <w:rtl w:val="true"/>
        </w:rPr>
        <w:t xml:space="preserve">פרשה </w:t>
      </w:r>
      <w:r>
        <w:rPr/>
        <w:t>512</w:t>
      </w:r>
      <w:r>
        <w:rPr>
          <w:rtl w:val="true"/>
        </w:rPr>
        <w:t xml:space="preserve">". </w:t>
      </w:r>
      <w:r>
        <w:rPr>
          <w:rtl w:val="true"/>
        </w:rPr>
        <w:t xml:space="preserve">בשנת 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הוגש בפרשה זו כתב אישום נגד מספר נאשמים בגין שורה של  עבירות שבוצעו במסגרת ארגון פשיעה בינלאומי</w:t>
      </w:r>
      <w:r>
        <w:rPr>
          <w:rtl w:val="true"/>
        </w:rPr>
        <w:t xml:space="preserve">. </w:t>
      </w:r>
      <w:r>
        <w:rPr>
          <w:rtl w:val="true"/>
        </w:rPr>
        <w:t xml:space="preserve">אישומים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בכתב האישום מייחסים לחלק מהנאשמים</w:t>
      </w:r>
      <w:r>
        <w:rPr>
          <w:rtl w:val="true"/>
        </w:rPr>
        <w:t xml:space="preserve">, </w:t>
      </w:r>
      <w:r>
        <w:rPr>
          <w:rtl w:val="true"/>
        </w:rPr>
        <w:t>ובהם המערער</w:t>
      </w:r>
      <w:r>
        <w:rPr>
          <w:rtl w:val="true"/>
        </w:rPr>
        <w:t xml:space="preserve">, </w:t>
      </w:r>
      <w:r>
        <w:rPr>
          <w:rtl w:val="true"/>
        </w:rPr>
        <w:t>עבירות רצח ועבירת ניסיון רצח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כעולה מן ההחלטה נושא הערעור שלפניי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10.10.2018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לאחר סיום פרשת התביעה בהליך וערב תחילת פרשת ההגנה </w:t>
      </w:r>
      <w:r>
        <w:rPr>
          <w:rtl w:val="true"/>
        </w:rPr>
        <w:t>–</w:t>
      </w:r>
      <w:r>
        <w:rPr>
          <w:rtl w:val="true"/>
        </w:rPr>
        <w:t xml:space="preserve"> ניצל המערער </w:t>
      </w:r>
      <w:r>
        <w:rPr>
          <w:rtl w:val="true"/>
        </w:rPr>
        <w:t>"</w:t>
      </w:r>
      <w:r>
        <w:rPr>
          <w:rtl w:val="true"/>
        </w:rPr>
        <w:t>חלון התאווררות</w:t>
      </w:r>
      <w:r>
        <w:rPr>
          <w:rtl w:val="true"/>
        </w:rPr>
        <w:t xml:space="preserve">" </w:t>
      </w:r>
      <w:r>
        <w:rPr>
          <w:rtl w:val="true"/>
        </w:rPr>
        <w:t>שניתן לו מן האיזוק האלקטרוני</w:t>
      </w:r>
      <w:r>
        <w:rPr>
          <w:rtl w:val="true"/>
        </w:rPr>
        <w:t xml:space="preserve">, </w:t>
      </w:r>
      <w:r>
        <w:rPr>
          <w:rtl w:val="true"/>
        </w:rPr>
        <w:t>ונמלט מישראל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23.10.2018</w:t>
      </w:r>
      <w:r>
        <w:rPr>
          <w:rtl w:val="true"/>
        </w:rPr>
        <w:t xml:space="preserve"> </w:t>
      </w:r>
      <w:r>
        <w:rPr>
          <w:rtl w:val="true"/>
        </w:rPr>
        <w:t>הותלו ההליכים נגד המערער</w:t>
      </w:r>
      <w:r>
        <w:rPr>
          <w:rtl w:val="true"/>
        </w:rPr>
        <w:t xml:space="preserve">, </w:t>
      </w:r>
      <w:r>
        <w:rPr>
          <w:rtl w:val="true"/>
        </w:rPr>
        <w:t>בהסכמת באי</w:t>
      </w:r>
      <w:r>
        <w:rPr>
          <w:rtl w:val="true"/>
        </w:rPr>
        <w:t>-</w:t>
      </w:r>
      <w:r>
        <w:rPr>
          <w:rtl w:val="true"/>
        </w:rPr>
        <w:t xml:space="preserve">כוחו ובהתאם </w:t>
      </w:r>
      <w:hyperlink r:id="rId9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. </w:t>
      </w:r>
      <w:r>
        <w:rPr>
          <w:rtl w:val="true"/>
        </w:rPr>
        <w:t>ההליך המשיך להתנהל כסדרו ביחס ליתר הנאשמים בפרשה ועם חלקם אף נחתמו הסדרי טיעון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16.11.2021</w:t>
      </w:r>
      <w:r>
        <w:rPr>
          <w:rtl w:val="true"/>
        </w:rPr>
        <w:t xml:space="preserve"> </w:t>
      </w:r>
      <w:r>
        <w:rPr>
          <w:rtl w:val="true"/>
        </w:rPr>
        <w:t xml:space="preserve">ניתנה הכרעת דין ביחס לנאשמים אחרים בפרשה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tl w:val="true"/>
        </w:rPr>
        <w:t xml:space="preserve">); </w:t>
      </w:r>
      <w:r>
        <w:rPr>
          <w:rtl w:val="true"/>
        </w:rPr>
        <w:t xml:space="preserve">וביום </w:t>
      </w:r>
      <w:r>
        <w:rPr/>
        <w:t>28.6.2022</w:t>
      </w:r>
      <w:r>
        <w:rPr>
          <w:rtl w:val="true"/>
        </w:rPr>
        <w:t xml:space="preserve"> </w:t>
      </w:r>
      <w:r>
        <w:rPr>
          <w:rtl w:val="true"/>
        </w:rPr>
        <w:t>ניתן גזר דין אשר סיים את ההליך בערכאה הדיונית</w:t>
      </w:r>
      <w:r>
        <w:rPr>
          <w:rtl w:val="true"/>
        </w:rPr>
        <w:t xml:space="preserve">. </w:t>
      </w:r>
      <w:r>
        <w:rPr>
          <w:rtl w:val="true"/>
        </w:rPr>
        <w:t>ערעורים שהוגשו לבית משפט זה על הכרעת הדין וגזר הדין</w:t>
      </w:r>
      <w:r>
        <w:rPr>
          <w:rtl w:val="true"/>
        </w:rPr>
        <w:t xml:space="preserve">, </w:t>
      </w:r>
      <w:r>
        <w:rPr>
          <w:rtl w:val="true"/>
        </w:rPr>
        <w:t>עודם תלויים ועומדים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24.8.2022</w:t>
      </w:r>
      <w:r>
        <w:rPr>
          <w:rtl w:val="true"/>
        </w:rPr>
        <w:t xml:space="preserve">, </w:t>
      </w:r>
      <w:r>
        <w:rPr>
          <w:rtl w:val="true"/>
        </w:rPr>
        <w:t>ארבע שנים בקירוב לאחר הימלטותו</w:t>
      </w:r>
      <w:r>
        <w:rPr>
          <w:rtl w:val="true"/>
        </w:rPr>
        <w:t xml:space="preserve">, </w:t>
      </w:r>
      <w:r>
        <w:rPr>
          <w:rtl w:val="true"/>
        </w:rPr>
        <w:t>נעצר המערער עם שובו לישראל</w:t>
      </w:r>
      <w:r>
        <w:rPr>
          <w:rtl w:val="true"/>
        </w:rPr>
        <w:t xml:space="preserve">, </w:t>
      </w:r>
      <w:r>
        <w:rPr>
          <w:rtl w:val="true"/>
        </w:rPr>
        <w:t>ובו ביום הודיעה המשיבה על חידוש ההליכים נגדו</w:t>
      </w:r>
      <w:r>
        <w:rPr>
          <w:rtl w:val="true"/>
        </w:rPr>
        <w:t xml:space="preserve">. </w:t>
      </w:r>
      <w:r>
        <w:rPr>
          <w:rtl w:val="true"/>
        </w:rPr>
        <w:t xml:space="preserve">באותו היום אף ניתנה החלטת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רביד</w:t>
      </w:r>
      <w:r>
        <w:rPr>
          <w:rtl w:val="true"/>
        </w:rPr>
        <w:t xml:space="preserve"> המורה על חידוש ההליכים ונקבע דיון תזכורת בפניה</w:t>
      </w:r>
      <w:r>
        <w:rPr>
          <w:rtl w:val="true"/>
        </w:rPr>
        <w:t xml:space="preserve">. </w:t>
      </w:r>
      <w:r>
        <w:rPr>
          <w:rtl w:val="true"/>
        </w:rPr>
        <w:t xml:space="preserve">בפועל התקיימו שני דיוני תזכורת בפני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רביד</w:t>
      </w:r>
      <w:r>
        <w:rPr>
          <w:rtl w:val="true"/>
        </w:rPr>
        <w:t xml:space="preserve">: </w:t>
      </w:r>
      <w:r>
        <w:rPr>
          <w:rtl w:val="true"/>
        </w:rPr>
        <w:t xml:space="preserve">ביום </w:t>
      </w:r>
      <w:r>
        <w:rPr/>
        <w:t>13.9.2022</w:t>
      </w:r>
      <w:r>
        <w:rPr>
          <w:rtl w:val="true"/>
        </w:rPr>
        <w:t xml:space="preserve"> </w:t>
      </w:r>
      <w:r>
        <w:rPr>
          <w:rtl w:val="true"/>
        </w:rPr>
        <w:t xml:space="preserve">וביום </w:t>
      </w:r>
      <w:r>
        <w:rPr/>
        <w:t>3.10.2022</w:t>
      </w:r>
      <w:r>
        <w:rPr>
          <w:rtl w:val="true"/>
        </w:rPr>
        <w:t xml:space="preserve">. </w:t>
      </w:r>
      <w:r>
        <w:rPr>
          <w:rtl w:val="true"/>
        </w:rPr>
        <w:t>בפתח הדיון השני ציין בא</w:t>
      </w:r>
      <w:r>
        <w:rPr>
          <w:rtl w:val="true"/>
        </w:rPr>
        <w:t>-</w:t>
      </w:r>
      <w:r>
        <w:rPr>
          <w:rtl w:val="true"/>
        </w:rPr>
        <w:t xml:space="preserve">כוח המערער כי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 </w:t>
      </w:r>
      <w:r>
        <w:rPr>
          <w:rtl w:val="true"/>
        </w:rPr>
        <w:t>וכרגע</w:t>
      </w:r>
      <w:r>
        <w:rPr>
          <w:rtl w:val="true"/>
        </w:rPr>
        <w:t xml:space="preserve"> </w:t>
      </w:r>
      <w:r>
        <w:rPr>
          <w:rtl w:val="true"/>
        </w:rPr>
        <w:t>אפשר</w:t>
      </w:r>
      <w:r>
        <w:rPr>
          <w:rtl w:val="true"/>
        </w:rPr>
        <w:t xml:space="preserve"> </w:t>
      </w:r>
      <w:r>
        <w:rPr>
          <w:rtl w:val="true"/>
        </w:rPr>
        <w:t>להתקדם</w:t>
      </w:r>
      <w:r>
        <w:rPr>
          <w:rtl w:val="true"/>
        </w:rPr>
        <w:t xml:space="preserve"> </w:t>
      </w:r>
      <w:r>
        <w:rPr>
          <w:rtl w:val="true"/>
        </w:rPr>
        <w:t>במסלול</w:t>
      </w:r>
      <w:r>
        <w:rPr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", </w:t>
      </w:r>
      <w:r>
        <w:rPr>
          <w:rtl w:val="true"/>
        </w:rPr>
        <w:t xml:space="preserve">והמערער פנה בעצמו לשופטת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רביד</w:t>
      </w:r>
      <w:r>
        <w:rPr>
          <w:rtl w:val="true"/>
        </w:rPr>
        <w:t xml:space="preserve"> וביקש ממנה לפסול את עצמה בציינו כי </w:t>
      </w:r>
      <w:r>
        <w:rPr>
          <w:rtl w:val="true"/>
        </w:rPr>
        <w:t>"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ההחלטות</w:t>
      </w:r>
      <w:r>
        <w:rPr>
          <w:rtl w:val="true"/>
        </w:rPr>
        <w:t xml:space="preserve"> </w:t>
      </w:r>
      <w:r>
        <w:rPr>
          <w:rtl w:val="true"/>
        </w:rPr>
        <w:t>שברחתי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בגללך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בגלל</w:t>
      </w:r>
      <w:r>
        <w:rPr>
          <w:rtl w:val="true"/>
        </w:rPr>
        <w:t xml:space="preserve"> </w:t>
      </w:r>
      <w:r>
        <w:rPr>
          <w:rtl w:val="true"/>
        </w:rPr>
        <w:t>איך</w:t>
      </w:r>
      <w:r>
        <w:rPr>
          <w:rtl w:val="true"/>
        </w:rPr>
        <w:t xml:space="preserve"> </w:t>
      </w:r>
      <w:r>
        <w:rPr>
          <w:rtl w:val="true"/>
        </w:rPr>
        <w:t>שהתנהל</w:t>
      </w:r>
      <w:r>
        <w:rPr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" (</w:t>
      </w:r>
      <w:r>
        <w:rPr>
          <w:rtl w:val="true"/>
        </w:rPr>
        <w:t>כך במקור</w:t>
      </w:r>
      <w:r>
        <w:rPr>
          <w:rtl w:val="true"/>
        </w:rPr>
        <w:t xml:space="preserve">).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ביקש להעלות טענת פסלות בישיבה הבאה</w:t>
      </w:r>
      <w:r>
        <w:rPr>
          <w:rtl w:val="true"/>
        </w:rPr>
        <w:t xml:space="preserve">, </w:t>
      </w:r>
      <w:r>
        <w:rPr>
          <w:rtl w:val="true"/>
        </w:rPr>
        <w:t xml:space="preserve">והשופטת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רביד</w:t>
      </w:r>
      <w:r>
        <w:rPr>
          <w:rtl w:val="true"/>
        </w:rPr>
        <w:t xml:space="preserve"> הורתה לו להגיש בקשת פסלות בכתב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בקשת הפסלות הוגשה ביום </w:t>
      </w:r>
      <w:r>
        <w:rPr/>
        <w:t>24.10.2022</w:t>
      </w:r>
      <w:r>
        <w:rPr>
          <w:rtl w:val="true"/>
        </w:rPr>
        <w:t xml:space="preserve">, </w:t>
      </w:r>
      <w:r>
        <w:rPr>
          <w:rtl w:val="true"/>
        </w:rPr>
        <w:t xml:space="preserve">ובה טען המערער כי בהכרעת הדין </w:t>
      </w:r>
      <w:r>
        <w:rPr>
          <w:rtl w:val="true"/>
        </w:rPr>
        <w:t>–</w:t>
      </w:r>
      <w:r>
        <w:rPr>
          <w:rtl w:val="true"/>
        </w:rPr>
        <w:t xml:space="preserve"> אשר מחזיקה כ</w:t>
      </w:r>
      <w:r>
        <w:rPr>
          <w:rtl w:val="true"/>
        </w:rPr>
        <w:t>-</w:t>
      </w:r>
      <w:r>
        <w:rPr/>
        <w:t>800</w:t>
      </w:r>
      <w:r>
        <w:rPr>
          <w:rtl w:val="true"/>
        </w:rPr>
        <w:t xml:space="preserve"> </w:t>
      </w:r>
      <w:r>
        <w:rPr>
          <w:rtl w:val="true"/>
        </w:rPr>
        <w:t>עמודים ועוסקת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בעניינם של רבים מן הנאשמים האחרים בפרשה </w:t>
      </w:r>
      <w:r>
        <w:rPr>
          <w:rtl w:val="true"/>
        </w:rPr>
        <w:t>–</w:t>
      </w:r>
      <w:r>
        <w:rPr>
          <w:rtl w:val="true"/>
        </w:rPr>
        <w:t xml:space="preserve"> הובעה </w:t>
      </w:r>
      <w:r>
        <w:rPr>
          <w:rtl w:val="true"/>
        </w:rPr>
        <w:t>"</w:t>
      </w:r>
      <w:r>
        <w:rPr>
          <w:rtl w:val="true"/>
        </w:rPr>
        <w:t>דעה נחרצת</w:t>
      </w:r>
      <w:r>
        <w:rPr>
          <w:rtl w:val="true"/>
        </w:rPr>
        <w:t xml:space="preserve">" </w:t>
      </w:r>
      <w:r>
        <w:rPr>
          <w:rtl w:val="true"/>
        </w:rPr>
        <w:t>מצד חברי ההרכב וקביעות הנוגעות במישרין למערער ולחלקו בפרשה</w:t>
      </w:r>
      <w:r>
        <w:rPr>
          <w:rtl w:val="true"/>
        </w:rPr>
        <w:t xml:space="preserve">. </w:t>
      </w:r>
      <w:r>
        <w:rPr>
          <w:rtl w:val="true"/>
        </w:rPr>
        <w:t xml:space="preserve">בתוך כך נטען כי ניתנה הכרעה </w:t>
      </w:r>
      <w:r>
        <w:rPr>
          <w:rtl w:val="true"/>
        </w:rPr>
        <w:t>"</w:t>
      </w:r>
      <w:r>
        <w:rPr>
          <w:rtl w:val="true"/>
        </w:rPr>
        <w:t>חדה וברורה</w:t>
      </w:r>
      <w:r>
        <w:rPr>
          <w:rtl w:val="true"/>
        </w:rPr>
        <w:t xml:space="preserve">" </w:t>
      </w:r>
      <w:r>
        <w:rPr>
          <w:rtl w:val="true"/>
        </w:rPr>
        <w:t>ביחס למהימנות עדי המדינה בהליך</w:t>
      </w:r>
      <w:r>
        <w:rPr>
          <w:rtl w:val="true"/>
        </w:rPr>
        <w:t xml:space="preserve">, </w:t>
      </w:r>
      <w:r>
        <w:rPr>
          <w:rtl w:val="true"/>
        </w:rPr>
        <w:t xml:space="preserve">ובפרט למהימנותו של עֵד המכונה </w:t>
      </w:r>
      <w:r>
        <w:rPr>
          <w:rtl w:val="true"/>
        </w:rPr>
        <w:t>"</w:t>
      </w:r>
      <w:r>
        <w:rPr>
          <w:rtl w:val="true"/>
        </w:rPr>
        <w:t>בומבי</w:t>
      </w:r>
      <w:r>
        <w:rPr>
          <w:rtl w:val="true"/>
        </w:rPr>
        <w:t xml:space="preserve">", </w:t>
      </w:r>
      <w:r>
        <w:rPr>
          <w:rtl w:val="true"/>
        </w:rPr>
        <w:t xml:space="preserve">וכי ההרכב הכריע בשאלה העובדתית </w:t>
      </w:r>
      <w:r>
        <w:rPr>
          <w:rtl w:val="true"/>
        </w:rPr>
        <w:t>"</w:t>
      </w:r>
      <w:r>
        <w:rPr>
          <w:rtl w:val="true"/>
        </w:rPr>
        <w:t>הכמעט יחידה</w:t>
      </w:r>
      <w:r>
        <w:rPr>
          <w:rtl w:val="true"/>
        </w:rPr>
        <w:t xml:space="preserve">" </w:t>
      </w:r>
      <w:r>
        <w:rPr>
          <w:rtl w:val="true"/>
        </w:rPr>
        <w:t>שטעונה הכרעה בעניינו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והיא </w:t>
      </w:r>
      <w:r>
        <w:rPr>
          <w:rtl w:val="true"/>
        </w:rPr>
        <w:t>–</w:t>
      </w:r>
      <w:r>
        <w:rPr>
          <w:rtl w:val="true"/>
        </w:rPr>
        <w:t xml:space="preserve"> האם המערער סיפק את ה</w:t>
      </w:r>
      <w:r>
        <w:rPr>
          <w:rtl w:val="true"/>
        </w:rPr>
        <w:t>שַׁלָּטִים</w:t>
      </w:r>
      <w:r>
        <w:rPr>
          <w:rtl w:val="true"/>
        </w:rPr>
        <w:t xml:space="preserve"> למתקני החבלה שבהם נעשה שימוש באירועים נושא אישומים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המשיבה הודיעה כי היא מתנגדת לפסילת המותב</w:t>
      </w:r>
      <w:r>
        <w:rPr>
          <w:rtl w:val="true"/>
        </w:rPr>
        <w:t xml:space="preserve">. </w:t>
      </w:r>
      <w:r>
        <w:rPr>
          <w:rtl w:val="true"/>
        </w:rPr>
        <w:t>בתגובתה הדגישה המשיבה כי פרשת ההגנה בעניינו של המערער טרם נשמעה</w:t>
      </w:r>
      <w:r>
        <w:rPr>
          <w:rtl w:val="true"/>
        </w:rPr>
        <w:t xml:space="preserve">, </w:t>
      </w:r>
      <w:r>
        <w:rPr>
          <w:rtl w:val="true"/>
        </w:rPr>
        <w:t xml:space="preserve">ומשכך 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שוכללה</w:t>
      </w:r>
      <w:r>
        <w:rPr>
          <w:rtl w:val="true"/>
        </w:rPr>
        <w:t xml:space="preserve"> </w:t>
      </w:r>
      <w:r>
        <w:rPr>
          <w:rtl w:val="true"/>
        </w:rPr>
        <w:t>לממצאים</w:t>
      </w:r>
      <w:r>
        <w:rPr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 </w:t>
      </w:r>
      <w:r>
        <w:rPr>
          <w:rtl w:val="true"/>
        </w:rPr>
        <w:t>בהכרעת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ומכל מקום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 </w:t>
      </w:r>
      <w:r>
        <w:rPr>
          <w:rtl w:val="true"/>
        </w:rPr>
        <w:t>הנוגע</w:t>
      </w:r>
      <w:r>
        <w:rPr>
          <w:rtl w:val="true"/>
        </w:rPr>
        <w:t xml:space="preserve"> </w:t>
      </w:r>
      <w:r>
        <w:rPr>
          <w:rtl w:val="true"/>
        </w:rPr>
        <w:t>לעניינו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]".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 xml:space="preserve">קביעת ממצאי מהימנות ביחס לעדי התביעה אינה מלמדת דבר על חלקו של המערער בפרשה </w:t>
      </w:r>
      <w:r>
        <w:rPr>
          <w:rtl w:val="true"/>
        </w:rPr>
        <w:t>–</w:t>
      </w:r>
      <w:r>
        <w:rPr>
          <w:rtl w:val="true"/>
        </w:rPr>
        <w:t xml:space="preserve"> מה גם שחלקים מעדויות אלו לא היו במחלוקת באותה עת</w:t>
      </w:r>
      <w:r>
        <w:rPr>
          <w:rtl w:val="true"/>
        </w:rPr>
        <w:t xml:space="preserve">, </w:t>
      </w:r>
      <w:r>
        <w:rPr>
          <w:rtl w:val="true"/>
        </w:rPr>
        <w:t xml:space="preserve">ומשכך עדויות אלו </w:t>
      </w:r>
      <w:r>
        <w:rPr>
          <w:rtl w:val="true"/>
        </w:rPr>
        <w:t>"</w:t>
      </w:r>
      <w:r>
        <w:rPr>
          <w:rtl w:val="true"/>
        </w:rPr>
        <w:t>לא התלבנו לגופן</w:t>
      </w:r>
      <w:r>
        <w:rPr>
          <w:rtl w:val="true"/>
        </w:rPr>
        <w:t xml:space="preserve">" </w:t>
      </w:r>
      <w:r>
        <w:rPr>
          <w:rtl w:val="true"/>
        </w:rPr>
        <w:t>ולא נסתרו בפרשת ההגנה של הנאשמים האחרים</w:t>
      </w:r>
      <w:r>
        <w:rPr>
          <w:rtl w:val="true"/>
        </w:rPr>
        <w:t xml:space="preserve">. </w:t>
      </w:r>
      <w:r>
        <w:rPr>
          <w:rtl w:val="true"/>
        </w:rPr>
        <w:t>עוד הודגש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המערער נכח לכל אורך פרשת התביעה בהליך ובאי</w:t>
      </w:r>
      <w:r>
        <w:rPr>
          <w:rtl w:val="true"/>
        </w:rPr>
        <w:t>-</w:t>
      </w:r>
      <w:r>
        <w:rPr>
          <w:rtl w:val="true"/>
        </w:rPr>
        <w:t>כוחו חקרו את כל עדי המדינה</w:t>
      </w:r>
      <w:r>
        <w:rPr>
          <w:rtl w:val="true"/>
        </w:rPr>
        <w:t xml:space="preserve">, </w:t>
      </w:r>
      <w:r>
        <w:rPr>
          <w:rtl w:val="true"/>
        </w:rPr>
        <w:t>כך שניתנה לו אפשרות לערער את מהימנותם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27.11.2022</w:t>
      </w:r>
      <w:r>
        <w:rPr>
          <w:rtl w:val="true"/>
        </w:rPr>
        <w:t xml:space="preserve"> </w:t>
      </w:r>
      <w:r>
        <w:rPr>
          <w:rtl w:val="true"/>
        </w:rPr>
        <w:t>התקיים דיון במעמד הצדדים</w:t>
      </w:r>
      <w:r>
        <w:rPr>
          <w:rtl w:val="true"/>
        </w:rPr>
        <w:t xml:space="preserve">, </w:t>
      </w:r>
      <w:r>
        <w:rPr>
          <w:rtl w:val="true"/>
        </w:rPr>
        <w:t>אך הצדדים לא טענו ביחס לבקשת הפסלות</w:t>
      </w:r>
      <w:r>
        <w:rPr>
          <w:rtl w:val="true"/>
        </w:rPr>
        <w:t xml:space="preserve">. </w:t>
      </w:r>
      <w:r>
        <w:rPr>
          <w:rtl w:val="true"/>
        </w:rPr>
        <w:t>חלף זאת הוסכם שהמערער יגיש השלמת טיעון כתובה וכי ההחלטה תינתן על סמך החומרים הכתובים</w:t>
      </w:r>
      <w:r>
        <w:rPr>
          <w:rtl w:val="true"/>
        </w:rPr>
        <w:t xml:space="preserve">. </w:t>
      </w:r>
      <w:r>
        <w:rPr>
          <w:rtl w:val="true"/>
        </w:rPr>
        <w:t>בהשלמת הטיעון מטעמו טען המערער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ענייננו שונה מתרחיש שבו המותב נדרש לדון בראיה חדשה שהתגלתה בשלב מאוחר</w:t>
      </w:r>
      <w:r>
        <w:rPr>
          <w:rtl w:val="true"/>
        </w:rPr>
        <w:t xml:space="preserve">, </w:t>
      </w:r>
      <w:r>
        <w:rPr>
          <w:rtl w:val="true"/>
        </w:rPr>
        <w:t xml:space="preserve">שכן בענייננו </w:t>
      </w:r>
      <w:r>
        <w:rPr>
          <w:rtl w:val="true"/>
        </w:rPr>
        <w:t>"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קבלת</w:t>
      </w:r>
      <w:r>
        <w:rPr>
          <w:rtl w:val="true"/>
        </w:rPr>
        <w:t xml:space="preserve"> </w:t>
      </w:r>
      <w:r>
        <w:rPr>
          <w:rtl w:val="true"/>
        </w:rPr>
        <w:t>גרסת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במלואה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שמשמעותה</w:t>
      </w:r>
      <w:r>
        <w:rPr>
          <w:rtl w:val="true"/>
        </w:rPr>
        <w:t xml:space="preserve">, </w:t>
      </w:r>
      <w:r>
        <w:rPr>
          <w:rtl w:val="true"/>
        </w:rPr>
        <w:t>דחיית</w:t>
      </w:r>
      <w:r>
        <w:rPr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בטרם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נשמעה</w:t>
      </w:r>
      <w:r>
        <w:rPr>
          <w:rtl w:val="true"/>
        </w:rPr>
        <w:t xml:space="preserve">". </w:t>
      </w:r>
      <w:r>
        <w:rPr>
          <w:rtl w:val="true"/>
        </w:rPr>
        <w:t>עוד טען המערער כי עילת הפסלות לא קמה עקב הימלטותו מן הדין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אלא בעקבות מתן הכרעת הדין המנומקת אשר כוללת ממצאים עובדתיים ומשפטיים בעניינו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29.11.2022</w:t>
      </w:r>
      <w:r>
        <w:rPr>
          <w:rtl w:val="true"/>
        </w:rPr>
        <w:t xml:space="preserve"> </w:t>
      </w:r>
      <w:r>
        <w:rPr>
          <w:rtl w:val="true"/>
        </w:rPr>
        <w:t>דחו חברי ההרכב את הבקשה לפסילתם</w:t>
      </w:r>
      <w:r>
        <w:rPr>
          <w:rtl w:val="true"/>
        </w:rPr>
        <w:t xml:space="preserve">. </w:t>
      </w:r>
      <w:r>
        <w:rPr>
          <w:rtl w:val="true"/>
        </w:rPr>
        <w:t xml:space="preserve">נקבע כי קבלת בקשת הפסלות משמעה </w:t>
      </w:r>
      <w:r>
        <w:rPr>
          <w:rtl w:val="true"/>
        </w:rPr>
        <w:t>"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לגיטימציה</w:t>
      </w:r>
      <w:r>
        <w:rPr>
          <w:rtl w:val="true"/>
        </w:rPr>
        <w:t xml:space="preserve"> </w:t>
      </w:r>
      <w:r>
        <w:rPr>
          <w:rtl w:val="true"/>
        </w:rPr>
        <w:t>לשיבוש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 </w:t>
      </w:r>
      <w:r>
        <w:rPr>
          <w:rtl w:val="true"/>
        </w:rPr>
        <w:t>ולדריסתו</w:t>
      </w:r>
      <w:r>
        <w:rPr>
          <w:rtl w:val="true"/>
        </w:rPr>
        <w:t xml:space="preserve"> </w:t>
      </w:r>
      <w:r>
        <w:rPr>
          <w:rtl w:val="true"/>
        </w:rPr>
        <w:t>ברגל</w:t>
      </w:r>
      <w:r>
        <w:rPr>
          <w:rtl w:val="true"/>
        </w:rPr>
        <w:t xml:space="preserve"> </w:t>
      </w:r>
      <w:r>
        <w:rPr>
          <w:rtl w:val="true"/>
        </w:rPr>
        <w:t>גסה</w:t>
      </w:r>
      <w:r>
        <w:rPr>
          <w:rtl w:val="true"/>
        </w:rPr>
        <w:t xml:space="preserve">" </w:t>
      </w:r>
      <w:r>
        <w:rPr>
          <w:rtl w:val="true"/>
        </w:rPr>
        <w:t>על ידי המערער</w:t>
      </w:r>
      <w:r>
        <w:rPr>
          <w:rtl w:val="true"/>
        </w:rPr>
        <w:t xml:space="preserve">, </w:t>
      </w:r>
      <w:r>
        <w:rPr>
          <w:rtl w:val="true"/>
        </w:rPr>
        <w:t>אשר זלזל ברשויות ובהליך המשפטי ונמלט מן הדין</w:t>
      </w:r>
      <w:r>
        <w:rPr>
          <w:rtl w:val="true"/>
        </w:rPr>
        <w:t xml:space="preserve">, </w:t>
      </w:r>
      <w:r>
        <w:rPr>
          <w:rtl w:val="true"/>
        </w:rPr>
        <w:t xml:space="preserve">וכי מדובר במתן </w:t>
      </w:r>
      <w:r>
        <w:rPr>
          <w:rtl w:val="true"/>
        </w:rPr>
        <w:t>"</w:t>
      </w:r>
      <w:r>
        <w:rPr>
          <w:rtl w:val="true"/>
        </w:rPr>
        <w:t>פרס</w:t>
      </w:r>
      <w:r>
        <w:rPr>
          <w:rtl w:val="true"/>
        </w:rPr>
        <w:t xml:space="preserve">" </w:t>
      </w:r>
      <w:r>
        <w:rPr>
          <w:rtl w:val="true"/>
        </w:rPr>
        <w:t xml:space="preserve">למערער בדמות מינוי מותב חדש אשר </w:t>
      </w:r>
      <w:r>
        <w:rPr>
          <w:rtl w:val="true"/>
        </w:rPr>
        <w:t>"</w:t>
      </w:r>
      <w:r>
        <w:rPr>
          <w:rtl w:val="true"/>
        </w:rPr>
        <w:t>יידרש</w:t>
      </w:r>
      <w:r>
        <w:rPr>
          <w:rtl w:val="true"/>
        </w:rPr>
        <w:t xml:space="preserve"> </w:t>
      </w:r>
      <w:r>
        <w:rPr>
          <w:rtl w:val="true"/>
        </w:rPr>
        <w:t>מהתחלה</w:t>
      </w:r>
      <w:r>
        <w:rPr>
          <w:rtl w:val="true"/>
        </w:rPr>
        <w:t xml:space="preserve"> </w:t>
      </w:r>
      <w:r>
        <w:rPr>
          <w:rtl w:val="true"/>
        </w:rPr>
        <w:t>למסכת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המורכבת</w:t>
      </w:r>
      <w:r>
        <w:rPr>
          <w:rtl w:val="true"/>
        </w:rPr>
        <w:t xml:space="preserve"> </w:t>
      </w:r>
      <w:r>
        <w:rPr>
          <w:rtl w:val="true"/>
        </w:rPr>
        <w:t>ועצומת</w:t>
      </w:r>
      <w:r>
        <w:rPr>
          <w:rtl w:val="true"/>
        </w:rPr>
        <w:t xml:space="preserve"> </w:t>
      </w:r>
      <w:r>
        <w:rPr>
          <w:rtl w:val="true"/>
        </w:rPr>
        <w:t>ההיקף</w:t>
      </w:r>
      <w:r>
        <w:rPr>
          <w:rtl w:val="true"/>
        </w:rPr>
        <w:t xml:space="preserve"> </w:t>
      </w:r>
      <w:r>
        <w:rPr>
          <w:rtl w:val="true"/>
        </w:rPr>
        <w:t>שבתיקנו</w:t>
      </w:r>
      <w:r>
        <w:rPr>
          <w:rtl w:val="true"/>
        </w:rPr>
        <w:t xml:space="preserve">". </w:t>
      </w:r>
      <w:r>
        <w:rPr>
          <w:rtl w:val="true"/>
        </w:rPr>
        <w:t xml:space="preserve">עוד נקבע כי </w:t>
      </w:r>
      <w:r>
        <w:rPr>
          <w:rtl w:val="true"/>
        </w:rPr>
        <w:t>"</w:t>
      </w:r>
      <w:r>
        <w:rPr>
          <w:rtl w:val="true"/>
        </w:rPr>
        <w:t>בהימלטותו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ויתר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ההתמודדות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", </w:t>
      </w:r>
      <w:r>
        <w:rPr>
          <w:rtl w:val="true"/>
        </w:rPr>
        <w:t xml:space="preserve">וכן ויתר על האפשרות לנהל את הגנתו </w:t>
      </w:r>
      <w:r>
        <w:rPr>
          <w:rtl w:val="true"/>
        </w:rPr>
        <w:t>"</w:t>
      </w:r>
      <w:r>
        <w:rPr>
          <w:rtl w:val="true"/>
        </w:rPr>
        <w:t>במועד ועל פי הסדר הרגיל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ועל כן הוא </w:t>
      </w:r>
      <w:r>
        <w:rPr>
          <w:rtl w:val="true"/>
        </w:rPr>
        <w:t>"</w:t>
      </w:r>
      <w:r>
        <w:rPr>
          <w:rtl w:val="true"/>
        </w:rPr>
        <w:t>מושתק</w:t>
      </w:r>
      <w:r>
        <w:rPr>
          <w:rtl w:val="true"/>
        </w:rPr>
        <w:t xml:space="preserve"> </w:t>
      </w:r>
      <w:r>
        <w:rPr>
          <w:rtl w:val="true"/>
        </w:rPr>
        <w:t>מלטעון</w:t>
      </w:r>
      <w:r>
        <w:rPr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 </w:t>
      </w:r>
      <w:r>
        <w:rPr>
          <w:rtl w:val="true"/>
        </w:rPr>
        <w:t>כנגד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מציאות</w:t>
      </w:r>
      <w:r>
        <w:rPr>
          <w:rtl w:val="true"/>
        </w:rPr>
        <w:t xml:space="preserve"> </w:t>
      </w:r>
      <w:r>
        <w:rPr>
          <w:rtl w:val="true"/>
        </w:rPr>
        <w:t>שיצר</w:t>
      </w:r>
      <w:r>
        <w:rPr>
          <w:rtl w:val="true"/>
        </w:rPr>
        <w:t xml:space="preserve">". </w:t>
      </w:r>
      <w:r>
        <w:rPr>
          <w:rtl w:val="true"/>
        </w:rPr>
        <w:t>בהקשר זה נקבע כי המערער נטל סיכון שההליך נגד שאר הנאשמים יסתיים בהיעדרו</w:t>
      </w:r>
      <w:r>
        <w:rPr>
          <w:rtl w:val="true"/>
        </w:rPr>
        <w:t xml:space="preserve">, </w:t>
      </w:r>
      <w:r>
        <w:rPr>
          <w:rtl w:val="true"/>
        </w:rPr>
        <w:t>וכי הוא יכול היה להניח שהכרעת דינם של הנאשמים האחרים תכלול ממצאים לגבי האישומים שיוחסו לו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חברי ההרכב קבעו כי די באמור לעיל כדי להצדיק את דחיית הבקשה על הסף</w:t>
      </w:r>
      <w:r>
        <w:rPr>
          <w:rtl w:val="true"/>
        </w:rPr>
        <w:t xml:space="preserve">, </w:t>
      </w:r>
      <w:r>
        <w:rPr>
          <w:rtl w:val="true"/>
        </w:rPr>
        <w:t>אך הוסיפו והתייחסו לנימוקי הבקשה לגופם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הוסבר כי הכרעת הדין נבנתה כך שבתחילה הוקדש פרק נפרד לעדי המדינה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מיהותם</w:t>
      </w:r>
      <w:r>
        <w:rPr>
          <w:rtl w:val="true"/>
        </w:rPr>
        <w:t xml:space="preserve">, </w:t>
      </w:r>
      <w:r>
        <w:rPr>
          <w:rtl w:val="true"/>
        </w:rPr>
        <w:t>נסיבות גיוסו של כל אחד מהם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ההתרשמות</w:t>
      </w:r>
      <w:r>
        <w:rPr>
          <w:rtl w:val="true"/>
        </w:rPr>
        <w:t xml:space="preserve"> </w:t>
      </w:r>
      <w:r>
        <w:rPr>
          <w:rtl w:val="true"/>
        </w:rPr>
        <w:t>מאופן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עדותם</w:t>
      </w:r>
      <w:r>
        <w:rPr>
          <w:rtl w:val="true"/>
        </w:rPr>
        <w:t xml:space="preserve"> </w:t>
      </w:r>
      <w:r>
        <w:rPr>
          <w:rtl w:val="true"/>
        </w:rPr>
        <w:t>וממהימנותם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tl w:val="true"/>
        </w:rPr>
        <w:t xml:space="preserve"> </w:t>
      </w:r>
      <w:r>
        <w:rPr>
          <w:rtl w:val="true"/>
        </w:rPr>
        <w:t>המאקרו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ובהמשך הובאה התייחסות פרטנית לכל אחד מהאישומים בנפרד</w:t>
      </w:r>
      <w:r>
        <w:rPr>
          <w:rtl w:val="true"/>
        </w:rPr>
        <w:t xml:space="preserve">. </w:t>
      </w:r>
      <w:r>
        <w:rPr>
          <w:rtl w:val="true"/>
        </w:rPr>
        <w:t>במסגרת זו זוכו חלק מהנאשמים מחלק מהעבירות</w:t>
      </w:r>
      <w:r>
        <w:rPr>
          <w:rtl w:val="true"/>
        </w:rPr>
        <w:t xml:space="preserve">, </w:t>
      </w:r>
      <w:r>
        <w:rPr>
          <w:rtl w:val="true"/>
        </w:rPr>
        <w:t>ואחרים הורשעו בעבירות אחרות מאלו שיוחסו להם</w:t>
      </w:r>
      <w:r>
        <w:rPr>
          <w:rtl w:val="true"/>
        </w:rPr>
        <w:t xml:space="preserve">. </w:t>
      </w:r>
      <w:r>
        <w:rPr>
          <w:rtl w:val="true"/>
        </w:rPr>
        <w:t>עוד הודגש כי לעתים נדחתה גרסתו של עֵד מדינה מסוים בסוגיה כזו או אחרת</w:t>
      </w:r>
      <w:r>
        <w:rPr>
          <w:rtl w:val="true"/>
        </w:rPr>
        <w:t xml:space="preserve">, </w:t>
      </w:r>
      <w:r>
        <w:rPr>
          <w:rtl w:val="true"/>
        </w:rPr>
        <w:t xml:space="preserve">אף שנקבע כי יש ליתן בו </w:t>
      </w:r>
      <w:r>
        <w:rPr>
          <w:rtl w:val="true"/>
        </w:rPr>
        <w:t>"</w:t>
      </w:r>
      <w:r>
        <w:rPr>
          <w:rtl w:val="true"/>
        </w:rPr>
        <w:t>אמון בסיסי</w:t>
      </w:r>
      <w:r>
        <w:rPr>
          <w:rtl w:val="true"/>
        </w:rPr>
        <w:t xml:space="preserve">". </w:t>
      </w:r>
      <w:r>
        <w:rPr>
          <w:rtl w:val="true"/>
        </w:rPr>
        <w:t>נוכח האמור הדגישו חברי ההרכב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ולנסיבותיו</w:t>
      </w:r>
      <w:r>
        <w:rPr>
          <w:rtl w:val="true"/>
        </w:rPr>
        <w:t xml:space="preserve">, </w:t>
      </w:r>
      <w:r>
        <w:rPr>
          <w:rtl w:val="true"/>
        </w:rPr>
        <w:t>לחוד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ולחוד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הספציפית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וכנגזרת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tl w:val="true"/>
        </w:rPr>
        <w:t xml:space="preserve">, </w:t>
      </w:r>
      <w:r>
        <w:rPr>
          <w:rtl w:val="true"/>
        </w:rPr>
        <w:t>מודעותו</w:t>
      </w:r>
      <w:r>
        <w:rPr>
          <w:rtl w:val="true"/>
        </w:rPr>
        <w:t xml:space="preserve">, </w:t>
      </w:r>
      <w:r>
        <w:rPr>
          <w:rtl w:val="true"/>
        </w:rPr>
        <w:t>ומהמחשבה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עוד הובהר כי הכרעת הדין לא כללה </w:t>
      </w:r>
      <w:r>
        <w:rPr>
          <w:rtl w:val="true"/>
        </w:rPr>
        <w:t>"</w:t>
      </w:r>
      <w:r>
        <w:rPr>
          <w:rtl w:val="true"/>
        </w:rPr>
        <w:t>התייחסות ספציפית כלשהי</w:t>
      </w:r>
      <w:r>
        <w:rPr>
          <w:rtl w:val="true"/>
        </w:rPr>
        <w:t xml:space="preserve">"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לא כל שכן קביעות בנוגע לאשמתו בביצוע העבירות שיוחסו לו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כך צוין</w:t>
      </w:r>
      <w:r>
        <w:rPr>
          <w:rtl w:val="true"/>
        </w:rPr>
        <w:t xml:space="preserve">, </w:t>
      </w:r>
      <w:r>
        <w:rPr>
          <w:rtl w:val="true"/>
        </w:rPr>
        <w:t xml:space="preserve">הערכת </w:t>
      </w:r>
      <w:r>
        <w:rPr>
          <w:rtl w:val="true"/>
        </w:rPr>
        <w:t>"</w:t>
      </w:r>
      <w:r>
        <w:rPr>
          <w:rtl w:val="true"/>
        </w:rPr>
        <w:t>מהימנותם הכוללת</w:t>
      </w:r>
      <w:r>
        <w:rPr>
          <w:rtl w:val="true"/>
        </w:rPr>
        <w:t xml:space="preserve">" </w:t>
      </w:r>
      <w:r>
        <w:rPr>
          <w:rtl w:val="true"/>
        </w:rPr>
        <w:t>של עדי התביעה בהכרעת הדין הסתמכה גם על החקירות הנגדיות שביצעו באי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באופן ספציפי ציינו חברי ההרכב כי מצאו לקבל את עדויותיהם של שני העדים שהעידו בסוגיית ה</w:t>
      </w:r>
      <w:r>
        <w:rPr>
          <w:rtl w:val="true"/>
        </w:rPr>
        <w:t>שַׁלָּטִים</w:t>
      </w:r>
      <w:r>
        <w:rPr>
          <w:rtl w:val="true"/>
        </w:rPr>
        <w:t xml:space="preserve">, </w:t>
      </w:r>
      <w:r>
        <w:rPr>
          <w:rtl w:val="true"/>
        </w:rPr>
        <w:t>מכיוון ש</w:t>
      </w:r>
      <w:r>
        <w:rPr>
          <w:rtl w:val="true"/>
        </w:rPr>
        <w:t>"</w:t>
      </w:r>
      <w:r>
        <w:rPr>
          <w:rtl w:val="true"/>
        </w:rPr>
        <w:t>דבריהם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נסתרו</w:t>
      </w:r>
      <w:r>
        <w:rPr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 </w:t>
      </w:r>
      <w:r>
        <w:rPr>
          <w:rtl w:val="true"/>
        </w:rPr>
        <w:t>וגם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בראיות</w:t>
      </w:r>
      <w:r>
        <w:rPr>
          <w:rtl w:val="true"/>
        </w:rPr>
        <w:t xml:space="preserve"> </w:t>
      </w:r>
      <w:r>
        <w:rPr>
          <w:rtl w:val="true"/>
        </w:rPr>
        <w:t>שהובאו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 </w:t>
      </w:r>
      <w:r>
        <w:rPr>
          <w:rtl w:val="true"/>
        </w:rPr>
        <w:t>לנקודת</w:t>
      </w:r>
      <w:r>
        <w:rPr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".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לצד זאת הודגש כי ככל שהמערער יביא ראיות שיהיה בהן כדי לסתור את דברי העדים </w:t>
      </w:r>
      <w:r>
        <w:rPr>
          <w:rtl w:val="true"/>
        </w:rPr>
        <w:t>–</w:t>
      </w:r>
      <w:r>
        <w:rPr>
          <w:rtl w:val="true"/>
        </w:rPr>
        <w:t xml:space="preserve"> הן תילקחנה בחשבון ויינתן להן המשקל המתאים</w:t>
      </w:r>
      <w:r>
        <w:rPr>
          <w:rtl w:val="true"/>
        </w:rPr>
        <w:t xml:space="preserve">. </w:t>
      </w:r>
      <w:r>
        <w:rPr>
          <w:rtl w:val="true"/>
        </w:rPr>
        <w:t xml:space="preserve">עוד צוין כי אף אם תתקבל גרסתו של העֵד שהעיד כי </w:t>
      </w:r>
      <w:r>
        <w:rPr>
          <w:rtl w:val="true"/>
        </w:rPr>
        <w:t>רכש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שַׁלָּטִים</w:t>
      </w:r>
      <w:r>
        <w:rPr>
          <w:rtl w:val="true"/>
        </w:rPr>
        <w:t xml:space="preserve"> </w:t>
      </w:r>
      <w:r>
        <w:rPr>
          <w:rtl w:val="true"/>
        </w:rPr>
        <w:t>בהוראת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הדבר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בהכרח</w:t>
      </w:r>
      <w:r>
        <w:rPr>
          <w:rtl w:val="true"/>
        </w:rPr>
        <w:t xml:space="preserve"> </w:t>
      </w:r>
      <w:r>
        <w:rPr>
          <w:rtl w:val="true"/>
        </w:rPr>
        <w:t>מובי</w:t>
      </w:r>
      <w:r>
        <w:rPr>
          <w:rtl w:val="true"/>
        </w:rPr>
        <w:t>[</w:t>
      </w:r>
      <w:r>
        <w:rPr>
          <w:rtl w:val="true"/>
        </w:rPr>
        <w:t>ל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להרשעת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שיוחסו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בהקשר זה הפנה ההרכב לפסקי דין שבהם נקבע כי החזרת הליך לערכאה הדיונית לאחר התערבות ערכאת הערעור אינה מקימה כשלעצמה עילת פסלות</w:t>
      </w:r>
      <w:r>
        <w:rPr>
          <w:rtl w:val="true"/>
        </w:rPr>
        <w:t xml:space="preserve">, </w:t>
      </w:r>
      <w:r>
        <w:rPr>
          <w:rtl w:val="true"/>
        </w:rPr>
        <w:t xml:space="preserve">גם אם הערכאה הדיונית קבעה </w:t>
      </w:r>
      <w:r>
        <w:rPr>
          <w:rtl w:val="true"/>
        </w:rPr>
        <w:t>קביעות</w:t>
      </w:r>
      <w:r>
        <w:rPr>
          <w:rtl w:val="true"/>
        </w:rPr>
        <w:t xml:space="preserve"> </w:t>
      </w:r>
      <w:r>
        <w:rPr>
          <w:rtl w:val="true"/>
        </w:rPr>
        <w:t>מהימנו</w:t>
      </w:r>
      <w:r>
        <w:rPr>
          <w:rtl w:val="true"/>
        </w:rPr>
        <w:t>ּ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>שליליות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לגרסת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למשל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8.11.2018</w:t>
      </w:r>
      <w:r>
        <w:rPr>
          <w:rtl w:val="true"/>
        </w:rPr>
        <w:t xml:space="preserve">)). </w:t>
      </w:r>
      <w:r>
        <w:rPr>
          <w:rtl w:val="true"/>
        </w:rPr>
        <w:t>נקבע כי ניתן להקיש מכלל זה לענייננו וזאת מקל וחומר</w:t>
      </w:r>
      <w:r>
        <w:rPr>
          <w:rtl w:val="true"/>
        </w:rPr>
        <w:t xml:space="preserve">, </w:t>
      </w:r>
      <w:r>
        <w:rPr>
          <w:rtl w:val="true"/>
        </w:rPr>
        <w:t xml:space="preserve">שכן אם קביעת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ממצאים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מפלילים</w:t>
      </w:r>
      <w:r>
        <w:rPr>
          <w:rtl w:val="true"/>
        </w:rPr>
        <w:t xml:space="preserve"> נגד נאשם אינה מקימה מניה וביה עילת פסלות</w:t>
      </w:r>
      <w:r>
        <w:rPr>
          <w:rFonts w:cs="Arial TUR;Arial" w:ascii="Arial TUR;Arial" w:hAnsi="Arial TUR;Arial"/>
          <w:sz w:val="22"/>
          <w:rtl w:val="true"/>
        </w:rPr>
        <w:t>, "</w:t>
      </w:r>
      <w:r>
        <w:rPr>
          <w:rFonts w:ascii="Arial TUR;Arial" w:hAnsi="Arial TUR;Arial" w:cs="Arial TUR;Arial"/>
          <w:sz w:val="22"/>
          <w:sz w:val="22"/>
          <w:rtl w:val="true"/>
        </w:rPr>
        <w:t>על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אחת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כמה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וכמה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במקרה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שלנו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שבו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לא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נקבעו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עדיין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ממצאים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ספציפיים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בעניינו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ל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]". </w:t>
      </w:r>
      <w:r>
        <w:rPr>
          <w:rtl w:val="true"/>
        </w:rPr>
        <w:t>עוד נקבע כי חלק מפסקי הדין שאליהם הפנה המערער אינם רלוונטיים לענייננו</w:t>
      </w:r>
      <w:r>
        <w:rPr>
          <w:rtl w:val="true"/>
        </w:rPr>
        <w:t xml:space="preserve">, </w:t>
      </w:r>
      <w:r>
        <w:rPr>
          <w:rtl w:val="true"/>
        </w:rPr>
        <w:t xml:space="preserve">שכן מבקשי הפסלות באותם מקרים לא לקחו חלק בהליך שבו נקבעו לגביהם ממצאים </w:t>
      </w:r>
      <w:r>
        <w:rPr>
          <w:rtl w:val="true"/>
        </w:rPr>
        <w:t>–</w:t>
      </w:r>
      <w:r>
        <w:rPr>
          <w:rtl w:val="true"/>
        </w:rPr>
        <w:t xml:space="preserve"> בעוד שבענייננו המערער השתתף בהליך הפלילי ואף חקר את כל עדי התביעה</w:t>
      </w:r>
      <w:r>
        <w:rPr>
          <w:rtl w:val="true"/>
        </w:rPr>
        <w:t>.</w:t>
      </w:r>
      <w:r>
        <w:br w:type="page"/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המערער עומד על טענתו כי הכרעת הדין כללה קביעות עובדתיות ומשפטיות </w:t>
      </w:r>
      <w:r>
        <w:rPr>
          <w:rtl w:val="true"/>
        </w:rPr>
        <w:t>"</w:t>
      </w:r>
      <w:r>
        <w:rPr>
          <w:rtl w:val="true"/>
        </w:rPr>
        <w:t>נחרצות</w:t>
      </w:r>
      <w:r>
        <w:rPr>
          <w:rtl w:val="true"/>
        </w:rPr>
        <w:t xml:space="preserve">" </w:t>
      </w:r>
      <w:r>
        <w:rPr>
          <w:rtl w:val="true"/>
        </w:rPr>
        <w:t xml:space="preserve">ביחס לשאלה </w:t>
      </w:r>
      <w:r>
        <w:rPr>
          <w:rtl w:val="true"/>
        </w:rPr>
        <w:t>"</w:t>
      </w:r>
      <w:r>
        <w:rPr>
          <w:rtl w:val="true"/>
        </w:rPr>
        <w:t>הכמעט יחידה</w:t>
      </w:r>
      <w:r>
        <w:rPr>
          <w:rtl w:val="true"/>
        </w:rPr>
        <w:t xml:space="preserve">" </w:t>
      </w:r>
      <w:r>
        <w:rPr>
          <w:rtl w:val="true"/>
        </w:rPr>
        <w:t>שטעונה הכרעה לגביו</w:t>
      </w:r>
      <w:r>
        <w:rPr>
          <w:rtl w:val="true"/>
        </w:rPr>
        <w:t xml:space="preserve">, </w:t>
      </w:r>
      <w:r>
        <w:rPr>
          <w:rtl w:val="true"/>
        </w:rPr>
        <w:t xml:space="preserve">ולגישתו קיימת </w:t>
      </w:r>
      <w:r>
        <w:rPr>
          <w:rtl w:val="true"/>
        </w:rPr>
        <w:t>"</w:t>
      </w:r>
      <w:r>
        <w:rPr>
          <w:rtl w:val="true"/>
        </w:rPr>
        <w:t xml:space="preserve">חפיפה ממשית </w:t>
      </w:r>
      <w:r>
        <w:rPr>
          <w:rtl w:val="true"/>
        </w:rPr>
        <w:t>(</w:t>
      </w:r>
      <w:r>
        <w:rPr>
          <w:rtl w:val="true"/>
        </w:rPr>
        <w:t>אף אם לא מוחלטת</w:t>
      </w:r>
      <w:r>
        <w:rPr>
          <w:rtl w:val="true"/>
        </w:rPr>
        <w:t xml:space="preserve">)" </w:t>
      </w:r>
      <w:r>
        <w:rPr>
          <w:rtl w:val="true"/>
        </w:rPr>
        <w:t>בין הסוגיות שנדונו בהכרעת הדין ובין השאלות הטעונות הכרעה בשלב הנוכחי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מצטט המערער קביעות שונות שהובאו בהכרעת הדין </w:t>
      </w:r>
      <w:r>
        <w:rPr>
          <w:rtl w:val="true"/>
        </w:rPr>
        <w:t>–</w:t>
      </w:r>
      <w:r>
        <w:rPr>
          <w:rtl w:val="true"/>
        </w:rPr>
        <w:t xml:space="preserve"> הן בעניין מהימנות עדי המדינה והן בעניין חלקו בפרשה </w:t>
      </w:r>
      <w:r>
        <w:rPr>
          <w:rtl w:val="true"/>
        </w:rPr>
        <w:t>–</w:t>
      </w:r>
      <w:r>
        <w:rPr>
          <w:rtl w:val="true"/>
        </w:rPr>
        <w:t xml:space="preserve"> והוא טוען כי אין אפשרות אמיתית שההרכב יקבע ממצאים הסוטים מקביעות אלו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מכיוון שסטייה מהכרעת הדין עלולה להשליך במישרין על הרשעתם של הנאשמים האחרים ועל הליכי הערעור שעודם תלויים ועומדים</w:t>
      </w:r>
      <w:r>
        <w:rPr>
          <w:rtl w:val="true"/>
        </w:rPr>
        <w:t xml:space="preserve">. </w:t>
      </w:r>
      <w:r>
        <w:rPr>
          <w:rtl w:val="true"/>
        </w:rPr>
        <w:t>עוד חולק המערער על קביעת המותב לפיה הכרעת הדין אינה כוללת התייחסויות ספציפיות לאשמתו</w:t>
      </w:r>
      <w:r>
        <w:rPr>
          <w:rtl w:val="true"/>
        </w:rPr>
        <w:t xml:space="preserve">, </w:t>
      </w:r>
      <w:r>
        <w:rPr>
          <w:rtl w:val="true"/>
        </w:rPr>
        <w:t>ולגישתו אין נפקות ל</w:t>
      </w:r>
      <w:r>
        <w:rPr>
          <w:rtl w:val="true"/>
        </w:rPr>
        <w:t>"</w:t>
      </w:r>
      <w:r>
        <w:rPr>
          <w:rtl w:val="true"/>
        </w:rPr>
        <w:t>מסגרת</w:t>
      </w:r>
      <w:r>
        <w:rPr>
          <w:rtl w:val="true"/>
        </w:rPr>
        <w:t xml:space="preserve">" </w:t>
      </w:r>
      <w:r>
        <w:rPr>
          <w:rtl w:val="true"/>
        </w:rPr>
        <w:t>שבה נקבעו הממצאים העובדתיים והמשפטיים שבהכרעת הדין אלא אך ל</w:t>
      </w:r>
      <w:r>
        <w:rPr>
          <w:rtl w:val="true"/>
        </w:rPr>
        <w:t>"</w:t>
      </w:r>
      <w:r>
        <w:rPr>
          <w:rtl w:val="true"/>
        </w:rPr>
        <w:t>עצם קביעתם</w:t>
      </w:r>
      <w:r>
        <w:rPr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המערער סבור שהקביעה לפיה הוא </w:t>
      </w:r>
      <w:r>
        <w:rPr>
          <w:rtl w:val="true"/>
        </w:rPr>
        <w:t>"</w:t>
      </w:r>
      <w:r>
        <w:rPr>
          <w:rtl w:val="true"/>
        </w:rPr>
        <w:t>מושתק</w:t>
      </w:r>
      <w:r>
        <w:rPr>
          <w:rtl w:val="true"/>
        </w:rPr>
        <w:t xml:space="preserve">" </w:t>
      </w:r>
      <w:r>
        <w:rPr>
          <w:rtl w:val="true"/>
        </w:rPr>
        <w:t xml:space="preserve">מלטעון נגד הממצאים שנקבעו ביחס לנאשמים האחרים </w:t>
      </w:r>
      <w:r>
        <w:rPr>
          <w:rtl w:val="true"/>
        </w:rPr>
        <w:t>–</w:t>
      </w:r>
      <w:r>
        <w:rPr>
          <w:rtl w:val="true"/>
        </w:rPr>
        <w:t xml:space="preserve"> מאשררת למעשה את עצם קיומם של הממצאים המובהקים הללו בהכרעת הדין</w:t>
      </w:r>
      <w:r>
        <w:rPr>
          <w:rtl w:val="true"/>
        </w:rPr>
        <w:t xml:space="preserve">. </w:t>
      </w:r>
      <w:r>
        <w:rPr>
          <w:rtl w:val="true"/>
        </w:rPr>
        <w:t>מכל מקום חולק המערער על קביעה זו לגופה</w:t>
      </w:r>
      <w:r>
        <w:rPr>
          <w:rtl w:val="true"/>
        </w:rPr>
        <w:t xml:space="preserve">, </w:t>
      </w:r>
      <w:r>
        <w:rPr>
          <w:rtl w:val="true"/>
        </w:rPr>
        <w:t xml:space="preserve">ולשיטתו יש להפריד בין סוגיית הבריחה ובין שאלת קיומו של משוא פנים בהליך הנוכחי </w:t>
      </w:r>
      <w:r>
        <w:rPr>
          <w:rtl w:val="true"/>
        </w:rPr>
        <w:t>–</w:t>
      </w:r>
      <w:r>
        <w:rPr>
          <w:rtl w:val="true"/>
        </w:rPr>
        <w:t xml:space="preserve"> שאם לא כן</w:t>
      </w:r>
      <w:r>
        <w:rPr>
          <w:rtl w:val="true"/>
        </w:rPr>
        <w:t xml:space="preserve">, </w:t>
      </w:r>
      <w:r>
        <w:rPr>
          <w:rtl w:val="true"/>
        </w:rPr>
        <w:t xml:space="preserve">יוטל עליו מעין </w:t>
      </w:r>
      <w:r>
        <w:rPr>
          <w:rtl w:val="true"/>
        </w:rPr>
        <w:t>"</w:t>
      </w:r>
      <w:r>
        <w:rPr>
          <w:rtl w:val="true"/>
        </w:rPr>
        <w:t>כפל עונש</w:t>
      </w:r>
      <w:r>
        <w:rPr>
          <w:rtl w:val="true"/>
        </w:rPr>
        <w:t xml:space="preserve">" </w:t>
      </w:r>
      <w:r>
        <w:rPr>
          <w:rtl w:val="true"/>
        </w:rPr>
        <w:t>בגין הימלטותו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לבסוף נטען כי חברי ההרכב שגו בכך שהתייחסו לשיקולי יעילות דיונית ולהיקף החומר הראייתי בפרשה </w:t>
      </w:r>
      <w:r>
        <w:rPr>
          <w:rtl w:val="true"/>
        </w:rPr>
        <w:t>–</w:t>
      </w:r>
      <w:r>
        <w:rPr>
          <w:rtl w:val="true"/>
        </w:rPr>
        <w:t xml:space="preserve"> שיקולים אשר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נסוגים מפני הצורך לאפשר לו לנהל את הגנתו כיאות</w:t>
      </w:r>
      <w:r>
        <w:rPr>
          <w:rtl w:val="true"/>
        </w:rPr>
        <w:t xml:space="preserve">. </w:t>
      </w:r>
      <w:r>
        <w:rPr>
          <w:rtl w:val="true"/>
        </w:rPr>
        <w:t>נוכח האמור סבור המערער כי הוכחה עילה להעברת ההליך למותב אחר</w:t>
      </w:r>
      <w:r>
        <w:rPr>
          <w:rtl w:val="true"/>
        </w:rPr>
        <w:t xml:space="preserve">, </w:t>
      </w:r>
      <w:r>
        <w:rPr>
          <w:rtl w:val="true"/>
        </w:rPr>
        <w:t>לכל הפחות מטעמים של מראית פני הצדק</w:t>
      </w:r>
      <w:r>
        <w:rPr>
          <w:rtl w:val="true"/>
        </w:rPr>
        <w:t xml:space="preserve">, </w:t>
      </w:r>
      <w:r>
        <w:rPr>
          <w:rtl w:val="true"/>
        </w:rPr>
        <w:t>והוא מצהיר שאם ערעורו יתקבל</w:t>
      </w:r>
      <w:r>
        <w:rPr>
          <w:rtl w:val="true"/>
        </w:rPr>
        <w:t xml:space="preserve">, </w:t>
      </w:r>
      <w:r>
        <w:rPr>
          <w:rtl w:val="true"/>
        </w:rPr>
        <w:t xml:space="preserve">הוא יבקש מן המותב החדש לדון בעניינו </w:t>
      </w:r>
      <w:r>
        <w:rPr>
          <w:rtl w:val="true"/>
        </w:rPr>
        <w:t>"</w:t>
      </w:r>
      <w:r>
        <w:rPr>
          <w:rtl w:val="true"/>
        </w:rPr>
        <w:t>בדיוק מן הנקודה בה הותלה משפטו</w:t>
      </w:r>
      <w:r>
        <w:rPr>
          <w:rtl w:val="true"/>
        </w:rPr>
        <w:t xml:space="preserve">" </w:t>
      </w:r>
      <w:r>
        <w:rPr>
          <w:rtl w:val="true"/>
        </w:rPr>
        <w:t>ולא יבקש להתחיל את משפטו מחדש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מצדה</w:t>
      </w:r>
      <w:r>
        <w:rPr>
          <w:rtl w:val="true"/>
        </w:rPr>
        <w:t xml:space="preserve">, </w:t>
      </w:r>
      <w:r>
        <w:rPr>
          <w:rtl w:val="true"/>
        </w:rPr>
        <w:t>סבורה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אין לאפשר לבעל דין לגרום ל</w:t>
      </w:r>
      <w:r>
        <w:rPr>
          <w:rtl w:val="true"/>
        </w:rPr>
        <w:t>"</w:t>
      </w:r>
      <w:r>
        <w:rPr>
          <w:rtl w:val="true"/>
        </w:rPr>
        <w:t>שיבוש חמור</w:t>
      </w:r>
      <w:r>
        <w:rPr>
          <w:rtl w:val="true"/>
        </w:rPr>
        <w:t xml:space="preserve">" </w:t>
      </w:r>
      <w:r>
        <w:rPr>
          <w:rtl w:val="true"/>
        </w:rPr>
        <w:t>בהליך המתנהל נגדו באמצעות הגשת בקשת פסלות המבוססת כל</w:t>
      </w:r>
      <w:r>
        <w:rPr>
          <w:rtl w:val="true"/>
        </w:rPr>
        <w:t>-</w:t>
      </w:r>
      <w:r>
        <w:rPr>
          <w:rtl w:val="true"/>
        </w:rPr>
        <w:t xml:space="preserve">כולה על התנהגותו הפסולה </w:t>
      </w:r>
      <w:r>
        <w:rPr>
          <w:rtl w:val="true"/>
        </w:rPr>
        <w:t>–</w:t>
      </w:r>
      <w:r>
        <w:rPr>
          <w:rtl w:val="true"/>
        </w:rPr>
        <w:t xml:space="preserve"> ועל כן היא סומכת ידיה על מסקנת המותב כי ניתן היה לדחות את בקשת הפסלות על הסף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אף לגופו של עניין</w:t>
      </w:r>
      <w:r>
        <w:rPr>
          <w:rtl w:val="true"/>
        </w:rPr>
        <w:t xml:space="preserve">, </w:t>
      </w:r>
      <w:r>
        <w:rPr>
          <w:rtl w:val="true"/>
        </w:rPr>
        <w:t>המשיבה טוענת כי לא מתקיימת עילה לפסילת המותב</w:t>
      </w:r>
      <w:r>
        <w:rPr>
          <w:rtl w:val="true"/>
        </w:rPr>
        <w:t xml:space="preserve">. </w:t>
      </w:r>
      <w:r>
        <w:rPr>
          <w:rtl w:val="true"/>
        </w:rPr>
        <w:t xml:space="preserve">היא מדגישה כי הכרעת הדין שניתנה בהליך היא </w:t>
      </w:r>
      <w:r>
        <w:rPr>
          <w:rtl w:val="true"/>
        </w:rPr>
        <w:t>"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מסועפת</w:t>
      </w:r>
      <w:r>
        <w:rPr>
          <w:rtl w:val="true"/>
        </w:rPr>
        <w:t xml:space="preserve">, </w:t>
      </w:r>
      <w:r>
        <w:rPr>
          <w:rtl w:val="true"/>
        </w:rPr>
        <w:t>ועמוסת פרטים באופן ייחודי ויוצא דופן</w:t>
      </w:r>
      <w:r>
        <w:rPr>
          <w:rtl w:val="true"/>
        </w:rPr>
        <w:t xml:space="preserve">", </w:t>
      </w:r>
      <w:r>
        <w:rPr>
          <w:rtl w:val="true"/>
        </w:rPr>
        <w:t xml:space="preserve">ולשיטתה הציטוטים הקצרים והחלקיים שהביא המערער עלולים </w:t>
      </w:r>
      <w:r>
        <w:rPr>
          <w:rtl w:val="true"/>
        </w:rPr>
        <w:t>"</w:t>
      </w:r>
      <w:r>
        <w:rPr>
          <w:rtl w:val="true"/>
        </w:rPr>
        <w:t>להטעות ממש</w:t>
      </w:r>
      <w:r>
        <w:rPr>
          <w:rtl w:val="true"/>
        </w:rPr>
        <w:t xml:space="preserve">".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המשיבה טוענת כי אין בציטוטים אלו כדי ללמד על קביעת ממצאי עובדה או מהימנות המשליכים על עניינו של המערער</w:t>
      </w:r>
      <w:r>
        <w:rPr>
          <w:rtl w:val="true"/>
        </w:rPr>
        <w:t xml:space="preserve">. </w:t>
      </w:r>
      <w:r>
        <w:rPr>
          <w:rtl w:val="true"/>
        </w:rPr>
        <w:t>באופן ספציפי מכחישה המשיבה את הטענה שהכרעת הדין כוללת קביעות בנוגע להעברת ה</w:t>
      </w:r>
      <w:r>
        <w:rPr>
          <w:rtl w:val="true"/>
        </w:rPr>
        <w:t>שַׁלָּטִים</w:t>
      </w:r>
      <w:r>
        <w:rPr>
          <w:rtl w:val="true"/>
        </w:rPr>
        <w:t xml:space="preserve">; </w:t>
      </w:r>
      <w:r>
        <w:rPr>
          <w:rtl w:val="true"/>
        </w:rPr>
        <w:t xml:space="preserve">והיא מדגישה כי </w:t>
      </w:r>
      <w:r>
        <w:rPr>
          <w:rtl w:val="true"/>
        </w:rPr>
        <w:t>"</w:t>
      </w:r>
      <w:r>
        <w:rPr>
          <w:rtl w:val="true"/>
        </w:rPr>
        <w:t>בעניינם של הנאשמים האחרים לא התגלעה כל פלוגתא בשאלה זו</w:t>
      </w:r>
      <w:r>
        <w:rPr>
          <w:rtl w:val="true"/>
        </w:rPr>
        <w:t xml:space="preserve">", </w:t>
      </w:r>
      <w:r>
        <w:rPr>
          <w:rtl w:val="true"/>
        </w:rPr>
        <w:t>ומשכך בית המשפט קמא לא הכריע בנושא אלא אך הציג את טענות עדי המדינה כלשונן</w:t>
      </w:r>
      <w:r>
        <w:rPr>
          <w:rtl w:val="true"/>
        </w:rPr>
        <w:t xml:space="preserve">. </w:t>
      </w:r>
      <w:r>
        <w:rPr>
          <w:rtl w:val="true"/>
        </w:rPr>
        <w:t xml:space="preserve">המשיבה מוסיפה וטוענת כי הכרעת הדין קבעה </w:t>
      </w:r>
      <w:r>
        <w:rPr>
          <w:rtl w:val="true"/>
        </w:rPr>
        <w:t>"</w:t>
      </w:r>
      <w:r>
        <w:rPr>
          <w:rtl w:val="true"/>
        </w:rPr>
        <w:t>ממצאי מהימנות כלליים בלבד</w:t>
      </w:r>
      <w:r>
        <w:rPr>
          <w:rtl w:val="true"/>
        </w:rPr>
        <w:t xml:space="preserve">" </w:t>
      </w:r>
      <w:r>
        <w:rPr>
          <w:rtl w:val="true"/>
        </w:rPr>
        <w:t>ביחס לעדי המדינה</w:t>
      </w:r>
      <w:r>
        <w:rPr>
          <w:rtl w:val="true"/>
        </w:rPr>
        <w:t xml:space="preserve">, </w:t>
      </w:r>
      <w:r>
        <w:rPr>
          <w:rtl w:val="true"/>
        </w:rPr>
        <w:t>ולגישתה אין בסיס לטענה שממצאים אלו הובילו ל</w:t>
      </w:r>
      <w:r>
        <w:rPr>
          <w:rtl w:val="true"/>
        </w:rPr>
        <w:t>"</w:t>
      </w:r>
      <w:r>
        <w:rPr>
          <w:rtl w:val="true"/>
        </w:rPr>
        <w:t>נעילת</w:t>
      </w:r>
      <w:r>
        <w:rPr>
          <w:rtl w:val="true"/>
        </w:rPr>
        <w:t xml:space="preserve">" </w:t>
      </w:r>
      <w:r>
        <w:rPr>
          <w:rtl w:val="true"/>
        </w:rPr>
        <w:t>דעתם של חברי ההרכב ביחס לשאלות העובדתיות הטעונות הכרעה בשלב זה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עוד חולקת המשיבה על הטענה כי ההרכב יימנע מלקבוע ממצאים עובדתיים השונים מאלו שקבע בהכרעת הדין</w:t>
      </w:r>
      <w:r>
        <w:rPr>
          <w:rtl w:val="true"/>
        </w:rPr>
        <w:t xml:space="preserve">, </w:t>
      </w:r>
      <w:r>
        <w:rPr>
          <w:rtl w:val="true"/>
        </w:rPr>
        <w:t>נוכח ההשפעה האפשרית על עניינם של הנאשמים האחרים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קביעת ממצא עובדתי שלפיו המערער לא היה מי שסיפק את ה</w:t>
      </w:r>
      <w:r>
        <w:rPr>
          <w:rtl w:val="true"/>
        </w:rPr>
        <w:t>שַׁלָּטִים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 בה</w:t>
      </w:r>
      <w:r>
        <w:rPr>
          <w:rtl w:val="true"/>
        </w:rPr>
        <w:t xml:space="preserve">, </w:t>
      </w:r>
      <w:r>
        <w:rPr>
          <w:rtl w:val="true"/>
        </w:rPr>
        <w:t>לעצמה</w:t>
      </w:r>
      <w:r>
        <w:rPr>
          <w:rtl w:val="true"/>
        </w:rPr>
        <w:t xml:space="preserve">, </w:t>
      </w:r>
      <w:r>
        <w:rPr>
          <w:rtl w:val="true"/>
        </w:rPr>
        <w:t>כדי להביא לזיכויים של הנאשמים האחרים באישומים הרלוונטיים לענייננו</w:t>
      </w:r>
      <w:r>
        <w:rPr>
          <w:rtl w:val="true"/>
        </w:rPr>
        <w:t xml:space="preserve">", </w:t>
      </w:r>
      <w:r>
        <w:rPr>
          <w:rtl w:val="true"/>
        </w:rPr>
        <w:t xml:space="preserve">מכיוון ששאלה זו אינה משליכה באופן ישיר על סוגיית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קבלת</w:t>
      </w:r>
      <w:r>
        <w:rPr>
          <w:rtl w:val="true"/>
        </w:rPr>
        <w:t xml:space="preserve"> מטעני הנפץ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הפעלתם</w:t>
      </w:r>
      <w:r>
        <w:rPr>
          <w:rtl w:val="true"/>
        </w:rPr>
        <w:t xml:space="preserve"> בידי הנאשמים האחרים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לצד זאת מעדכנת המשיבה כי לאחר סיום פרשת התביעה יצאו חלק מעדי המדינה משטחי ישראל</w:t>
      </w:r>
      <w:r>
        <w:rPr>
          <w:rtl w:val="true"/>
        </w:rPr>
        <w:t xml:space="preserve">, </w:t>
      </w:r>
      <w:r>
        <w:rPr>
          <w:rtl w:val="true"/>
        </w:rPr>
        <w:t xml:space="preserve">וכי שיבתם לעדות בפני בית המשפט </w:t>
      </w:r>
      <w:r>
        <w:rPr>
          <w:rtl w:val="true"/>
        </w:rPr>
        <w:t>"</w:t>
      </w:r>
      <w:r>
        <w:rPr>
          <w:rtl w:val="true"/>
        </w:rPr>
        <w:t>אינה נתונה עוד למרותה הבלעדית של התביעה והיא עניין התלוי ומסור לרצונם הטוב</w:t>
      </w:r>
      <w:r>
        <w:rPr>
          <w:rtl w:val="true"/>
        </w:rPr>
        <w:t xml:space="preserve">". </w:t>
      </w:r>
      <w:r>
        <w:rPr>
          <w:rtl w:val="true"/>
        </w:rPr>
        <w:t>משכך נטען כי ניהול משפטו של המערער מחדש יעורר מורכבויות שונות</w:t>
      </w:r>
      <w:r>
        <w:rPr>
          <w:rtl w:val="true"/>
        </w:rPr>
        <w:t xml:space="preserve">. </w:t>
      </w:r>
      <w:r>
        <w:rPr>
          <w:rtl w:val="true"/>
        </w:rPr>
        <w:t>עוד מודגש כי הצהרת המערער לפיה יימנע מלבקש כי משפטו יחל מבראשית</w:t>
      </w:r>
      <w:r>
        <w:rPr>
          <w:rtl w:val="true"/>
        </w:rPr>
        <w:t xml:space="preserve">, </w:t>
      </w:r>
      <w:r>
        <w:rPr>
          <w:rtl w:val="true"/>
        </w:rPr>
        <w:t xml:space="preserve">לא הובאה בבקשת הפסלות ולא נדונה בהחלטת חברי ההרכב </w:t>
      </w:r>
      <w:r>
        <w:rPr>
          <w:rtl w:val="true"/>
        </w:rPr>
        <w:t>–</w:t>
      </w:r>
      <w:r>
        <w:rPr>
          <w:rtl w:val="true"/>
        </w:rPr>
        <w:t xml:space="preserve"> ולפיכך סבורה המשיבה כי אין מקום לדון בסוגיה זו לראשונה במסגרת הערעור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מוסיפה המשיבה כי יש בעייתיות בהעברת ההכרעה בהליך למותב </w:t>
      </w:r>
      <w:r>
        <w:rPr>
          <w:rtl w:val="true"/>
        </w:rPr>
        <w:t>"</w:t>
      </w:r>
      <w:r>
        <w:rPr>
          <w:rtl w:val="true"/>
        </w:rPr>
        <w:t>שלא שמע ולא צפה באופן ישיר בעדויות עדי התביעה הראשיות ובכושר עמידתם על דוכן העדים בשלב חקירתם הנגדית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 ההכרעה בהליך תתבסס בהכרח על ממצאי עובדה ומהימנות ביחס לעדי התביעה ול</w:t>
      </w:r>
      <w:r>
        <w:rPr>
          <w:rtl w:val="true"/>
        </w:rPr>
        <w:t>"</w:t>
      </w:r>
      <w:r>
        <w:rPr>
          <w:rtl w:val="true"/>
        </w:rPr>
        <w:t>פסיפס הראייתי</w:t>
      </w:r>
      <w:r>
        <w:rPr>
          <w:rtl w:val="true"/>
        </w:rPr>
        <w:t xml:space="preserve">" </w:t>
      </w:r>
      <w:r>
        <w:rPr>
          <w:rtl w:val="true"/>
        </w:rPr>
        <w:t>שנחשף בעקבותיהן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עיון בהחלטת המותב ובטענות הצדדים</w:t>
      </w:r>
      <w:r>
        <w:rPr>
          <w:rtl w:val="true"/>
        </w:rPr>
        <w:t xml:space="preserve">, </w:t>
      </w:r>
      <w:r>
        <w:rPr>
          <w:rtl w:val="true"/>
        </w:rPr>
        <w:t xml:space="preserve">באתי לידי מסקנה כי דין הערעור להידחות </w:t>
      </w:r>
      <w:r>
        <w:rPr>
          <w:rtl w:val="true"/>
        </w:rPr>
        <w:t>–</w:t>
      </w:r>
      <w:r>
        <w:rPr>
          <w:rtl w:val="true"/>
        </w:rPr>
        <w:t xml:space="preserve"> הן עקב הנסיבות שהובילו להגשת בקשת הפסלות בשלב זה של ההליך</w:t>
      </w:r>
      <w:r>
        <w:rPr>
          <w:rtl w:val="true"/>
        </w:rPr>
        <w:t xml:space="preserve">, </w:t>
      </w:r>
      <w:r>
        <w:rPr>
          <w:rtl w:val="true"/>
        </w:rPr>
        <w:t>והן מכיוון שלא עלה בידי המערער לבסס קיומו של חשש ממשי למשוא פנים מצד חברי המותב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אפתח בהימלטותו של המערער מן הדין ובהשלכותיה על טענת הפסלות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בעבר נפסק לא אחת כי אין להלום תוצאה לפיה יוכל בעל דין לגרום בהתנהגותו שלו להחלפת המותב שדן בעניינו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נפסק כי תלונה  שמגיש מבקש הפסלות נגד המותב</w:t>
      </w:r>
      <w:r>
        <w:rPr>
          <w:rtl w:val="true"/>
        </w:rPr>
        <w:t xml:space="preserve">, </w:t>
      </w:r>
      <w:r>
        <w:rPr>
          <w:rtl w:val="true"/>
        </w:rPr>
        <w:t>או כתב אישום המוגש נגד מבקש הפסלות בשל עבירה שביצע כלפי המותב</w:t>
      </w:r>
      <w:r>
        <w:rPr>
          <w:rtl w:val="true"/>
        </w:rPr>
        <w:t xml:space="preserve">, </w:t>
      </w:r>
      <w:r>
        <w:rPr>
          <w:rtl w:val="true"/>
        </w:rPr>
        <w:t>אין בהם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כדי להקים עילה לפסלות </w:t>
      </w:r>
      <w:r>
        <w:rPr>
          <w:rtl w:val="true"/>
        </w:rPr>
        <w:t>(</w:t>
      </w:r>
      <w:r>
        <w:rPr>
          <w:rtl w:val="true"/>
        </w:rPr>
        <w:t>ראו בהתאמה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1624/22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13.4.2022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19.8.2009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6441/22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רמיחאת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30.10.2022</w:t>
      </w:r>
      <w:r>
        <w:rPr>
          <w:rtl w:val="true"/>
        </w:rPr>
        <w:t xml:space="preserve">)). </w:t>
      </w:r>
      <w:r>
        <w:rPr>
          <w:rtl w:val="true"/>
        </w:rPr>
        <w:t>הוא הדין באשר להתנהגות פסולה מצד מבקש הפסלות בזיקה להליך המתנהל בפני המותב</w:t>
      </w:r>
      <w:r>
        <w:rPr>
          <w:rtl w:val="true"/>
        </w:rPr>
        <w:t xml:space="preserve">, </w:t>
      </w:r>
      <w:r>
        <w:rPr>
          <w:rtl w:val="true"/>
        </w:rPr>
        <w:t xml:space="preserve">כגון התבטאויות מזלזלות כלפי המותב או איומים עליו או על בן משפחתו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20.4.2021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ברמלי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14-11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16.2.2021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ברמלי</w:t>
      </w:r>
      <w:r>
        <w:rPr>
          <w:rtl w:val="true"/>
        </w:rPr>
        <w:t>)).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הלכה זו יסודה בתפיסה לפיה אין לאפשר לבעל דין</w:t>
      </w:r>
      <w:r>
        <w:rPr>
          <w:rtl w:val="true"/>
        </w:rPr>
        <w:t xml:space="preserve">, </w:t>
      </w:r>
      <w:r>
        <w:rPr>
          <w:rtl w:val="true"/>
        </w:rPr>
        <w:t>שדעתו אינה נוחה מן המותב הדן בעניינו</w:t>
      </w:r>
      <w:r>
        <w:rPr>
          <w:rtl w:val="true"/>
        </w:rPr>
        <w:t xml:space="preserve">, </w:t>
      </w:r>
      <w:r>
        <w:rPr>
          <w:rtl w:val="true"/>
        </w:rPr>
        <w:t>ליצור לעצמו עילת פסלות</w:t>
      </w:r>
      <w:r>
        <w:rPr>
          <w:rtl w:val="true"/>
        </w:rPr>
        <w:t xml:space="preserve">, </w:t>
      </w:r>
      <w:r>
        <w:rPr>
          <w:rtl w:val="true"/>
        </w:rPr>
        <w:t xml:space="preserve">וכן כי אין מקום להקנות </w:t>
      </w:r>
      <w:r>
        <w:rPr>
          <w:rtl w:val="true"/>
        </w:rPr>
        <w:t>"</w:t>
      </w:r>
      <w:r>
        <w:rPr>
          <w:rtl w:val="true"/>
        </w:rPr>
        <w:t>יתרון דיוני</w:t>
      </w:r>
      <w:r>
        <w:rPr>
          <w:rtl w:val="true"/>
        </w:rPr>
        <w:t xml:space="preserve">" </w:t>
      </w:r>
      <w:r>
        <w:rPr>
          <w:rtl w:val="true"/>
        </w:rPr>
        <w:t xml:space="preserve">למי שפעל באופן פסול כזה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: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10721/06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27.3.2007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);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5512/07</w:t>
        </w:r>
      </w:hyperlink>
      <w:r>
        <w:rPr>
          <w:rtl w:val="true"/>
        </w:rPr>
        <w:t>‏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פרעני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29.7.2007</w:t>
      </w:r>
      <w:r>
        <w:rPr>
          <w:rtl w:val="true"/>
        </w:rPr>
        <w:t xml:space="preserve">)).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ברמלי</w:t>
      </w:r>
      <w:r>
        <w:rPr>
          <w:rtl w:val="true"/>
        </w:rPr>
        <w:t xml:space="preserve"> אף צוין כי הכרה בעילת פסלות עקב איומים על שופט עלולה ליצור </w:t>
      </w:r>
      <w:r>
        <w:rPr>
          <w:rtl w:val="true"/>
        </w:rPr>
        <w:t>"</w:t>
      </w:r>
      <w:r>
        <w:rPr>
          <w:rtl w:val="true"/>
        </w:rPr>
        <w:t>תמריצים</w:t>
      </w:r>
      <w:r>
        <w:rPr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לפגיעה במותב על מנת </w:t>
      </w:r>
      <w:r>
        <w:rPr>
          <w:rtl w:val="true"/>
        </w:rPr>
        <w:t>להביא</w:t>
      </w:r>
      <w:r>
        <w:rPr>
          <w:rtl w:val="true"/>
        </w:rPr>
        <w:t xml:space="preserve"> </w:t>
      </w:r>
      <w:r>
        <w:rPr>
          <w:rtl w:val="true"/>
        </w:rPr>
        <w:t>לפסילתו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13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תיתכנה אמנם נסיבות חריגות ונדירות העשויות להביא לפסילת מותב עקב חומרת מעשיו של מבקש הפסלות נגד המותב</w:t>
      </w:r>
      <w:r>
        <w:rPr>
          <w:rtl w:val="true"/>
        </w:rPr>
        <w:t xml:space="preserve">, </w:t>
      </w:r>
      <w:r>
        <w:rPr>
          <w:rtl w:val="true"/>
        </w:rPr>
        <w:t xml:space="preserve">או עקב חומרת הפגיעה במותב </w:t>
      </w:r>
      <w:r>
        <w:rPr>
          <w:rtl w:val="true"/>
        </w:rPr>
        <w:t>(</w:t>
      </w:r>
      <w:r>
        <w:rPr>
          <w:rtl w:val="true"/>
        </w:rPr>
        <w:t xml:space="preserve">ראו למשל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>אך כפי שנפסק</w:t>
      </w:r>
      <w:r>
        <w:rPr>
          <w:rtl w:val="true"/>
        </w:rPr>
        <w:t xml:space="preserve">, </w:t>
      </w:r>
      <w:r>
        <w:rPr>
          <w:rtl w:val="true"/>
        </w:rPr>
        <w:t xml:space="preserve">שאלת קיומן של נסיבות כאמור נבחנת בכל מקרה ומקרה תוך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 xml:space="preserve">משמעותי </w:t>
      </w:r>
      <w:r>
        <w:rPr>
          <w:rtl w:val="true"/>
        </w:rPr>
        <w:t>לתחושת</w:t>
      </w:r>
      <w:r>
        <w:rPr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ברמלי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ההליך הפלילי בענייננו נפתח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במאוחד נגד המערער ונגד מספר נאשמים אחרים</w:t>
      </w:r>
      <w:r>
        <w:rPr>
          <w:rtl w:val="true"/>
        </w:rPr>
        <w:t xml:space="preserve">. </w:t>
      </w:r>
      <w:r>
        <w:rPr>
          <w:rtl w:val="true"/>
        </w:rPr>
        <w:t>לאחר סיום פרשת התביעה</w:t>
      </w:r>
      <w:r>
        <w:rPr>
          <w:rtl w:val="true"/>
        </w:rPr>
        <w:t xml:space="preserve">, </w:t>
      </w:r>
      <w:r>
        <w:rPr>
          <w:rtl w:val="true"/>
        </w:rPr>
        <w:t>שבה לקח המערער חלק פעיל</w:t>
      </w:r>
      <w:r>
        <w:rPr>
          <w:rtl w:val="true"/>
        </w:rPr>
        <w:t xml:space="preserve">, </w:t>
      </w:r>
      <w:r>
        <w:rPr>
          <w:rtl w:val="true"/>
        </w:rPr>
        <w:t>הוא נמלט מן הארץ ובעקבות כך הותלו ההליכים נגדו</w:t>
      </w:r>
      <w:r>
        <w:rPr>
          <w:rtl w:val="true"/>
        </w:rPr>
        <w:t xml:space="preserve">,  </w:t>
      </w:r>
      <w:r>
        <w:rPr>
          <w:rtl w:val="true"/>
        </w:rPr>
        <w:t>אך הם נמשכו כסדרם ביחס לנאשמים האחרים</w:t>
      </w:r>
      <w:r>
        <w:rPr>
          <w:rtl w:val="true"/>
        </w:rPr>
        <w:t xml:space="preserve">.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משחזר המערער ארצה וההליכים נגדו חוּדשו</w:t>
      </w:r>
      <w:r>
        <w:rPr>
          <w:rtl w:val="true"/>
        </w:rPr>
        <w:t xml:space="preserve">, </w:t>
      </w:r>
      <w:r>
        <w:rPr>
          <w:rtl w:val="true"/>
        </w:rPr>
        <w:t xml:space="preserve">הוא מבקש להביא לכך שהמותב הנוכחי </w:t>
      </w:r>
      <w:r>
        <w:rPr>
          <w:rtl w:val="true"/>
        </w:rPr>
        <w:t>–</w:t>
      </w:r>
      <w:r>
        <w:rPr>
          <w:rtl w:val="true"/>
        </w:rPr>
        <w:t xml:space="preserve"> אשר מעורה בפרטי הפרשה הסבוכה</w:t>
      </w:r>
      <w:r>
        <w:rPr>
          <w:rtl w:val="true"/>
        </w:rPr>
        <w:t xml:space="preserve">, </w:t>
      </w:r>
      <w:r>
        <w:rPr>
          <w:rtl w:val="true"/>
        </w:rPr>
        <w:t xml:space="preserve">ואשר שמע את העדים והתרשם במישרין מעדויותיהם </w:t>
      </w:r>
      <w:r>
        <w:rPr>
          <w:rtl w:val="true"/>
        </w:rPr>
        <w:t>–</w:t>
      </w:r>
      <w:r>
        <w:rPr>
          <w:rtl w:val="true"/>
        </w:rPr>
        <w:t xml:space="preserve"> לא יהיה זה שיכריע את דינו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להחיל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 </w:t>
      </w:r>
      <w:r>
        <w:rPr>
          <w:rtl w:val="true"/>
        </w:rPr>
        <w:t>שתואר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לפיו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להתיר</w:t>
      </w:r>
      <w:r>
        <w:rPr>
          <w:rtl w:val="true"/>
        </w:rPr>
        <w:t xml:space="preserve"> </w:t>
      </w:r>
      <w:r>
        <w:rPr>
          <w:rtl w:val="true"/>
        </w:rPr>
        <w:t>לבעל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ליצור</w:t>
      </w:r>
      <w:r>
        <w:rPr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 בהתנהגותו</w:t>
      </w:r>
      <w:r>
        <w:rPr>
          <w:rtl w:val="true"/>
        </w:rPr>
        <w:t xml:space="preserve"> </w:t>
      </w:r>
      <w:r>
        <w:rPr>
          <w:rtl w:val="true"/>
        </w:rPr>
        <w:t>עילת</w:t>
      </w:r>
      <w:r>
        <w:rPr>
          <w:rtl w:val="true"/>
        </w:rPr>
        <w:t xml:space="preserve"> </w:t>
      </w:r>
      <w:r>
        <w:rPr>
          <w:rtl w:val="true"/>
        </w:rPr>
        <w:t>פסלות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בחר להימלט מישראל בעיצומו של ההליך הפלילי שהתנהל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בעודו מנצל </w:t>
      </w:r>
      <w:r>
        <w:rPr>
          <w:rtl w:val="true"/>
        </w:rPr>
        <w:t>"</w:t>
      </w:r>
      <w:r>
        <w:rPr>
          <w:rtl w:val="true"/>
        </w:rPr>
        <w:t>חלון התאווררות</w:t>
      </w:r>
      <w:r>
        <w:rPr>
          <w:rtl w:val="true"/>
        </w:rPr>
        <w:t xml:space="preserve">" </w:t>
      </w:r>
      <w:r>
        <w:rPr>
          <w:rtl w:val="true"/>
        </w:rPr>
        <w:t>שניתן לו בהיותו אזוק באיזוק אלקטרוני</w:t>
      </w:r>
      <w:r>
        <w:rPr>
          <w:rtl w:val="true"/>
        </w:rPr>
        <w:t xml:space="preserve">. </w:t>
      </w:r>
      <w:r>
        <w:rPr>
          <w:rtl w:val="true"/>
        </w:rPr>
        <w:t>הוא שהה מחוץ לישראל במשך ארבע שנים כמעט ושב אליה לאחר מתן הכרעת הדין בעניינם של יתר הנאשמים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אין להלום כי יתאפשר למערער להיבנות מהתנהלותו הפסולה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ציין בפני השופטת </w:t>
      </w:r>
      <w:r>
        <w:rPr>
          <w:rFonts w:ascii="Miriam" w:hAnsi="Miriam" w:cs="Miriam"/>
          <w:sz w:val="22"/>
          <w:sz w:val="22"/>
          <w:szCs w:val="24"/>
          <w:rtl w:val="true"/>
        </w:rPr>
        <w:t>רביד</w:t>
      </w:r>
      <w:r>
        <w:rPr>
          <w:rFonts w:ascii="Miriam" w:hAnsi="Miriam" w:cs="Miriam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אחת הסיבות לבריחתו נעוצה בחוסר שביעות רצונו מן האופן שבו התנהל המשפט</w:t>
      </w:r>
      <w:r>
        <w:rPr>
          <w:rtl w:val="true"/>
        </w:rPr>
        <w:t xml:space="preserve">. </w:t>
      </w:r>
      <w:r>
        <w:rPr>
          <w:rtl w:val="true"/>
        </w:rPr>
        <w:t>ובלשונו</w:t>
      </w:r>
      <w:r>
        <w:rPr>
          <w:rtl w:val="true"/>
        </w:rPr>
        <w:t xml:space="preserve">: 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ההחלטות</w:t>
      </w:r>
      <w:r>
        <w:rPr>
          <w:rtl w:val="true"/>
        </w:rPr>
        <w:t xml:space="preserve"> </w:t>
      </w:r>
      <w:r>
        <w:rPr>
          <w:rtl w:val="true"/>
        </w:rPr>
        <w:t>שברחתי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בגללך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רביד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שהתנהל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tl w:val="true"/>
        </w:rPr>
        <w:t>" (</w:t>
      </w:r>
      <w:r>
        <w:rPr>
          <w:rtl w:val="true"/>
        </w:rPr>
        <w:t>ההדגשה הוספה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זכות</w:t>
      </w:r>
      <w:r>
        <w:rPr>
          <w:rtl w:val="true"/>
        </w:rPr>
        <w:t xml:space="preserve">" </w:t>
      </w:r>
      <w:r>
        <w:rPr>
          <w:rtl w:val="true"/>
        </w:rPr>
        <w:t>בריחתו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ההרכב</w:t>
      </w:r>
      <w:r>
        <w:rPr>
          <w:rtl w:val="true"/>
        </w:rPr>
        <w:t xml:space="preserve">?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חמור מכך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קבלת בקשת הפסלות עלולה להקנות למערער </w:t>
      </w:r>
      <w:r>
        <w:rPr>
          <w:rFonts w:ascii="Century" w:hAnsi="Century" w:cs="Century"/>
          <w:sz w:val="22"/>
          <w:sz w:val="22"/>
          <w:rtl w:val="true"/>
        </w:rPr>
        <w:t>בהיבטים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מסוימים</w:t>
      </w:r>
      <w:r>
        <w:rPr>
          <w:rFonts w:ascii="Century" w:hAnsi="Century" w:cs="Century"/>
          <w:sz w:val="22"/>
          <w:sz w:val="22"/>
          <w:rtl w:val="true"/>
        </w:rPr>
        <w:t xml:space="preserve"> יתרון דיוני על פני שותפיו לכתב האישום שניהלו את המשפט כסדרו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נוכח ההבהרה מטעם המשיבה בדבר מקום הימצאם של חלק מעדי המדינה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בנסיבות אלה בין אם משפטו של המערער יתנהל בפני מותב אחר מבראשית ובין אם ימשך משלב פרשת ההגנה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מותב כזה יידרש להתמודד עם מכשולים ובכללם הצורך להכריע במהימנותם של עדים שלא נשמעו בפניו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ההבחנה שמבקש המערער להתוות בין עצם הימלטותו ובין הכרעת הדין המנומקת שניתנה בהיעדרו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היא הבחנה מלאכותית שאין לקבלה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כפי שציין בית המשפט </w:t>
      </w:r>
      <w:r>
        <w:rPr>
          <w:rFonts w:ascii="Century" w:hAnsi="Century" w:cs="Century"/>
          <w:sz w:val="22"/>
          <w:sz w:val="22"/>
          <w:rtl w:val="true"/>
        </w:rPr>
        <w:t>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שנמלט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הארץ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ביכולתו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להניח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שההליך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הפלילי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יוסיף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להתנהל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בהיעדרו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במסגרת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יישמעו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עדים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וייקבעו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ממצאים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העשויים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להשפיע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במידה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כזו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אחרת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הדיון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בעניינו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בנסיבות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קבלת הטענה כי עילת הפסלות התגבשה בשל הכרעת הדין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שניתנה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בעניינם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הנאשמים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האחרים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שלוש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ויותר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לאחר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בריחת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</w:t>
      </w:r>
      <w:r>
        <w:rPr>
          <w:rFonts w:ascii="Century" w:hAnsi="Century" w:cs="Century"/>
          <w:sz w:val="22"/>
          <w:sz w:val="22"/>
          <w:rtl w:val="true"/>
        </w:rPr>
        <w:t xml:space="preserve"> לא רק </w:t>
      </w:r>
      <w:r>
        <w:rPr>
          <w:rFonts w:ascii="Century" w:hAnsi="Century" w:cs="Century"/>
          <w:sz w:val="22"/>
          <w:sz w:val="22"/>
          <w:rtl w:val="true"/>
        </w:rPr>
        <w:t>כדי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להקנות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למערער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יתרון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בלתי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הוגן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הנאשמים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האחרים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היא אף תתמרץ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הימלטות</w:t>
      </w:r>
      <w:r>
        <w:rPr>
          <w:rFonts w:ascii="Century" w:hAnsi="Century" w:cs="Century"/>
          <w:sz w:val="22"/>
          <w:sz w:val="22"/>
          <w:rtl w:val="true"/>
        </w:rPr>
        <w:t xml:space="preserve"> 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ממושכת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ככל</w:t>
      </w:r>
      <w:r>
        <w:rPr>
          <w:rFonts w:ascii="Century" w:hAnsi="Century" w:cs="Century"/>
          <w:sz w:val="22"/>
          <w:sz w:val="22"/>
          <w:rtl w:val="true"/>
        </w:rPr>
        <w:t xml:space="preserve"> הניתן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מאימת הדין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אף לגופו של עניין</w:t>
      </w:r>
      <w:r>
        <w:rPr>
          <w:rtl w:val="true"/>
        </w:rPr>
        <w:t xml:space="preserve">, </w:t>
      </w:r>
      <w:r>
        <w:rPr>
          <w:rtl w:val="true"/>
        </w:rPr>
        <w:t>לא מצאתי כי טענות המערער מבססות עילה לפסילת המותב</w:t>
      </w:r>
      <w:r>
        <w:rPr>
          <w:rtl w:val="true"/>
        </w:rPr>
        <w:t xml:space="preserve">. </w:t>
      </w:r>
      <w:r>
        <w:rPr>
          <w:rtl w:val="true"/>
        </w:rPr>
        <w:t>כעולה מכתב הערעור</w:t>
      </w:r>
      <w:r>
        <w:rPr>
          <w:rtl w:val="true"/>
        </w:rPr>
        <w:t xml:space="preserve">, </w:t>
      </w:r>
      <w:r>
        <w:rPr>
          <w:rtl w:val="true"/>
        </w:rPr>
        <w:t xml:space="preserve">עילת הפסלות הנטענת אינה נסמכת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העובדה</w:t>
      </w:r>
      <w:r>
        <w:rPr>
          <w:rFonts w:ascii="Century" w:hAnsi="Century" w:cs="Century"/>
          <w:sz w:val="22"/>
          <w:sz w:val="22"/>
          <w:rtl w:val="true"/>
        </w:rPr>
        <w:t xml:space="preserve"> שחברי ההרכב דנו במשפטם של הנאשמים האחרים בפרשה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והמערער אף אינו טוען שההרכב נחשף לחומר ראיות בלתי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קביל העשוי להשפיע על עמדתו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לדחיית ערעורי פסלות בתרחיש שבו משפטו של נאשם עוכב עקב הימלטותו או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התייצבותו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והמותב נחשף בינתיים למידע בלתי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קביל במסגרת משפטם של נאשמים אחרים בפרשה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1/88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כוכבי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מב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133</w:t>
      </w:r>
      <w:r>
        <w:rPr>
          <w:rtl w:val="true"/>
        </w:rPr>
        <w:t xml:space="preserve">, </w:t>
      </w:r>
      <w:r>
        <w:rPr/>
        <w:t>134</w:t>
      </w:r>
      <w:r>
        <w:rPr>
          <w:rtl w:val="true"/>
        </w:rPr>
        <w:t xml:space="preserve"> (</w:t>
      </w:r>
      <w:r>
        <w:rPr/>
        <w:t>1988</w:t>
      </w:r>
      <w:r>
        <w:rPr>
          <w:rtl w:val="true"/>
        </w:rPr>
        <w:t xml:space="preserve">); </w:t>
      </w:r>
      <w:hyperlink r:id="rId20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9008/02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11.12.2002</w:t>
      </w:r>
      <w:r>
        <w:rPr>
          <w:rFonts w:cs="Arial TUR;Arial" w:ascii="Arial TUR;Arial" w:hAnsi="Arial TUR;Arial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 xml:space="preserve">המערער מתמקד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cs="Century"/>
          <w:sz w:val="22"/>
          <w:sz w:val="22"/>
          <w:rtl w:val="true"/>
        </w:rPr>
        <w:t xml:space="preserve"> שניתנה ביחס לאותם נאשמים אחרים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ממנה עולה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לגישתו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המותב </w:t>
      </w:r>
      <w:r>
        <w:rPr>
          <w:rtl w:val="true"/>
        </w:rPr>
        <w:t>קבע ממצאים וגיבש דעה גם בנוגע אליו ולעבירות המיוחסות לו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בהקשר זה נקבע לא אחת כי העובדה שמותב הכריע בעניינם של חלק מהנאשמים בפרשה מסוימת</w:t>
      </w:r>
      <w:r>
        <w:rPr>
          <w:rtl w:val="true"/>
        </w:rPr>
        <w:t xml:space="preserve">, </w:t>
      </w:r>
      <w:r>
        <w:rPr>
          <w:rtl w:val="true"/>
        </w:rPr>
        <w:t xml:space="preserve">אינה מקימה כשלעצמה עילה לפסילתו מלדון בעניינו של נאשם נוסף שדינו טרם הוכרע </w:t>
      </w:r>
      <w:r>
        <w:rPr>
          <w:rtl w:val="true"/>
        </w:rPr>
        <w:t>–</w:t>
      </w:r>
      <w:r>
        <w:rPr>
          <w:rtl w:val="true"/>
        </w:rPr>
        <w:t xml:space="preserve"> וזאת אף כשמדובר במסכת עובדתית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 xml:space="preserve">וכשאותם העֵדים מעידים ביחס לכל הנאשמים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7248/17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28.9.2017</w:t>
      </w:r>
      <w:r>
        <w:rPr>
          <w:rtl w:val="true"/>
        </w:rPr>
        <w:t xml:space="preserve">); </w:t>
      </w:r>
      <w:hyperlink r:id="rId22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1179/94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אשכנזי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</w:rPr>
        <w:t>‎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</w:rPr>
        <w:t>‎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פ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ד מח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5</w:t>
      </w:r>
      <w:r>
        <w:rPr>
          <w:rFonts w:cs="Arial TUR;Arial" w:ascii="Arial TUR;Arial" w:hAnsi="Arial TUR;Arial"/>
          <w:sz w:val="22"/>
          <w:rtl w:val="true"/>
        </w:rPr>
        <w:t xml:space="preserve">) </w:t>
      </w:r>
      <w:r>
        <w:rPr>
          <w:rFonts w:cs="Arial TUR;Arial" w:ascii="Arial TUR;Arial" w:hAnsi="Arial TUR;Arial"/>
          <w:sz w:val="22"/>
        </w:rPr>
        <w:t>320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cs="Arial TUR;Arial" w:ascii="Arial TUR;Arial" w:hAnsi="Arial TUR;Arial"/>
          <w:sz w:val="22"/>
        </w:rPr>
        <w:t>328-326</w:t>
      </w:r>
      <w:r>
        <w:rPr>
          <w:rFonts w:cs="Arial TUR;Arial" w:ascii="Arial TUR;Arial" w:hAnsi="Arial TUR;Arial"/>
          <w:sz w:val="22"/>
          <w:rtl w:val="true"/>
        </w:rPr>
        <w:t xml:space="preserve"> (</w:t>
      </w:r>
      <w:r>
        <w:rPr>
          <w:rFonts w:cs="Arial TUR;Arial" w:ascii="Arial TUR;Arial" w:hAnsi="Arial TUR;Arial"/>
          <w:sz w:val="22"/>
        </w:rPr>
        <w:t>1994</w:t>
      </w:r>
      <w:r>
        <w:rPr>
          <w:rFonts w:cs="Arial TUR;Arial" w:ascii="Arial TUR;Arial" w:hAnsi="Arial TUR;Arial"/>
          <w:sz w:val="22"/>
          <w:rtl w:val="true"/>
        </w:rPr>
        <w:t>) (</w:t>
      </w:r>
      <w:r>
        <w:rPr>
          <w:rFonts w:ascii="Arial TUR;Arial" w:hAnsi="Arial TUR;Arial" w:cs="Arial TUR;Arial"/>
          <w:sz w:val="22"/>
          <w:sz w:val="22"/>
          <w:rtl w:val="true"/>
        </w:rPr>
        <w:t>להלן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אשכנזי</w:t>
      </w:r>
      <w:r>
        <w:rPr>
          <w:rFonts w:cs="Arial TUR;Arial" w:ascii="Arial TUR;Arial" w:hAnsi="Arial TUR;Arial"/>
          <w:sz w:val="22"/>
          <w:rtl w:val="true"/>
        </w:rPr>
        <w:t>)</w:t>
      </w:r>
      <w:r>
        <w:rPr>
          <w:rtl w:val="true"/>
        </w:rPr>
        <w:t>).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ab/>
      </w:r>
      <w:r>
        <w:rPr>
          <w:rtl w:val="true"/>
        </w:rPr>
        <w:t xml:space="preserve">כלל זה יפה למצבים שבהם הוגש כתב אישום נגד מספר נאשמים במאוחד וכן למצבים שמשפטיהם מתנהלים בנפרד או שהדיון בעניינם אוחד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 xml:space="preserve">כך שרק חלק מהעדים נשמעו במשותף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597/87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מוישאשוילי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13.11.1987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350/91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מה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345</w:t>
      </w:r>
      <w:r>
        <w:rPr>
          <w:rtl w:val="true"/>
        </w:rPr>
        <w:t xml:space="preserve">, </w:t>
      </w:r>
      <w:r>
        <w:rPr/>
        <w:t>351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3287/90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מד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712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פחימה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 xml:space="preserve">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אשכנזי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17/96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מרקדו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מט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729</w:t>
      </w:r>
      <w:r>
        <w:rPr>
          <w:rtl w:val="true"/>
        </w:rPr>
        <w:t xml:space="preserve">, </w:t>
      </w:r>
      <w:r>
        <w:rPr/>
        <w:t>731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25/86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אלדג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מ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163</w:t>
      </w:r>
      <w:r>
        <w:rPr>
          <w:rtl w:val="true"/>
        </w:rPr>
        <w:t xml:space="preserve">, </w:t>
      </w:r>
      <w:r>
        <w:rPr/>
        <w:t>164-163</w:t>
      </w:r>
      <w:r>
        <w:rPr>
          <w:rtl w:val="true"/>
        </w:rPr>
        <w:t xml:space="preserve"> (</w:t>
      </w:r>
      <w:r>
        <w:rPr/>
        <w:t>1986</w:t>
      </w:r>
      <w:r>
        <w:rPr>
          <w:rtl w:val="true"/>
        </w:rPr>
        <w:t>)).</w:t>
      </w:r>
    </w:p>
    <w:p>
      <w:pPr>
        <w:pStyle w:val="Ruller43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ייתכנו מקרים חריגים שבהם התבטאויות או קביעות של המותב בעניינם של נאשמים אחרים</w:t>
      </w:r>
      <w:r>
        <w:rPr>
          <w:rtl w:val="true"/>
        </w:rPr>
        <w:t xml:space="preserve">, </w:t>
      </w:r>
      <w:r>
        <w:rPr>
          <w:rtl w:val="true"/>
        </w:rPr>
        <w:t xml:space="preserve">תבססנה עילת פסלות ביחס לנאשם שדינו טרם הוכרע </w:t>
      </w:r>
      <w:r>
        <w:rPr>
          <w:rFonts w:cs="Arial TUR;Arial" w:ascii="Arial TUR;Arial" w:hAnsi="Arial TUR;Arial"/>
          <w:sz w:val="22"/>
          <w:rtl w:val="true"/>
        </w:rPr>
        <w:t>(</w:t>
      </w:r>
      <w:hyperlink r:id="rId28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9703/02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פסקה </w:t>
      </w:r>
      <w:r>
        <w:rPr>
          <w:rFonts w:cs="Arial TUR;Arial" w:ascii="Arial TUR;Arial" w:hAnsi="Arial TUR;Arial"/>
          <w:sz w:val="22"/>
        </w:rPr>
        <w:t>5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5.1.2003</w:t>
      </w:r>
      <w:r>
        <w:rPr>
          <w:rtl w:val="true"/>
        </w:rPr>
        <w:t xml:space="preserve">)). </w:t>
      </w:r>
      <w:r>
        <w:rPr>
          <w:rtl w:val="true"/>
        </w:rPr>
        <w:t>בהקשר זה יש לבחון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מהות קביעותיו של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את מידת נחרצותן ואת השלכותיהן האפשריות על עניינו של מבקש הפסלות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11073/04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5-4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28.12.2004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6725/04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5-4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3.8.2004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6068/93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גגולשווילי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606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/>
        <w:t>608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>)).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האם בענייננו תוכןּ הכרעת הדין ביחס לנאשמים האחרים מקים עילת פסלות בשל חשש ממשי למשוא פנים מצד המותב </w:t>
      </w:r>
      <w:r>
        <w:rPr>
          <w:rtl w:val="true"/>
        </w:rPr>
        <w:t>(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>)?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ראשית אציין כי מקובלת עליי הבהרת חברי ההרכב לפיה יש להבחין בין התרשמותם מעדי התביעה </w:t>
      </w:r>
      <w:r>
        <w:rPr>
          <w:rtl w:val="true"/>
        </w:rPr>
        <w:t>"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tl w:val="true"/>
        </w:rPr>
        <w:t xml:space="preserve"> </w:t>
      </w:r>
      <w:r>
        <w:rPr>
          <w:rtl w:val="true"/>
        </w:rPr>
        <w:t>המאקרו</w:t>
      </w:r>
      <w:r>
        <w:rPr>
          <w:rtl w:val="true"/>
        </w:rPr>
        <w:t xml:space="preserve">", </w:t>
      </w:r>
      <w:r>
        <w:rPr>
          <w:rtl w:val="true"/>
        </w:rPr>
        <w:t>ובין הקביעות הפרטניות הנוגעות למהימנות העדים בזיקה לכל אחד מן האישומים והנאשמים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 בקביעות הכלליות בעניין מהימנותו של מי מהעדים הללו כדי לבסס</w:t>
      </w:r>
      <w:r>
        <w:rPr>
          <w:rtl w:val="true"/>
        </w:rPr>
        <w:t xml:space="preserve">,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>חשש ממשי למשוא פנים</w:t>
      </w:r>
      <w:r>
        <w:rPr>
          <w:rtl w:val="true"/>
        </w:rPr>
        <w:t xml:space="preserve">, </w:t>
      </w:r>
      <w:r>
        <w:rPr>
          <w:rtl w:val="true"/>
        </w:rPr>
        <w:t>ככל שהדבר נוגע למערער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סוגיה דומה נדונה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פחימה</w:t>
      </w:r>
      <w:r>
        <w:rPr>
          <w:rtl w:val="true"/>
        </w:rPr>
        <w:t xml:space="preserve">, </w:t>
      </w:r>
      <w:r>
        <w:rPr>
          <w:rtl w:val="true"/>
        </w:rPr>
        <w:t>שם דן</w:t>
      </w:r>
      <w:r>
        <w:rPr>
          <w:rtl w:val="true"/>
        </w:rPr>
        <w:t xml:space="preserve">, </w:t>
      </w:r>
      <w:r>
        <w:rPr>
          <w:rtl w:val="true"/>
        </w:rPr>
        <w:t>המותב</w:t>
      </w:r>
      <w:r>
        <w:rPr>
          <w:rtl w:val="true"/>
        </w:rPr>
        <w:t xml:space="preserve">,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בשני הליכים פליליים שהתבססו על תשתית עובדתית דומה</w:t>
      </w:r>
      <w:r>
        <w:rPr>
          <w:rtl w:val="true"/>
        </w:rPr>
        <w:t xml:space="preserve">. </w:t>
      </w:r>
      <w:r>
        <w:rPr>
          <w:rtl w:val="true"/>
        </w:rPr>
        <w:t>שני ההליכים נשמעו במאוחד עד לסיום פרשת התביעה</w:t>
      </w:r>
      <w:r>
        <w:rPr>
          <w:rtl w:val="true"/>
        </w:rPr>
        <w:t xml:space="preserve">, </w:t>
      </w:r>
      <w:r>
        <w:rPr>
          <w:rtl w:val="true"/>
        </w:rPr>
        <w:t>אשר במהלכה נשמעה עדותו של עֵד מדינה</w:t>
      </w:r>
      <w:r>
        <w:rPr>
          <w:rtl w:val="true"/>
        </w:rPr>
        <w:t xml:space="preserve">. </w:t>
      </w:r>
      <w:r>
        <w:rPr>
          <w:rtl w:val="true"/>
        </w:rPr>
        <w:t xml:space="preserve">המותב הרשיע שם את אחד הנאשמים </w:t>
      </w:r>
      <w:r>
        <w:rPr>
          <w:rtl w:val="true"/>
        </w:rPr>
        <w:t>(</w:t>
      </w:r>
      <w:r>
        <w:rPr>
          <w:rtl w:val="true"/>
        </w:rPr>
        <w:t>אסרף</w:t>
      </w:r>
      <w:r>
        <w:rPr>
          <w:rtl w:val="true"/>
        </w:rPr>
        <w:t xml:space="preserve">), </w:t>
      </w:r>
      <w:r>
        <w:rPr>
          <w:rtl w:val="true"/>
        </w:rPr>
        <w:t xml:space="preserve">בציינו כי עד המדינה </w:t>
      </w:r>
      <w:r>
        <w:rPr>
          <w:rtl w:val="true"/>
        </w:rPr>
        <w:t>"</w:t>
      </w:r>
      <w:r>
        <w:rPr>
          <w:rtl w:val="true"/>
        </w:rPr>
        <w:t>עשה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רושם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אמין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עקבי</w:t>
      </w:r>
      <w:r>
        <w:rPr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 </w:t>
      </w:r>
      <w:r>
        <w:rPr>
          <w:rtl w:val="true"/>
        </w:rPr>
        <w:t>הארוכה</w:t>
      </w:r>
      <w:r>
        <w:rPr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ח</w:t>
      </w:r>
      <w:r>
        <w:rPr>
          <w:rtl w:val="true"/>
        </w:rPr>
        <w:t>ילתה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סופה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715</w:t>
      </w:r>
      <w:r>
        <w:rPr>
          <w:rtl w:val="true"/>
        </w:rPr>
        <w:t xml:space="preserve">).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לוין</w:t>
      </w:r>
      <w:r>
        <w:rPr>
          <w:rtl w:val="true"/>
        </w:rPr>
        <w:t xml:space="preserve"> דחה ערעור פסלות שהגיש בעקבות כך הנאשם השני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tl w:val="true"/>
        </w:rPr>
        <w:t>: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"[...]</w:t>
      </w:r>
      <w:r>
        <w:rPr>
          <w:rtl w:val="true"/>
        </w:rPr>
        <w:t xml:space="preserve"> </w:t>
      </w:r>
      <w:r>
        <w:rPr>
          <w:rtl w:val="true"/>
        </w:rPr>
        <w:t>משעשה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מואשם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[...]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אסרף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למשוא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[...]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אמינותו</w:t>
      </w:r>
      <w:r>
        <w:rPr>
          <w:rtl w:val="true"/>
        </w:rPr>
        <w:t xml:space="preserve">, </w:t>
      </w:r>
      <w:r>
        <w:rPr>
          <w:rtl w:val="true"/>
        </w:rPr>
        <w:t>צדקת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</w:t>
      </w:r>
      <w:r>
        <w:rPr>
          <w:rtl w:val="true"/>
        </w:rPr>
        <w:t>ס</w:t>
      </w:r>
      <w:r>
        <w:rPr>
          <w:rtl w:val="true"/>
        </w:rPr>
        <w:t>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ושלילת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719-718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עיון בציטוטים מתוך הכרעת הדין שעליהם מסתמך המערער בטענותיו והנוגעים לאישומים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המיוחסים לו</w:t>
      </w:r>
      <w:r>
        <w:rPr>
          <w:rtl w:val="true"/>
        </w:rPr>
        <w:t xml:space="preserve">, </w:t>
      </w:r>
      <w:r>
        <w:rPr>
          <w:rtl w:val="true"/>
        </w:rPr>
        <w:t xml:space="preserve">מעלה כי הטענה בדבר </w:t>
      </w:r>
      <w:r>
        <w:rPr>
          <w:rtl w:val="true"/>
        </w:rPr>
        <w:t>"</w:t>
      </w:r>
      <w:r>
        <w:rPr>
          <w:rtl w:val="true"/>
        </w:rPr>
        <w:t>נעילת</w:t>
      </w:r>
      <w:r>
        <w:rPr>
          <w:rtl w:val="true"/>
        </w:rPr>
        <w:t xml:space="preserve">" </w:t>
      </w:r>
      <w:r>
        <w:rPr>
          <w:rtl w:val="true"/>
        </w:rPr>
        <w:t>דעתם של חברי ההרכב לעניין אשמת המערער</w:t>
      </w:r>
      <w:r>
        <w:rPr>
          <w:rtl w:val="true"/>
        </w:rPr>
        <w:t xml:space="preserve">, </w:t>
      </w:r>
      <w:r>
        <w:rPr>
          <w:rtl w:val="true"/>
        </w:rPr>
        <w:t>אף היא משוללת יסוד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חברי ההרכב התייחסו אמנם למהימנותם של עדי המדינה בהקשר זה</w:t>
      </w:r>
      <w:r>
        <w:rPr>
          <w:rtl w:val="true"/>
        </w:rPr>
        <w:t xml:space="preserve">, </w:t>
      </w:r>
      <w:r>
        <w:rPr>
          <w:rtl w:val="true"/>
        </w:rPr>
        <w:t>וציינו למשל</w:t>
      </w:r>
      <w:r>
        <w:rPr>
          <w:rtl w:val="true"/>
        </w:rPr>
        <w:t xml:space="preserve">, </w:t>
      </w:r>
      <w:r>
        <w:rPr>
          <w:rtl w:val="true"/>
        </w:rPr>
        <w:t xml:space="preserve">כי העדויות של שניים מהם ביחס לאישום השלישי </w:t>
      </w:r>
      <w:r>
        <w:rPr>
          <w:rtl w:val="true"/>
        </w:rPr>
        <w:t>"</w:t>
      </w:r>
      <w:r>
        <w:rPr>
          <w:rtl w:val="true"/>
        </w:rPr>
        <w:t>תואמות</w:t>
      </w:r>
      <w:r>
        <w:rPr>
          <w:rtl w:val="true"/>
        </w:rPr>
        <w:t xml:space="preserve"> </w:t>
      </w:r>
      <w:r>
        <w:rPr>
          <w:rtl w:val="true"/>
        </w:rPr>
        <w:t>ומשלימות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231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ראשית יש לזכור כי </w:t>
      </w:r>
      <w:r>
        <w:rPr>
          <w:rFonts w:ascii="Miriam" w:hAnsi="Miriam" w:cs="Miriam"/>
          <w:sz w:val="22"/>
          <w:sz w:val="22"/>
          <w:szCs w:val="24"/>
          <w:rtl w:val="true"/>
        </w:rPr>
        <w:t>באי</w:t>
      </w:r>
      <w:r>
        <w:rPr>
          <w:rFonts w:ascii="Miriam" w:hAnsi="Miriam" w:cs="Miriam"/>
          <w:sz w:val="22"/>
          <w:sz w:val="22"/>
          <w:szCs w:val="24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כוחו</w:t>
      </w:r>
      <w:r>
        <w:rPr>
          <w:rFonts w:ascii="Miriam" w:hAnsi="Miriam" w:cs="Miriam"/>
          <w:sz w:val="22"/>
          <w:sz w:val="22"/>
          <w:szCs w:val="24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של</w:t>
      </w:r>
      <w:r>
        <w:rPr>
          <w:rFonts w:ascii="Miriam" w:hAnsi="Miriam" w:cs="Miriam"/>
          <w:sz w:val="22"/>
          <w:sz w:val="22"/>
          <w:szCs w:val="24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 חקרו את העדים הללו בחקירה נגדית ומשכך קשה לטעון כי נשללה ממנו ההזדמנות להתמודד עם גרסאותיהם של עדי התביעה ולערערן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במסגרת פרשת ההגנה תינתן למערער האפשרות להציג ראיות ועדויות שטרם הוצגו בפני חברי ההרכב</w:t>
      </w:r>
      <w:r>
        <w:rPr>
          <w:rtl w:val="true"/>
        </w:rPr>
        <w:t xml:space="preserve">, </w:t>
      </w:r>
      <w:r>
        <w:rPr>
          <w:rtl w:val="true"/>
        </w:rPr>
        <w:t xml:space="preserve">ולשכנעם באמיתות גרסתו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5381/07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פוזאילוב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חלפון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26.11.2007</w:t>
      </w:r>
      <w:r>
        <w:rPr>
          <w:rtl w:val="true"/>
        </w:rPr>
        <w:t xml:space="preserve">)). </w:t>
      </w:r>
      <w:r>
        <w:rPr>
          <w:rtl w:val="true"/>
        </w:rPr>
        <w:t>וכבר נפסק בהקשר דומה כי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לסינון</w:t>
      </w:r>
      <w:r>
        <w:rPr>
          <w:rtl w:val="true"/>
        </w:rPr>
        <w:t xml:space="preserve">, </w:t>
      </w:r>
      <w:r>
        <w:rPr>
          <w:rtl w:val="true"/>
        </w:rPr>
        <w:t>וחלק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ככוזב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: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מופרכת</w:t>
      </w:r>
      <w:r>
        <w:rPr>
          <w:rtl w:val="true"/>
        </w:rPr>
        <w:t>" 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547/88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45</w:t>
      </w:r>
      <w:r>
        <w:rPr>
          <w:rtl w:val="true"/>
        </w:rPr>
        <w:t xml:space="preserve">, </w:t>
      </w:r>
      <w:r>
        <w:rPr/>
        <w:t>47</w:t>
      </w:r>
      <w:r>
        <w:rPr>
          <w:rtl w:val="true"/>
        </w:rPr>
        <w:t xml:space="preserve"> (</w:t>
      </w:r>
      <w:r>
        <w:rPr/>
        <w:t>1989</w:t>
      </w:r>
      <w:r>
        <w:rPr>
          <w:rtl w:val="true"/>
        </w:rPr>
        <w:t xml:space="preserve">);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האם קביעות ההרכב בהכרעת הדין ככל שהן נוגעות למערער הן מובהקות ונחרצות</w:t>
      </w:r>
      <w:r>
        <w:rPr>
          <w:rtl w:val="true"/>
        </w:rPr>
        <w:t xml:space="preserve">? </w:t>
      </w:r>
      <w:r>
        <w:rPr>
          <w:rtl w:val="true"/>
        </w:rPr>
        <w:t>והאם קיים חשש ששינויין עשוי להשליך על עניינם של הנאשמים האחרים</w:t>
      </w:r>
      <w:r>
        <w:rPr>
          <w:rtl w:val="true"/>
        </w:rPr>
        <w:t xml:space="preserve">?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בניגוד לנטען על ידי המערער עיונים בציטוטים מהכרעת הדין שאליהם הפנה</w:t>
      </w:r>
      <w:r>
        <w:rPr>
          <w:rtl w:val="true"/>
        </w:rPr>
        <w:t xml:space="preserve">, </w:t>
      </w:r>
      <w:r>
        <w:rPr>
          <w:rtl w:val="true"/>
        </w:rPr>
        <w:t>מעלה כי הוא מוזכר בהם באופן עקיף בלבד ומבלי שנקבעו לגביו ממצאים עובדתיים קונקרטיים ומנומקים</w:t>
      </w:r>
      <w:r>
        <w:rPr>
          <w:rtl w:val="true"/>
        </w:rPr>
        <w:t xml:space="preserve">. </w:t>
      </w:r>
      <w:r>
        <w:rPr>
          <w:rtl w:val="true"/>
        </w:rPr>
        <w:t>ביחס לישי וענונו 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עדותו </w:t>
      </w:r>
      <w:r>
        <w:rPr>
          <w:rtl w:val="true"/>
        </w:rPr>
        <w:t>"</w:t>
      </w:r>
      <w:r>
        <w:rPr>
          <w:rtl w:val="true"/>
        </w:rPr>
        <w:t>לא נסתרה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 </w:t>
      </w:r>
      <w:r>
        <w:rPr>
          <w:rtl w:val="true"/>
        </w:rPr>
        <w:t>וכי לא נמצאה סיבה לדחותה</w:t>
      </w:r>
      <w:r>
        <w:rPr>
          <w:rtl w:val="true"/>
        </w:rPr>
        <w:t xml:space="preserve">, </w:t>
      </w:r>
      <w:r>
        <w:rPr>
          <w:rtl w:val="true"/>
        </w:rPr>
        <w:t>וקביעה דומה צוינה ביחס לעדויות של בומבי וה</w:t>
      </w:r>
      <w:r>
        <w:rPr>
          <w:rtl w:val="true"/>
        </w:rPr>
        <w:t>.</w:t>
      </w:r>
      <w:r>
        <w:rPr>
          <w:rtl w:val="true"/>
        </w:rPr>
        <w:t>צ לגבי האישום הרביעי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 אין מדובר בקביעות עובדתיות  או משפטיות מובהקות  ביחס למערער</w:t>
      </w:r>
      <w:r>
        <w:rPr>
          <w:rtl w:val="true"/>
        </w:rPr>
        <w:t xml:space="preserve">, </w:t>
      </w:r>
      <w:r>
        <w:rPr>
          <w:rtl w:val="true"/>
        </w:rPr>
        <w:t>או במסקנות שמהן יתקשו חברי ההרכב לסטות בהמשך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בכך שונה ענייננו מעניין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tl w:val="true"/>
        </w:rPr>
        <w:t xml:space="preserve"> שעליו מסתמך המערער בטענותיו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8.8.2010</w:t>
      </w:r>
      <w:r>
        <w:rPr>
          <w:rtl w:val="true"/>
        </w:rPr>
        <w:t xml:space="preserve">)). </w:t>
      </w:r>
      <w:r>
        <w:rPr>
          <w:rtl w:val="true"/>
        </w:rPr>
        <w:t xml:space="preserve">באותו מקרה הוגש כתב אישום נגד שני נאשמים במאוחד </w:t>
      </w:r>
      <w:r>
        <w:rPr>
          <w:rtl w:val="true"/>
        </w:rPr>
        <w:t>–</w:t>
      </w:r>
      <w:r>
        <w:rPr>
          <w:rtl w:val="true"/>
        </w:rPr>
        <w:t xml:space="preserve"> רחל ואברהם </w:t>
      </w:r>
      <w:r>
        <w:rPr>
          <w:rtl w:val="true"/>
        </w:rPr>
        <w:t>–</w:t>
      </w:r>
      <w:r>
        <w:rPr>
          <w:rtl w:val="true"/>
        </w:rPr>
        <w:t xml:space="preserve"> אשר ייחס לשניהם רצח בכוונה תחילה</w:t>
      </w:r>
      <w:r>
        <w:rPr>
          <w:rtl w:val="true"/>
        </w:rPr>
        <w:t xml:space="preserve">. </w:t>
      </w:r>
      <w:r>
        <w:rPr>
          <w:rtl w:val="true"/>
        </w:rPr>
        <w:t>הדיון בעניינם הופרד לאחר תום שמיעת ראיות התביעה</w:t>
      </w:r>
      <w:r>
        <w:rPr>
          <w:rtl w:val="true"/>
        </w:rPr>
        <w:t xml:space="preserve">, </w:t>
      </w:r>
      <w:r>
        <w:rPr>
          <w:rtl w:val="true"/>
        </w:rPr>
        <w:t>ובהמשך ניתנה הכרעת דין מנומקת בעניינה של רחל</w:t>
      </w:r>
      <w:r>
        <w:rPr>
          <w:rtl w:val="true"/>
        </w:rPr>
        <w:t xml:space="preserve">. </w:t>
      </w:r>
      <w:r>
        <w:rPr>
          <w:rtl w:val="true"/>
        </w:rPr>
        <w:t>אברהם טען שעל חברי ההרכב לפסול עצמם מלדון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והנשיאה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ביניש</w:t>
      </w:r>
      <w:r>
        <w:rPr>
          <w:rtl w:val="true"/>
        </w:rPr>
        <w:t xml:space="preserve"> קיבלה את ערעורו והורתה על פסילת המותב</w:t>
      </w:r>
      <w:r>
        <w:rPr>
          <w:rtl w:val="true"/>
        </w:rPr>
        <w:t xml:space="preserve">. </w:t>
      </w:r>
      <w:r>
        <w:rPr>
          <w:rtl w:val="true"/>
        </w:rPr>
        <w:t>בתוך כך הודגש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כי הכרעת הדין בעניינה של רחל כללה </w:t>
      </w:r>
      <w:r>
        <w:rPr>
          <w:rtl w:val="true"/>
        </w:rPr>
        <w:t>"</w:t>
      </w:r>
      <w:r>
        <w:rPr>
          <w:rtl w:val="true"/>
        </w:rPr>
        <w:t>ממצאים</w:t>
      </w:r>
      <w:r>
        <w:rPr>
          <w:rtl w:val="true"/>
        </w:rPr>
        <w:t xml:space="preserve"> </w:t>
      </w:r>
      <w:r>
        <w:rPr>
          <w:rtl w:val="true"/>
        </w:rPr>
        <w:t>עובדתיים</w:t>
      </w:r>
      <w:r>
        <w:rPr>
          <w:rtl w:val="true"/>
        </w:rPr>
        <w:t xml:space="preserve"> </w:t>
      </w:r>
      <w:r>
        <w:rPr>
          <w:rtl w:val="true"/>
        </w:rPr>
        <w:t>הנוגעים</w:t>
      </w:r>
      <w:r>
        <w:rPr>
          <w:rtl w:val="true"/>
        </w:rPr>
        <w:t xml:space="preserve"> </w:t>
      </w:r>
      <w:r>
        <w:rPr>
          <w:rtl w:val="true"/>
        </w:rPr>
        <w:t>במישרין</w:t>
      </w:r>
      <w:r>
        <w:rPr>
          <w:rtl w:val="true"/>
        </w:rPr>
        <w:t xml:space="preserve"> </w:t>
      </w:r>
      <w:r>
        <w:rPr>
          <w:rtl w:val="true"/>
        </w:rPr>
        <w:t>לאשמתו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אברהם</w:t>
      </w:r>
      <w:r>
        <w:rPr>
          <w:rtl w:val="true"/>
        </w:rPr>
        <w:t xml:space="preserve">]"; </w:t>
      </w:r>
      <w:r>
        <w:rPr>
          <w:rtl w:val="true"/>
        </w:rPr>
        <w:t xml:space="preserve">כי הכרעת הדין בחנה את </w:t>
      </w:r>
      <w:r>
        <w:rPr>
          <w:rtl w:val="true"/>
        </w:rPr>
        <w:t>"</w:t>
      </w:r>
      <w:r>
        <w:rPr>
          <w:rtl w:val="true"/>
        </w:rPr>
        <w:t>מכלול</w:t>
      </w:r>
      <w:r>
        <w:rPr>
          <w:rtl w:val="true"/>
        </w:rPr>
        <w:t xml:space="preserve"> </w:t>
      </w:r>
      <w:r>
        <w:rPr>
          <w:rtl w:val="true"/>
        </w:rPr>
        <w:t>חומר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הנוגע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טבעי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לחלקו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אברהם</w:t>
      </w:r>
      <w:r>
        <w:rPr>
          <w:rtl w:val="true"/>
        </w:rPr>
        <w:t xml:space="preserve">] </w:t>
      </w:r>
      <w:r>
        <w:rPr>
          <w:rtl w:val="true"/>
        </w:rPr>
        <w:t>במעשי</w:t>
      </w:r>
      <w:r>
        <w:rPr>
          <w:rtl w:val="true"/>
        </w:rPr>
        <w:t>ם</w:t>
      </w:r>
      <w:r>
        <w:rPr>
          <w:rtl w:val="true"/>
        </w:rPr>
        <w:t xml:space="preserve">"; </w:t>
      </w:r>
      <w:r>
        <w:rPr>
          <w:rtl w:val="true"/>
        </w:rPr>
        <w:t>וכי מדובר במצב דברים יוצא</w:t>
      </w:r>
      <w:r>
        <w:rPr>
          <w:rtl w:val="true"/>
        </w:rPr>
        <w:t>-</w:t>
      </w:r>
      <w:r>
        <w:rPr>
          <w:rtl w:val="true"/>
        </w:rPr>
        <w:t xml:space="preserve">דופן שבו בית המשפט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ומזכיר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כמסייעת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לביצועו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6</w:t>
      </w:r>
      <w:r>
        <w:rPr>
          <w:rtl w:val="true"/>
        </w:rPr>
        <w:t xml:space="preserve">; </w:t>
      </w:r>
      <w:r>
        <w:rPr>
          <w:rtl w:val="true"/>
        </w:rPr>
        <w:t>ההדגשה הוספה</w:t>
      </w:r>
      <w:r>
        <w:rPr>
          <w:rtl w:val="true"/>
        </w:rPr>
        <w:t xml:space="preserve">). </w:t>
      </w:r>
      <w:r>
        <w:rPr>
          <w:rtl w:val="true"/>
        </w:rPr>
        <w:t xml:space="preserve">הוא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עמארה</w:t>
      </w:r>
      <w:r>
        <w:rPr>
          <w:rtl w:val="true"/>
        </w:rPr>
        <w:t xml:space="preserve"> שאף אליו הפנה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שם הורה בית משפט זה על פסילת מותב עקב פסק דין קודם שבו </w:t>
      </w:r>
      <w:r>
        <w:rPr>
          <w:rtl w:val="true"/>
        </w:rPr>
        <w:t>–</w:t>
      </w:r>
      <w:r>
        <w:rPr>
          <w:rtl w:val="true"/>
        </w:rPr>
        <w:t xml:space="preserve"> בניגוד לענייננו </w:t>
      </w:r>
      <w:r>
        <w:rPr>
          <w:rtl w:val="true"/>
        </w:rPr>
        <w:t>–</w:t>
      </w:r>
      <w:r>
        <w:rPr>
          <w:rtl w:val="true"/>
        </w:rPr>
        <w:t xml:space="preserve"> נקבעו </w:t>
      </w:r>
      <w:r>
        <w:rPr>
          <w:rtl w:val="true"/>
        </w:rPr>
        <w:t>"</w:t>
      </w:r>
      <w:r>
        <w:rPr>
          <w:rtl w:val="true"/>
        </w:rPr>
        <w:t>מימצאים</w:t>
      </w:r>
      <w:r>
        <w:rPr>
          <w:rtl w:val="true"/>
        </w:rPr>
        <w:t xml:space="preserve"> </w:t>
      </w:r>
      <w:r>
        <w:rPr>
          <w:rtl w:val="true"/>
        </w:rPr>
        <w:t>המפלילים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בנקודות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משמעותיות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ביותר</w:t>
      </w:r>
      <w:r>
        <w:rPr>
          <w:rtl w:val="true"/>
        </w:rPr>
        <w:t>" 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2530/90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מד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250</w:t>
      </w:r>
      <w:r>
        <w:rPr>
          <w:rtl w:val="true"/>
        </w:rPr>
        <w:t xml:space="preserve">, </w:t>
      </w:r>
      <w:r>
        <w:rPr/>
        <w:t>253</w:t>
      </w:r>
      <w:r>
        <w:rPr>
          <w:rtl w:val="true"/>
        </w:rPr>
        <w:t xml:space="preserve"> (</w:t>
      </w:r>
      <w:r>
        <w:rPr/>
        <w:t>1990</w:t>
      </w:r>
      <w:r>
        <w:rPr>
          <w:rtl w:val="true"/>
        </w:rPr>
        <w:t>)).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משלא שוכנעתי כי הכרעת הדין מיום </w:t>
      </w:r>
      <w:r>
        <w:rPr/>
        <w:t>16.11.2021</w:t>
      </w:r>
      <w:r>
        <w:rPr>
          <w:rtl w:val="true"/>
        </w:rPr>
        <w:t xml:space="preserve"> </w:t>
      </w:r>
      <w:r>
        <w:rPr>
          <w:rtl w:val="true"/>
        </w:rPr>
        <w:t xml:space="preserve">קבעה ממצאים מובהקים מעין אלו ביחס למערער </w:t>
      </w:r>
      <w:r>
        <w:rPr>
          <w:rtl w:val="true"/>
        </w:rPr>
        <w:t>–</w:t>
      </w:r>
      <w:r>
        <w:rPr>
          <w:rtl w:val="true"/>
        </w:rPr>
        <w:t xml:space="preserve"> אין בסיס לניסיון להקיש מאותם מקרים לענייננו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המערער חזר וטען בכתב הערעור כי השאלה </w:t>
      </w:r>
      <w:r>
        <w:rPr>
          <w:rtl w:val="true"/>
        </w:rPr>
        <w:t>"</w:t>
      </w:r>
      <w:r>
        <w:rPr>
          <w:rtl w:val="true"/>
        </w:rPr>
        <w:t>היחידה</w:t>
      </w:r>
      <w:r>
        <w:rPr>
          <w:rtl w:val="true"/>
        </w:rPr>
        <w:t xml:space="preserve">" </w:t>
      </w:r>
      <w:r>
        <w:rPr>
          <w:rtl w:val="true"/>
        </w:rPr>
        <w:t>או ה</w:t>
      </w:r>
      <w:r>
        <w:rPr>
          <w:rtl w:val="true"/>
        </w:rPr>
        <w:t>"</w:t>
      </w:r>
      <w:r>
        <w:rPr>
          <w:rtl w:val="true"/>
        </w:rPr>
        <w:t>כמעט יחידה</w:t>
      </w:r>
      <w:r>
        <w:rPr>
          <w:rtl w:val="true"/>
        </w:rPr>
        <w:t xml:space="preserve">" </w:t>
      </w:r>
      <w:r>
        <w:rPr>
          <w:rtl w:val="true"/>
        </w:rPr>
        <w:t>שטעונה הכרעה בעניינו</w:t>
      </w:r>
      <w:r>
        <w:rPr>
          <w:rtl w:val="true"/>
        </w:rPr>
        <w:t xml:space="preserve">, </w:t>
      </w:r>
      <w:r>
        <w:rPr>
          <w:rtl w:val="true"/>
        </w:rPr>
        <w:t>היא אם סיפק את ה</w:t>
      </w:r>
      <w:r>
        <w:rPr>
          <w:rtl w:val="true"/>
        </w:rPr>
        <w:t>שַׁלָּטִים</w:t>
      </w:r>
      <w:r>
        <w:rPr>
          <w:rtl w:val="true"/>
        </w:rPr>
        <w:t xml:space="preserve"> למתקני החבלה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לכתב הערעור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בכתב הערעור לא הוסבר מדוע יתקשו חברי ההרכב לסטות ממה שנקבע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וכיצד סטייה שכזו עלולה להשליך על עניינם של הנאשמים האחרים</w:t>
      </w:r>
      <w:r>
        <w:rPr>
          <w:rtl w:val="true"/>
        </w:rPr>
        <w:t xml:space="preserve">. </w:t>
      </w:r>
      <w:r>
        <w:rPr>
          <w:rtl w:val="true"/>
        </w:rPr>
        <w:t>בנסיבות אלו מקובלת עליי קביעתם של חברי ההרכב</w:t>
      </w:r>
      <w:r>
        <w:rPr>
          <w:rtl w:val="true"/>
        </w:rPr>
        <w:t xml:space="preserve">, </w:t>
      </w:r>
      <w:r>
        <w:rPr>
          <w:rtl w:val="true"/>
        </w:rPr>
        <w:t>אשר לא נסתרה על ידי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לפיה קיימת בהליך </w:t>
      </w:r>
      <w:r>
        <w:rPr>
          <w:rtl w:val="true"/>
        </w:rPr>
        <w:t>"</w:t>
      </w:r>
      <w:r>
        <w:rPr>
          <w:rtl w:val="true"/>
        </w:rPr>
        <w:t>אבחנה</w:t>
      </w:r>
      <w:r>
        <w:rPr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ובין</w:t>
      </w:r>
      <w:r>
        <w:rPr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tl w:val="true"/>
        </w:rPr>
        <w:t>ומידת</w:t>
      </w:r>
      <w:r>
        <w:rPr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להחלטת הפסלות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סיכומם של דברים </w:t>
      </w:r>
      <w:r>
        <w:rPr>
          <w:rtl w:val="true"/>
        </w:rPr>
        <w:t>–</w:t>
      </w:r>
      <w:r>
        <w:rPr>
          <w:rtl w:val="true"/>
        </w:rPr>
        <w:t xml:space="preserve"> אין בידי לקבל את הטענה כי הקביעות שבהכרעת הדין יוצרות</w:t>
      </w:r>
      <w:r>
        <w:rPr>
          <w:rtl w:val="true"/>
        </w:rPr>
        <w:t xml:space="preserve">,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>חשש ממשי למשוא פנים מצד המותב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חברי ההרכב הבהירו בהחלטת הפסלות</w:t>
      </w:r>
      <w:r>
        <w:rPr>
          <w:rtl w:val="true"/>
        </w:rPr>
        <w:t xml:space="preserve">, </w:t>
      </w:r>
      <w:r>
        <w:rPr>
          <w:rtl w:val="true"/>
        </w:rPr>
        <w:t>באופן ברור ומפורש</w:t>
      </w:r>
      <w:r>
        <w:rPr>
          <w:rtl w:val="true"/>
        </w:rPr>
        <w:t xml:space="preserve">, </w:t>
      </w:r>
      <w:r>
        <w:rPr>
          <w:rtl w:val="true"/>
        </w:rPr>
        <w:t xml:space="preserve">כי הכרעת הדין לא דנה בעניינו של המערער ולא קבעה </w:t>
      </w:r>
      <w:r>
        <w:rPr>
          <w:rtl w:val="true"/>
        </w:rPr>
        <w:t>ממצא</w:t>
      </w:r>
      <w:r>
        <w:rPr>
          <w:rtl w:val="true"/>
        </w:rPr>
        <w:t>ים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 xml:space="preserve">; </w:t>
      </w:r>
      <w:r>
        <w:rPr>
          <w:rtl w:val="true"/>
        </w:rPr>
        <w:t xml:space="preserve">כי קביעותיהם ביחס למהימנות העדים היו רלוונטיות </w:t>
      </w:r>
      <w:r>
        <w:rPr>
          <w:rtl w:val="true"/>
        </w:rPr>
        <w:t>"</w:t>
      </w:r>
      <w:r>
        <w:rPr>
          <w:rtl w:val="true"/>
        </w:rPr>
        <w:t>נכון</w:t>
      </w:r>
      <w:r>
        <w:rPr>
          <w:rtl w:val="true"/>
        </w:rPr>
        <w:t xml:space="preserve"> </w:t>
      </w:r>
      <w:r>
        <w:rPr>
          <w:rtl w:val="true"/>
        </w:rPr>
        <w:t>לנקודת</w:t>
      </w:r>
      <w:r>
        <w:rPr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"; </w:t>
      </w:r>
      <w:r>
        <w:rPr>
          <w:rtl w:val="true"/>
        </w:rPr>
        <w:t>וכי יתאפשר למערער להביא ראיות שיסתרו את דברי העדים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לא שוכנעתי גם לגופם של דברים כי עלה בידי המערער להראות שדעתם של חברי ההרכב </w:t>
      </w:r>
      <w:r>
        <w:rPr>
          <w:rtl w:val="true"/>
        </w:rPr>
        <w:t>"</w:t>
      </w:r>
      <w:r>
        <w:rPr>
          <w:rtl w:val="true"/>
        </w:rPr>
        <w:t>ננעלה</w:t>
      </w:r>
      <w:r>
        <w:rPr>
          <w:rtl w:val="true"/>
        </w:rPr>
        <w:t xml:space="preserve">" </w:t>
      </w:r>
      <w:r>
        <w:rPr>
          <w:rtl w:val="true"/>
        </w:rPr>
        <w:t>ביחס אליו או למעשים המיוחסים לו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30.1.2023</w:t>
      </w:r>
      <w:r>
        <w:rPr>
          <w:rtl w:val="true"/>
        </w:rPr>
        <w:t xml:space="preserve">). </w:t>
      </w:r>
      <w:bookmarkEnd w:id="16"/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2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22082670</w:t>
      </w:r>
      <w:r>
        <w:rPr>
          <w:sz w:val="16"/>
          <w:rtl w:val="true"/>
        </w:rPr>
        <w:t>_</w:t>
      </w:r>
      <w:r>
        <w:rPr>
          <w:sz w:val="16"/>
        </w:rPr>
        <w:t>V04.docx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רי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ה א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חיות </w:t>
      </w:r>
      <w:r>
        <w:rPr>
          <w:rFonts w:cs="David;Times New Roman" w:ascii="David;Times New Roman" w:hAnsi="David;Times New Roman"/>
          <w:color w:val="000000"/>
          <w:szCs w:val="22"/>
        </w:rPr>
        <w:t>54678313-8267/22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8267/22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גולן אביטן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8"/>
        <w:lang w:val="en-US" w:bidi="he-I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 w:before="240" w:after="60"/>
      <w:outlineLvl w:val="0"/>
    </w:pPr>
    <w:rPr>
      <w:rFonts w:ascii="Calibri Light" w:hAnsi="Calibri Light" w:cs="Times New Roman"/>
      <w:b/>
      <w:bCs/>
      <w:spacing w:val="10"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 w:before="240" w:after="60"/>
      <w:outlineLvl w:val="1"/>
    </w:pPr>
    <w:rPr>
      <w:rFonts w:ascii="Calibri Light" w:hAnsi="Calibri Light" w:cs="Times New Roman"/>
      <w:b/>
      <w:bCs/>
      <w:i/>
      <w:iCs/>
      <w:spacing w:val="10"/>
      <w:sz w:val="28"/>
      <w:szCs w:val="28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verflowPunct w:val="true"/>
      <w:autoSpaceDE w:val="true"/>
      <w:bidi w:val="0"/>
      <w:spacing w:before="280" w:after="280"/>
      <w:textAlignment w:val="auto"/>
      <w:outlineLvl w:val="4"/>
    </w:pPr>
    <w:rPr>
      <w:rFonts w:cs="Times New Roman"/>
      <w:b/>
      <w:bCs/>
      <w:szCs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FrankRuehl" w:hAnsi="FrankRuehl" w:eastAsia="Times New Roman" w:cs="FrankRuehl"/>
      <w:sz w:val="28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sz w:val="28"/>
      <w:lang w:val="en-US" w:bidi="he-IL"/>
    </w:rPr>
  </w:style>
  <w:style w:type="character" w:styleId="WW8Num15z0">
    <w:name w:val="WW8Num15z0"/>
    <w:qFormat/>
    <w:rPr>
      <w:rFonts w:ascii="FrankRuehl" w:hAnsi="FrankRuehl" w:eastAsia="Times New Roman" w:cs="FrankRuehl"/>
      <w:sz w:val="28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;Times New Roman"/>
    </w:rPr>
  </w:style>
  <w:style w:type="character" w:styleId="CharChar2">
    <w:name w:val=" Char Char2"/>
    <w:qFormat/>
    <w:rPr>
      <w:rFonts w:cs="David;Times New Roman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6">
    <w:name w:val=" Char Char6"/>
    <w:qFormat/>
    <w:rPr>
      <w:rFonts w:ascii="Calibri Light" w:hAnsi="Calibri Light" w:cs="Calibri Light"/>
      <w:b/>
      <w:bCs/>
      <w:spacing w:val="10"/>
      <w:kern w:val="2"/>
      <w:sz w:val="32"/>
      <w:szCs w:val="32"/>
    </w:rPr>
  </w:style>
  <w:style w:type="character" w:styleId="CharChar5">
    <w:name w:val=" Char Char5"/>
    <w:qFormat/>
    <w:rPr>
      <w:rFonts w:ascii="Calibri Light" w:hAnsi="Calibri Light" w:cs="Calibri Light"/>
      <w:b/>
      <w:bCs/>
      <w:i/>
      <w:iCs/>
      <w:spacing w:val="10"/>
      <w:sz w:val="28"/>
      <w:szCs w:val="28"/>
    </w:rPr>
  </w:style>
  <w:style w:type="character" w:styleId="CharChar4">
    <w:name w:val=" Char Char4"/>
    <w:qFormat/>
    <w:rPr>
      <w:b/>
      <w:bCs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41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Century" w:hAnsi="Century" w:cs="FrankRuehl"/>
      <w:spacing w:val="10"/>
    </w:rPr>
  </w:style>
  <w:style w:type="character" w:styleId="EndnoteCharacters">
    <w:name w:val="Endnote Characters"/>
    <w:qFormat/>
    <w:rPr>
      <w:vertAlign w:val="superscript"/>
    </w:rPr>
  </w:style>
  <w:style w:type="character" w:styleId="term2">
    <w:name w:val="term_2"/>
    <w:qFormat/>
    <w:rPr/>
  </w:style>
  <w:style w:type="character" w:styleId="term3">
    <w:name w:val="term_3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/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2"/>
      </w:numPr>
    </w:pPr>
    <w:rPr/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big-header">
    <w:name w:val="big-header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ListParagraph">
    <w:name w:val="List Paragraph"/>
    <w:basedOn w:val="Normal"/>
    <w:qFormat/>
    <w:pPr>
      <w:spacing w:lineRule="auto" w:line="360"/>
      <w:ind w:hanging="0" w:start="720" w:end="0"/>
    </w:pPr>
    <w:rPr>
      <w:rFonts w:ascii="Century" w:hAnsi="Century" w:cs="FrankRuehl"/>
      <w:spacing w:val="10"/>
      <w:szCs w:val="28"/>
    </w:rPr>
  </w:style>
  <w:style w:type="paragraph" w:styleId="EndnoteText">
    <w:name w:val="endnote text"/>
    <w:basedOn w:val="Normal"/>
    <w:pPr>
      <w:spacing w:lineRule="auto" w:line="360"/>
    </w:pPr>
    <w:rPr>
      <w:rFonts w:ascii="Century" w:hAnsi="Century" w:cs="FrankRuehl"/>
      <w:spacing w:val="1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622045" TargetMode="External"/><Relationship Id="rId3" Type="http://schemas.openxmlformats.org/officeDocument/2006/relationships/hyperlink" Target="http://www.nevo.co.il/law/74903" TargetMode="External"/><Relationship Id="rId4" Type="http://schemas.openxmlformats.org/officeDocument/2006/relationships/hyperlink" Target="http://www.nevo.co.il/law/74903/94a.a" TargetMode="External"/><Relationship Id="rId5" Type="http://schemas.openxmlformats.org/officeDocument/2006/relationships/hyperlink" Target="http://www.nevo.co.il/law/74849" TargetMode="External"/><Relationship Id="rId6" Type="http://schemas.openxmlformats.org/officeDocument/2006/relationships/hyperlink" Target="http://www.nevo.co.il/law/74849/77a.a" TargetMode="External"/><Relationship Id="rId7" Type="http://schemas.openxmlformats.org/officeDocument/2006/relationships/hyperlink" Target="http://www.nevo.co.il/case/25622045" TargetMode="External"/><Relationship Id="rId8" Type="http://schemas.openxmlformats.org/officeDocument/2006/relationships/hyperlink" Target="http://www.nevo.co.il/case/20435841" TargetMode="External"/><Relationship Id="rId9" Type="http://schemas.openxmlformats.org/officeDocument/2006/relationships/hyperlink" Target="http://www.nevo.co.il/law/74903/94a.a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case/25092044" TargetMode="External"/><Relationship Id="rId12" Type="http://schemas.openxmlformats.org/officeDocument/2006/relationships/hyperlink" Target="http://www.nevo.co.il/case/28377163" TargetMode="External"/><Relationship Id="rId13" Type="http://schemas.openxmlformats.org/officeDocument/2006/relationships/hyperlink" Target="http://www.nevo.co.il/case/6248925" TargetMode="External"/><Relationship Id="rId14" Type="http://schemas.openxmlformats.org/officeDocument/2006/relationships/hyperlink" Target="http://www.nevo.co.il/case/28967519" TargetMode="External"/><Relationship Id="rId15" Type="http://schemas.openxmlformats.org/officeDocument/2006/relationships/hyperlink" Target="http://www.nevo.co.il/case/27375902" TargetMode="External"/><Relationship Id="rId16" Type="http://schemas.openxmlformats.org/officeDocument/2006/relationships/hyperlink" Target="http://www.nevo.co.il/case/27351110" TargetMode="External"/><Relationship Id="rId17" Type="http://schemas.openxmlformats.org/officeDocument/2006/relationships/hyperlink" Target="http://www.nevo.co.il/case/6241287%20" TargetMode="External"/><Relationship Id="rId18" Type="http://schemas.openxmlformats.org/officeDocument/2006/relationships/hyperlink" Target="http://www.nevo.co.il/case/5906204%20" TargetMode="External"/><Relationship Id="rId19" Type="http://schemas.openxmlformats.org/officeDocument/2006/relationships/hyperlink" Target="http://www.nevo.co.il/case/17946949" TargetMode="External"/><Relationship Id="rId20" Type="http://schemas.openxmlformats.org/officeDocument/2006/relationships/hyperlink" Target="http://www.nevo.co.il/case/5926782" TargetMode="External"/><Relationship Id="rId21" Type="http://schemas.openxmlformats.org/officeDocument/2006/relationships/hyperlink" Target="http://www.nevo.co.il/case/23116752" TargetMode="External"/><Relationship Id="rId22" Type="http://schemas.openxmlformats.org/officeDocument/2006/relationships/hyperlink" Target="http://www.nevo.co.il/case/17910925" TargetMode="External"/><Relationship Id="rId23" Type="http://schemas.openxmlformats.org/officeDocument/2006/relationships/hyperlink" Target="http://www.nevo.co.il/case/17928428" TargetMode="External"/><Relationship Id="rId24" Type="http://schemas.openxmlformats.org/officeDocument/2006/relationships/hyperlink" Target="http://www.nevo.co.il/case/17920008" TargetMode="External"/><Relationship Id="rId25" Type="http://schemas.openxmlformats.org/officeDocument/2006/relationships/hyperlink" Target="http://www.nevo.co.il/case/17919193" TargetMode="External"/><Relationship Id="rId26" Type="http://schemas.openxmlformats.org/officeDocument/2006/relationships/hyperlink" Target="http://www.nevo.co.il/case/17913332%20" TargetMode="External"/><Relationship Id="rId27" Type="http://schemas.openxmlformats.org/officeDocument/2006/relationships/hyperlink" Target="http://www.nevo.co.il/case/17916527" TargetMode="External"/><Relationship Id="rId28" Type="http://schemas.openxmlformats.org/officeDocument/2006/relationships/hyperlink" Target="http://www.nevo.co.il/case/6158248" TargetMode="External"/><Relationship Id="rId29" Type="http://schemas.openxmlformats.org/officeDocument/2006/relationships/hyperlink" Target="http://www.nevo.co.il/case/6178090" TargetMode="External"/><Relationship Id="rId30" Type="http://schemas.openxmlformats.org/officeDocument/2006/relationships/hyperlink" Target="http://www.nevo.co.il/case/5862073" TargetMode="External"/><Relationship Id="rId31" Type="http://schemas.openxmlformats.org/officeDocument/2006/relationships/hyperlink" Target="http://www.nevo.co.il/case/17928648" TargetMode="External"/><Relationship Id="rId32" Type="http://schemas.openxmlformats.org/officeDocument/2006/relationships/hyperlink" Target="http://www.nevo.co.il/law/74849/77a.a" TargetMode="External"/><Relationship Id="rId33" Type="http://schemas.openxmlformats.org/officeDocument/2006/relationships/hyperlink" Target="http://www.nevo.co.il/law/74849" TargetMode="External"/><Relationship Id="rId34" Type="http://schemas.openxmlformats.org/officeDocument/2006/relationships/hyperlink" Target="http://www.nevo.co.il/case/5949533" TargetMode="External"/><Relationship Id="rId35" Type="http://schemas.openxmlformats.org/officeDocument/2006/relationships/hyperlink" Target="http://www.nevo.co.il/case/17926822" TargetMode="External"/><Relationship Id="rId36" Type="http://schemas.openxmlformats.org/officeDocument/2006/relationships/hyperlink" Target="http://www.nevo.co.il/case/5775346" TargetMode="External"/><Relationship Id="rId37" Type="http://schemas.openxmlformats.org/officeDocument/2006/relationships/hyperlink" Target="http://www.nevo.co.il/case/17916302" TargetMode="External"/><Relationship Id="rId38" Type="http://schemas.openxmlformats.org/officeDocument/2006/relationships/hyperlink" Target="https://supreme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2023-02-01T12:33:00Z</dcterms:created>
  <dc:creator>h4</dc:creator>
  <dc:description/>
  <cp:keywords/>
  <dc:language>en-IL</dc:language>
  <cp:lastModifiedBy>orly</cp:lastModifiedBy>
  <cp:lastPrinted>2023-01-31T14:30:00Z</cp:lastPrinted>
  <dcterms:modified xsi:type="dcterms:W3CDTF">2023-02-01T12:33:00Z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גולן אביטן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25622045:2;20435841;25092044;28377163;6248925;28967519;27375902;27351110;6241287;5906204;17946949;5926782;23116752;17910925;17928428;17920008;17919193;17913332;17916527;6158248;6178090;5862073;17928648;5949533;17926822;5775346;17916302</vt:lpwstr>
  </property>
  <property fmtid="{D5CDD505-2E9C-101B-9397-08002B2CF9AE}" pid="9" name="CITY">
    <vt:lpwstr/>
  </property>
  <property fmtid="{D5CDD505-2E9C-101B-9397-08002B2CF9AE}" pid="10" name="DATE">
    <vt:lpwstr>20230130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</vt:lpwstr>
  </property>
  <property fmtid="{D5CDD505-2E9C-101B-9397-08002B2CF9AE}" pid="14" name="LAWLISTTMP1">
    <vt:lpwstr>74903/094a.a</vt:lpwstr>
  </property>
  <property fmtid="{D5CDD505-2E9C-101B-9397-08002B2CF9AE}" pid="15" name="LAWLISTTMP2">
    <vt:lpwstr>74849/077a.a</vt:lpwstr>
  </property>
  <property fmtid="{D5CDD505-2E9C-101B-9397-08002B2CF9AE}" pid="16" name="LAWYER">
    <vt:lpwstr>שאול כהן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בתי-משפט</vt:lpwstr>
  </property>
  <property fmtid="{D5CDD505-2E9C-101B-9397-08002B2CF9AE}" pid="28" name="NOSE110">
    <vt:lpwstr/>
  </property>
  <property fmtid="{D5CDD505-2E9C-101B-9397-08002B2CF9AE}" pid="29" name="NOSE12">
    <vt:lpwstr>בתי-משפט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14;14</vt:lpwstr>
  </property>
  <property fmtid="{D5CDD505-2E9C-101B-9397-08002B2CF9AE}" pid="38" name="NOSE21">
    <vt:lpwstr>שופטים</vt:lpwstr>
  </property>
  <property fmtid="{D5CDD505-2E9C-101B-9397-08002B2CF9AE}" pid="39" name="NOSE210">
    <vt:lpwstr/>
  </property>
  <property fmtid="{D5CDD505-2E9C-101B-9397-08002B2CF9AE}" pid="40" name="NOSE22">
    <vt:lpwstr>שופטים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341;341</vt:lpwstr>
  </property>
  <property fmtid="{D5CDD505-2E9C-101B-9397-08002B2CF9AE}" pid="49" name="NOSE31">
    <vt:lpwstr>עילת הפסלות</vt:lpwstr>
  </property>
  <property fmtid="{D5CDD505-2E9C-101B-9397-08002B2CF9AE}" pid="50" name="NOSE310">
    <vt:lpwstr/>
  </property>
  <property fmtid="{D5CDD505-2E9C-101B-9397-08002B2CF9AE}" pid="51" name="NOSE32">
    <vt:lpwstr>פסילה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18867;2803</vt:lpwstr>
  </property>
  <property fmtid="{D5CDD505-2E9C-101B-9397-08002B2CF9AE}" pid="60" name="PADIDATE">
    <vt:lpwstr>20230201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8267</vt:lpwstr>
  </property>
  <property fmtid="{D5CDD505-2E9C-101B-9397-08002B2CF9AE}" pid="66" name="PROCYEAR">
    <vt:lpwstr>22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410120230130</vt:lpwstr>
  </property>
  <property fmtid="{D5CDD505-2E9C-101B-9397-08002B2CF9AE}" pid="70" name="TYPE_N_DATE">
    <vt:lpwstr>41020230130</vt:lpwstr>
  </property>
  <property fmtid="{D5CDD505-2E9C-101B-9397-08002B2CF9AE}" pid="71" name="VOLUME">
    <vt:lpwstr/>
  </property>
  <property fmtid="{D5CDD505-2E9C-101B-9397-08002B2CF9AE}" pid="72" name="WORDNUMPAGES">
    <vt:lpwstr>16</vt:lpwstr>
  </property>
</Properties>
</file>