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8283/17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טובי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9109-02-16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דמיום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2.10.2017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הישיבה</w:t>
      </w:r>
      <w:r>
        <w:rPr>
          <w:sz w:val="24"/>
          <w:szCs w:val="24"/>
          <w:rtl w:val="true"/>
        </w:rPr>
        <w:t>:</w:t>
      </w:r>
      <w:r>
        <w:rPr>
          <w:rtl w:val="true"/>
        </w:rPr>
        <w:tab/>
      </w:r>
      <w:r>
        <w:rPr>
          <w:sz w:val="24"/>
          <w:sz w:val="24"/>
          <w:szCs w:val="24"/>
          <w:rtl w:val="true"/>
        </w:rPr>
        <w:t>י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1.1.2018</w:t>
      </w:r>
      <w:r>
        <w:rPr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חליוה</w:t>
      </w:r>
      <w:r>
        <w:rPr>
          <w:rFonts w:cs="Times New Roman"/>
          <w:rtl w:val="true"/>
        </w:rPr>
        <w:t xml:space="preserve"> 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bookmarkStart w:id="4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ה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גולדשטיי</w:t>
      </w:r>
      <w:bookmarkStart w:id="5" w:name="LawTable"/>
      <w:bookmarkEnd w:id="5"/>
      <w:r>
        <w:rPr>
          <w:rtl w:val="true"/>
        </w:rPr>
        <w:t>ן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חומרתן של עבירות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עבירות הסחר וההפצה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מנוס מהשתת מאסר בפועל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שבנסיבות המיוחדות והחריגות ביותר להן נקלעו ילדיו 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 בעקבות מות אימ</w:t>
      </w:r>
      <w:r>
        <w:rPr>
          <w:rFonts w:ascii="Times New Roman" w:hAnsi="Times New Roman" w:cs="Times New Roman"/>
          <w:spacing w:val="0"/>
          <w:szCs w:val="26"/>
          <w:rtl w:val="true"/>
        </w:rPr>
        <w:t>ם ומסקנות שירות המבחן לפיהן אין בנמצא בן משפחה אשר יכול ליטול על עצמו את גידולם וחינוכם כך שיהא צורך בחיפוש משפחת אומנה עבורם 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מוצא להפחית מעונש המאסר בפועל שהוטל על המערער ולהעמידו על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במקום </w:t>
      </w:r>
      <w:r>
        <w:rPr>
          <w:rFonts w:cs="Times New Roman" w:ascii="Times New Roman" w:hAnsi="Times New Roman"/>
          <w:spacing w:val="0"/>
          <w:szCs w:val="26"/>
        </w:rPr>
        <w:t>3.5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סמים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תסקיר שירות מבחן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הושתו על המערער </w:t>
      </w:r>
      <w:r>
        <w:rPr>
          <w:rFonts w:cs="Times New Roman" w:ascii="Times New Roman" w:hAnsi="Times New Roman"/>
          <w:spacing w:val="0"/>
          <w:szCs w:val="26"/>
        </w:rPr>
        <w:t>3.5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קנס כספי בסך של </w:t>
      </w:r>
      <w:r>
        <w:rPr>
          <w:rFonts w:cs="Times New Roman" w:ascii="Times New Roman" w:hAnsi="Times New Roman"/>
          <w:spacing w:val="0"/>
          <w:szCs w:val="26"/>
        </w:rPr>
        <w:t>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ופסילת רישיון נהיגה למשך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מעת שחרורו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ניתן בעקבות הרשעת המערער במסגרת הסדר טיעון בעבירות של ייצוא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ייבוא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סחר והספקה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ייבוא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של סמים מסוכנים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קשירת קשר לפשע וייצור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הכנה והפקה של סמים מסוכנים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יצוין כי המערער נעדר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הרקע לביצוע העבירות היה המצב הכלכלי הקשה אליו נקלע בעקבות מחלת הסרטן של אשתו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אשתו של המערער נפטרה בעת שהמערער שהה במעצר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למערער שני ילדים בגילאי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קבע כי מתחם העונש ההולם את העבירות נע בין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בנסיבות האישיות החריגות של המקרה מצא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לחרוג לקולה ממתחם העונש ההולם שקבע מטעמי 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יצוין כי בתסקיר עדכני מטעם שירות המבחן צוין כי קיימת סבירות גבוהה שיהיה צורך בחיפוש משפחת אומנה עבור הילדים מחוץ למשפחה וכי הדבר בעייתי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בשל מצבה הרגשי של הבת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כל האמור המליץ שירות המבחן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חומרת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לשקול אפשרות של ענישת המערער שלא במאסר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להקל ככל שניתן בתקופת המאסר שהוטלה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כלל ידוע הוא כי ערכאת הערעור אינה מתערבת בעונש שנגזר על 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שהעונש שנגזר חורג באופן ממשי מהענישה הנוהגת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נכלל בגדר חריגים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הנסיבות המיוחדות מאוד להן נקלעו ילדיו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מוצא להמתיק במקצת את אורך תקופת המאסר בפועל שיושת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העבירות שביצע המערער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דן לא פעם בחומרתן של עבירות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עבירות הסחר וההפצה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ובצורך להביא למיגורן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הענישה בעבירות אלו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חייבת להיות קשה וברורה במטרה להרתיע את המערער בפועל ואחרים 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."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נסיבותיו האישיות של נאשם נסוגות לטובת האינטרס הציבורי שבהחמרת הענישה על עבירות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שעניינן סחר והפצה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בחר ליתן משקל משמעותי ביותר לנסיבותיו האישיות המצערות של המערער בעת קביעת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בצירוף עברו הפלילי הנקי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אלה שהובילו אותו לחרוג ממתחם העונש ההולם שקבע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ולהשית על המערער עונש מאסר נמוך באופן משמעותי מן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הנסיבות המצערות אף לא נעלמו מעיני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הורה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לשירות המבחן לערוך תסקיר 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מסקנות שירות המבחן לפיהן אין בנמצא בן משפחה אשר יכול ליטול על עצמו את גידול וחינוך ילדיו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מסקנות מצערות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שלאורן המליץ שירות המבחן לשקול אפשרות חלופת מאסר או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שתסקיר שירות המבחן הוא כלי עזר נחוץ בהיותו מניח בפני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תשתית עובדתית ומקצועית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כבול להמלצותיו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 הדעת הסופי בגזירת דינו של נאשם מסור לו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המלצותיו של שירות המבחן אינן עומדות לבדן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מצטרפות לחומרת העבירות שביצע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למעורבותו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ולהקלה המשמעותית שהקל עמו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עת גזר את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לאחר בחינת מכלול השיקולים והנסיבות נמצא אפוא כי במצב הדברים הנוכחי יש להעניק לאינטרס הציבורי מעמד בכורה על פני 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מצערות ככל שיהיו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לטענתו הנוספת של המערער לעניין ניכוי ימי שהייתו בפיקוח אלקטרוני מתקופת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צוין כי הגם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יכול להתחשב בימי השהייה בפיקוח אלקטרוני ולראות בהם שיקול לקולא בבואו לגזור דינו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לנכות אותם באופן אוטומטי מתקופת המאסר ואין צריך לומר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שקל והתחשב במכלול השיקולים לקולא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בסיכומו של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מנוס מהשתת מאסר בפועל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שבנסיבות המיוחדות והחריגות ביותר להן נקלעו ילדיו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מעמיד את תקופת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ניכוי תקופת מעצרו מאחורי סורג 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תצומצם עד מאוד הפגיעה בילדיו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יעמדו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bookmarkStart w:id="16" w:name="_GoBack"/>
      <w:bookmarkEnd w:id="16"/>
      <w:r>
        <w:rPr>
          <w:rtl w:val="true"/>
        </w:rPr>
        <w:tab/>
      </w:r>
      <w:r>
        <w:rPr>
          <w:rtl w:val="true"/>
        </w:rPr>
        <w:t xml:space="preserve">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9109-02-16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2.10.2017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הושתו על המערער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 xml:space="preserve">בניכוי ימי מעצרו המלאים מיום </w:t>
      </w:r>
      <w:r>
        <w:rPr/>
        <w:t>4.2.2016</w:t>
      </w:r>
      <w:r>
        <w:rPr>
          <w:rtl w:val="true"/>
        </w:rPr>
        <w:t xml:space="preserve"> </w:t>
      </w:r>
      <w:r>
        <w:rPr>
          <w:rtl w:val="true"/>
        </w:rPr>
        <w:t xml:space="preserve">עד יום </w:t>
      </w:r>
      <w:r>
        <w:rPr/>
        <w:t>29.12.2016</w:t>
      </w:r>
      <w:r>
        <w:rPr>
          <w:rtl w:val="true"/>
        </w:rPr>
        <w:t xml:space="preserve">),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כספי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ופסילת רישיון נהיגה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מעת שחרורו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כתב האישום המתוקן שהוגש נגד המערער כולל שלושה אישומים שעניינם עבירות סמים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קשר המערער קשר עם שלושה מכרים לייבוא סמים מסוכנים מסוג קוקאין לישראל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בתחילת חודש נובמבר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נתפסו בדירות ששכר המערער בחיפה כ</w:t>
      </w:r>
      <w:r>
        <w:rPr>
          <w:rtl w:val="true"/>
        </w:rPr>
        <w:t>-</w:t>
      </w:r>
      <w:r>
        <w:rPr/>
        <w:t>1.757</w:t>
      </w:r>
      <w:r>
        <w:rPr>
          <w:rtl w:val="true"/>
        </w:rPr>
        <w:t xml:space="preserve"> </w:t>
      </w:r>
      <w:r>
        <w:rPr>
          <w:rtl w:val="true"/>
        </w:rPr>
        <w:t>קילוגרם קוקאין וכלי עזר לאריזתם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בחודשים ספטמבר עד נובמבר </w:t>
      </w:r>
      <w:r>
        <w:rPr>
          <w:rFonts w:cs="Century" w:ascii="Century" w:hAnsi="Century"/>
          <w:sz w:val="22"/>
        </w:rPr>
        <w:t>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ביצע המערער שינויים בדירתו שכללו חסימת כל פתחיה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r>
        <w:rPr>
          <w:rtl w:val="true"/>
        </w:rPr>
        <w:t>צייד את דירתו בציוד רב לגידול סמים מסוכנים מסוג קנבוס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נתפסו בדירתו של המערער סמים מסוכנים מסוג קנבוס ב</w:t>
      </w:r>
      <w:r>
        <w:rPr>
          <w:rtl w:val="true"/>
        </w:rPr>
        <w:t>-</w:t>
      </w:r>
      <w:r>
        <w:rPr/>
        <w:t>473</w:t>
      </w:r>
      <w:r>
        <w:rPr>
          <w:rtl w:val="true"/>
        </w:rPr>
        <w:t xml:space="preserve"> </w:t>
      </w:r>
      <w:r>
        <w:rPr>
          <w:rtl w:val="true"/>
        </w:rPr>
        <w:t xml:space="preserve">עציצים ובמשקל כולל של </w:t>
      </w:r>
      <w:r>
        <w:rPr/>
        <w:t>214.89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בנובמבר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סיכם המערער עם רוכש כי יספק לו סמים מסוכנים מסוג קוקאין במשקל </w:t>
      </w:r>
      <w:r>
        <w:rPr>
          <w:rFonts w:cs="Century" w:ascii="Century" w:hAnsi="Century"/>
        </w:rPr>
        <w:t>300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זמן קצר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מסר המערער לרוכש באמצעות מכר סמים מסוג קוקאין מחולקים לאריזות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במשקל כולל של </w:t>
      </w:r>
      <w:r>
        <w:rPr>
          <w:rFonts w:cs="Century" w:ascii="Century" w:hAnsi="Century"/>
        </w:rPr>
        <w:t>302.42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גרם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הודה במעשים המיוחסים לו בכתב האישום המתוקן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והורשע בעבירת 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 xml:space="preserve">סחר והספקה </w:t>
      </w:r>
      <w:r>
        <w:rPr>
          <w:rtl w:val="true"/>
        </w:rPr>
        <w:t>(</w:t>
      </w:r>
      <w:r>
        <w:rPr>
          <w:rtl w:val="true"/>
        </w:rPr>
        <w:t>ייבוא</w:t>
      </w:r>
      <w:r>
        <w:rPr>
          <w:rtl w:val="true"/>
        </w:rPr>
        <w:t xml:space="preserve">) </w:t>
      </w:r>
      <w:r>
        <w:rPr>
          <w:rtl w:val="true"/>
        </w:rPr>
        <w:t xml:space="preserve">של סמים מסוכנים לפי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tl w:val="true"/>
        </w:rPr>
        <w:t xml:space="preserve">), </w:t>
      </w:r>
      <w:r>
        <w:rPr>
          <w:rtl w:val="true"/>
        </w:rPr>
        <w:t xml:space="preserve">בצירוף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בעבירת קשירת קשר לפשע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בעבירת ייצור</w:t>
      </w:r>
      <w:r>
        <w:rPr>
          <w:rtl w:val="true"/>
        </w:rPr>
        <w:t xml:space="preserve">, </w:t>
      </w:r>
      <w:r>
        <w:rPr>
          <w:rtl w:val="true"/>
        </w:rPr>
        <w:t xml:space="preserve">הכנה והפקה של סמים מסוכנים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לפקודת הסמים בצירוף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בעבירת ייצוא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tl w:val="true"/>
        </w:rPr>
        <w:t xml:space="preserve">, </w:t>
      </w:r>
      <w:r>
        <w:rPr>
          <w:rtl w:val="true"/>
        </w:rPr>
        <w:t xml:space="preserve">סחר והספקה </w:t>
      </w:r>
      <w:r>
        <w:rPr>
          <w:rtl w:val="true"/>
        </w:rPr>
        <w:t>(</w:t>
      </w:r>
      <w:r>
        <w:rPr>
          <w:rtl w:val="true"/>
        </w:rPr>
        <w:t>הספקה</w:t>
      </w:r>
      <w:r>
        <w:rPr>
          <w:rtl w:val="true"/>
        </w:rPr>
        <w:t xml:space="preserve">) </w:t>
      </w:r>
      <w:r>
        <w:rPr>
          <w:rtl w:val="true"/>
        </w:rPr>
        <w:t xml:space="preserve">של סמים מסוכנים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לפקודת הסמים</w:t>
      </w:r>
      <w:r>
        <w:rPr>
          <w:rtl w:val="true"/>
        </w:rPr>
        <w:t xml:space="preserve">. </w:t>
      </w:r>
      <w:r>
        <w:rPr>
          <w:rtl w:val="true"/>
        </w:rPr>
        <w:t>הסדר הטיעון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אך צוין כי העונש המקסימלי לו תעתור המשיבה יעמוד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דיון שהתנהל לפני בית המשפט המחוזי סביב אישור הסדר הטיעון</w:t>
      </w:r>
      <w:r>
        <w:rPr>
          <w:rtl w:val="true"/>
        </w:rPr>
        <w:t xml:space="preserve">, </w:t>
      </w:r>
      <w:r>
        <w:rPr>
          <w:rtl w:val="true"/>
        </w:rPr>
        <w:t>ביקש המערער מבית המשפט להפנותו לשירות המבחן לשם עריכת תסקיר בעניינו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 נקלע לנסיבות חיים קשות וטראגיות ביותר</w:t>
      </w:r>
      <w:r>
        <w:rPr>
          <w:rtl w:val="true"/>
        </w:rPr>
        <w:t xml:space="preserve">, </w:t>
      </w:r>
      <w:r>
        <w:rPr>
          <w:rtl w:val="true"/>
        </w:rPr>
        <w:t>ביניהן פטירת אשתו בטרם עת והותרתו לגדל לבדו שני ילדים קטנים</w:t>
      </w:r>
      <w:r>
        <w:rPr>
          <w:rtl w:val="true"/>
        </w:rPr>
        <w:t xml:space="preserve">, </w:t>
      </w:r>
      <w:r>
        <w:rPr>
          <w:rtl w:val="true"/>
        </w:rPr>
        <w:t>והוא ביקש כי בית המשפט יקבל תמונה מקיפה על נסיבות אלה בטרם יגזור את עונשו</w:t>
      </w:r>
      <w:r>
        <w:rPr>
          <w:rtl w:val="true"/>
        </w:rPr>
        <w:t xml:space="preserve">. </w:t>
      </w:r>
      <w:r>
        <w:rPr>
          <w:rtl w:val="true"/>
        </w:rPr>
        <w:t>חרף התנגדות המשיבה</w:t>
      </w:r>
      <w:r>
        <w:rPr>
          <w:rtl w:val="true"/>
        </w:rPr>
        <w:t xml:space="preserve">, </w:t>
      </w:r>
      <w:r>
        <w:rPr>
          <w:rtl w:val="true"/>
        </w:rPr>
        <w:t>בית המשפט קיבל את בקשת המערער והורה על עריכת תסקיר שירות מבחן בעניינו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בתסקיר נסקרו נסיבותיו האישיות והמשפחתיות של 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אלמן ואב לשני ילדים קטנים </w:t>
      </w:r>
      <w:r>
        <w:rPr>
          <w:rtl w:val="true"/>
        </w:rPr>
        <w:t>–</w:t>
      </w:r>
      <w:r>
        <w:rPr>
          <w:rtl w:val="true"/>
        </w:rPr>
        <w:t xml:space="preserve"> בת בגיל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 ובן בגיל שנתיים וחצי</w:t>
      </w:r>
      <w:r>
        <w:rPr>
          <w:rtl w:val="true"/>
        </w:rPr>
        <w:t xml:space="preserve">, </w:t>
      </w:r>
      <w:r>
        <w:rPr>
          <w:rtl w:val="true"/>
        </w:rPr>
        <w:t>ניהל אורח חיים נורמטיבי ומצבה הכלכלי של משפחתו היה יציב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משבר פקד את המשפחה עת חלתה אשתו במחלת הסרטן</w:t>
      </w:r>
      <w:r>
        <w:rPr>
          <w:rtl w:val="true"/>
        </w:rPr>
        <w:t xml:space="preserve">. </w:t>
      </w:r>
      <w:r>
        <w:rPr>
          <w:rtl w:val="true"/>
        </w:rPr>
        <w:t>הדבר הצריך הוצאת כספים רבים</w:t>
      </w:r>
      <w:r>
        <w:rPr>
          <w:rtl w:val="true"/>
        </w:rPr>
        <w:t xml:space="preserve">, </w:t>
      </w:r>
      <w:r>
        <w:rPr>
          <w:rtl w:val="true"/>
        </w:rPr>
        <w:t>ועקב כך נקלעו בני הזוג לחובות כספיים כבדים</w:t>
      </w:r>
      <w:r>
        <w:rPr>
          <w:rtl w:val="true"/>
        </w:rPr>
        <w:t xml:space="preserve">. </w:t>
      </w:r>
      <w:r>
        <w:rPr>
          <w:rtl w:val="true"/>
        </w:rPr>
        <w:t>לצד הקשיים בהתמודדות עם מחלת אשתו</w:t>
      </w:r>
      <w:r>
        <w:rPr>
          <w:rtl w:val="true"/>
        </w:rPr>
        <w:t xml:space="preserve">, </w:t>
      </w:r>
      <w:r>
        <w:rPr>
          <w:rtl w:val="true"/>
        </w:rPr>
        <w:t>נאלץ המערער להתמודד עם גידול שני ילדיו הפעוטים שחוו את חסרון אמם</w:t>
      </w:r>
      <w:r>
        <w:rPr>
          <w:rtl w:val="true"/>
        </w:rPr>
        <w:t xml:space="preserve">. </w:t>
      </w:r>
      <w:r>
        <w:rPr>
          <w:rtl w:val="true"/>
        </w:rPr>
        <w:t>חרף הטיפולים והמאמצים שנעשו להצלתה</w:t>
      </w:r>
      <w:r>
        <w:rPr>
          <w:rtl w:val="true"/>
        </w:rPr>
        <w:t xml:space="preserve">, </w:t>
      </w:r>
      <w:r>
        <w:rPr>
          <w:rtl w:val="true"/>
        </w:rPr>
        <w:t>נפטרה האישה עת שהה במעצר עקב האישומים המפורטים בתיק זה</w:t>
      </w:r>
      <w:r>
        <w:rPr>
          <w:rtl w:val="true"/>
        </w:rPr>
        <w:t xml:space="preserve">. </w:t>
      </w:r>
      <w:r>
        <w:rPr>
          <w:rtl w:val="true"/>
        </w:rPr>
        <w:t>המערער מסר לשירות המבחן כי ילדיו מתמודדים עם חרדות נטישה וקשיים רבים מאז מחלת אמם ומעצרו</w:t>
      </w:r>
      <w:r>
        <w:rPr>
          <w:rtl w:val="true"/>
        </w:rPr>
        <w:t xml:space="preserve">, </w:t>
      </w:r>
      <w:r>
        <w:rPr>
          <w:rtl w:val="true"/>
        </w:rPr>
        <w:t>אשר החריפו עקב מותה</w:t>
      </w:r>
      <w:r>
        <w:rPr>
          <w:rtl w:val="true"/>
        </w:rPr>
        <w:t xml:space="preserve">. </w:t>
      </w:r>
      <w:r>
        <w:rPr>
          <w:rtl w:val="true"/>
        </w:rPr>
        <w:t>מצבה הרגשי של בתו תואר כקשה וכי האובדן שחוותה</w:t>
      </w:r>
      <w:r>
        <w:rPr>
          <w:rtl w:val="true"/>
        </w:rPr>
        <w:t xml:space="preserve">, </w:t>
      </w:r>
      <w:r>
        <w:rPr>
          <w:rtl w:val="true"/>
        </w:rPr>
        <w:t>הן ממות אמה והן ממעצר אביה</w:t>
      </w:r>
      <w:r>
        <w:rPr>
          <w:rtl w:val="true"/>
        </w:rPr>
        <w:t xml:space="preserve">, </w:t>
      </w:r>
      <w:r>
        <w:rPr>
          <w:rtl w:val="true"/>
        </w:rPr>
        <w:t>מהווים עבורה טלטלה קשה שעליה טרם הצליחה להתגבר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עלה מהתסקיר כי 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>וכי הרקע לעבירות שביצע היה המצב הכלכלי הקשה אליו נקלע</w:t>
      </w:r>
      <w:r>
        <w:rPr>
          <w:rtl w:val="true"/>
        </w:rPr>
        <w:t xml:space="preserve">. </w:t>
      </w:r>
      <w:r>
        <w:rPr>
          <w:rtl w:val="true"/>
        </w:rPr>
        <w:t>שירות המבחן התרשם מהמערער כאדם שניהל אורח חיים חיובי ומתפקד עד לביצוע העבירות בהן הורשע</w:t>
      </w:r>
      <w:r>
        <w:rPr>
          <w:rtl w:val="true"/>
        </w:rPr>
        <w:t xml:space="preserve">, </w:t>
      </w:r>
      <w:r>
        <w:rPr>
          <w:rtl w:val="true"/>
        </w:rPr>
        <w:t>וכי לא קיימים אצלו מאפייני אישיות עבריינית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קיים סיכוי נמוך להישנות התנהגות עבריינית בעתיד מצדו של המערער</w:t>
      </w:r>
      <w:r>
        <w:rPr>
          <w:rtl w:val="true"/>
        </w:rPr>
        <w:t xml:space="preserve">, </w:t>
      </w:r>
      <w:r>
        <w:rPr>
          <w:rtl w:val="true"/>
        </w:rPr>
        <w:t>וניכר כי ההליך המשפטי המתנהל בעניינו חידד עבורו את חומרת מעשיו ובכך הפחית משמעותית את הסיכון מצדו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צוין כי הגם שמיצוי הדין עמו יהווה פגיעה משמעותית במצבם של ילדיו</w:t>
      </w:r>
      <w:r>
        <w:rPr>
          <w:rtl w:val="true"/>
        </w:rPr>
        <w:t xml:space="preserve">, </w:t>
      </w:r>
      <w:r>
        <w:rPr>
          <w:rtl w:val="true"/>
        </w:rPr>
        <w:t>לא ניתן להתעלם מחומרת העבירה</w:t>
      </w:r>
      <w:r>
        <w:rPr>
          <w:rtl w:val="true"/>
        </w:rPr>
        <w:t xml:space="preserve">, </w:t>
      </w:r>
      <w:r>
        <w:rPr>
          <w:rtl w:val="true"/>
        </w:rPr>
        <w:t>השלכותיה וחלקו של המערער בביצועה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על חלופת 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התייחס לקושי שבגזירת דינו של המערער נוכח המתח הרב ביותר שבין חומרת המעשים בהם הורשע לנסיבותיו האישיות הקשות והעגומות</w:t>
      </w:r>
      <w:r>
        <w:rPr>
          <w:rtl w:val="true"/>
        </w:rPr>
        <w:t xml:space="preserve">. </w:t>
      </w:r>
      <w:r>
        <w:rPr>
          <w:rtl w:val="true"/>
        </w:rPr>
        <w:t>בית המשפט עמד על הערך החברתי שנפגע ממעשיו של המערער והוא שלמות חייו וגופו של צרכן הסמים בפועל או זה הפוטנציאלי</w:t>
      </w:r>
      <w:r>
        <w:rPr>
          <w:rtl w:val="true"/>
        </w:rPr>
        <w:t xml:space="preserve">, </w:t>
      </w:r>
      <w:r>
        <w:rPr>
          <w:rtl w:val="true"/>
        </w:rPr>
        <w:t>והדגיש כי עבירות לפי פקודת הסמים מחייבות התייחסות חמורה ביותר מצדו של בית המשפט</w:t>
      </w:r>
      <w:r>
        <w:rPr>
          <w:rtl w:val="true"/>
        </w:rPr>
        <w:t xml:space="preserve">, </w:t>
      </w:r>
      <w:r>
        <w:rPr>
          <w:rtl w:val="true"/>
        </w:rPr>
        <w:t>בפרט נוכח כמות הסמים הגדולה שייבא המערער</w:t>
      </w:r>
      <w:r>
        <w:rPr>
          <w:rtl w:val="true"/>
        </w:rPr>
        <w:t xml:space="preserve">. </w:t>
      </w:r>
      <w:r>
        <w:rPr>
          <w:rtl w:val="true"/>
        </w:rPr>
        <w:t>בית המשפט סקר את מדיניות הענישה הנוהגת במקרים דומים ומצא כי היא מחמירה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נמנו 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ביניהן חלקו המשמעותי של המערער בייבוא הסם לישראל ובתכנון שקדם למעשה</w:t>
      </w:r>
      <w:r>
        <w:rPr>
          <w:rtl w:val="true"/>
        </w:rPr>
        <w:t xml:space="preserve">, </w:t>
      </w:r>
      <w:r>
        <w:rPr>
          <w:rtl w:val="true"/>
        </w:rPr>
        <w:t>הנזק שיכול היה להיגרם אילו לא היה נתפס</w:t>
      </w:r>
      <w:r>
        <w:rPr>
          <w:rtl w:val="true"/>
        </w:rPr>
        <w:t xml:space="preserve">, </w:t>
      </w:r>
      <w:r>
        <w:rPr>
          <w:rtl w:val="true"/>
        </w:rPr>
        <w:t>והנסיבות המצערות שהביאו אותו לבצע את העבירות</w:t>
      </w:r>
      <w:r>
        <w:rPr>
          <w:rtl w:val="true"/>
        </w:rPr>
        <w:t xml:space="preserve">. </w:t>
      </w:r>
      <w:r>
        <w:rPr>
          <w:rtl w:val="true"/>
        </w:rPr>
        <w:t>לאחר שקלול כלל השיקולים שנמנו</w:t>
      </w:r>
      <w:r>
        <w:rPr>
          <w:rtl w:val="true"/>
        </w:rPr>
        <w:t xml:space="preserve">, </w:t>
      </w:r>
      <w:r>
        <w:rPr>
          <w:rtl w:val="true"/>
        </w:rPr>
        <w:t>מצא בית המשפט כי מתחם העונש ההולם את העבירות שביצע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מצא בית המשפט לנכון לחרוג ממתחם העונש ההולם שקבע</w:t>
      </w:r>
      <w:r>
        <w:rPr>
          <w:rtl w:val="true"/>
        </w:rPr>
        <w:t xml:space="preserve">, </w:t>
      </w:r>
      <w:r>
        <w:rPr>
          <w:rtl w:val="true"/>
        </w:rPr>
        <w:t>בהיות מקרה זה נמנה על המקרים הנדירים</w:t>
      </w:r>
      <w:r>
        <w:rPr>
          <w:rtl w:val="true"/>
        </w:rPr>
        <w:t xml:space="preserve">, </w:t>
      </w:r>
      <w:r>
        <w:rPr>
          <w:rtl w:val="true"/>
        </w:rPr>
        <w:t>החריגים ויוצאי הדופן שמצדיקים חריגה לקולא מטעמי צדק</w:t>
      </w:r>
      <w:r>
        <w:rPr>
          <w:rtl w:val="true"/>
        </w:rPr>
        <w:t xml:space="preserve">. </w:t>
      </w:r>
      <w:r>
        <w:rPr>
          <w:rtl w:val="true"/>
        </w:rPr>
        <w:t>על טעמים אלה מנה בית המשפט את אורח החיים הנורמטיבי שניהל המערער עובר לביצוע העבירה</w:t>
      </w:r>
      <w:r>
        <w:rPr>
          <w:rtl w:val="true"/>
        </w:rPr>
        <w:t xml:space="preserve">, </w:t>
      </w:r>
      <w:r>
        <w:rPr>
          <w:rtl w:val="true"/>
        </w:rPr>
        <w:t>את הודייתו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את הנסיבות המצערות שבשלן ביצע את המעשים ואת הפגיעה שתיגרם לילדים כתוצאה ממאסר ממושך של המערער</w:t>
      </w:r>
      <w:r>
        <w:rPr>
          <w:rtl w:val="true"/>
        </w:rPr>
        <w:t xml:space="preserve">. </w:t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המערער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קנס כספי בסך של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ופסילת רישיון נהיגה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 מעת שחרורו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טענות המערער הופנו נגד רכיב המאסר בפועל</w:t>
      </w:r>
      <w:r>
        <w:rPr>
          <w:rtl w:val="true"/>
        </w:rPr>
        <w:t xml:space="preserve">, </w:t>
      </w:r>
      <w:r>
        <w:rPr>
          <w:rtl w:val="true"/>
        </w:rPr>
        <w:t>גובה הקנס שהושת עליו ופסילת רישיון הנהיגה שלו</w:t>
      </w:r>
      <w:r>
        <w:rPr>
          <w:rtl w:val="true"/>
        </w:rPr>
        <w:t xml:space="preserve">. </w:t>
      </w:r>
      <w:r>
        <w:rPr>
          <w:rtl w:val="true"/>
        </w:rPr>
        <w:t>נטען כי שליחתו לבית הכלא לריצוי מאסרו בנסיבות המקרה אינה משרתת את האינטרס הציבורי ואף נוגדת אותו</w:t>
      </w:r>
      <w:r>
        <w:rPr>
          <w:rtl w:val="true"/>
        </w:rPr>
        <w:t xml:space="preserve">. </w:t>
      </w:r>
      <w:r>
        <w:rPr>
          <w:rtl w:val="true"/>
        </w:rPr>
        <w:t>נוכח עברו הנקי של המערער ונסיבות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קיים סיכוי נמוך להישנות עבירה בעתיד</w:t>
      </w:r>
      <w:r>
        <w:rPr>
          <w:rtl w:val="true"/>
        </w:rPr>
        <w:t xml:space="preserve">. </w:t>
      </w:r>
      <w:r>
        <w:rPr>
          <w:rtl w:val="true"/>
        </w:rPr>
        <w:t>בית המשפט המחוזי לא שקל מה יעלה בגורלם של ילדיו הקטינים אם יישב במאסר</w:t>
      </w:r>
      <w:r>
        <w:rPr>
          <w:rtl w:val="true"/>
        </w:rPr>
        <w:t xml:space="preserve">, </w:t>
      </w:r>
      <w:r>
        <w:rPr>
          <w:rtl w:val="true"/>
        </w:rPr>
        <w:t>וכי החמלה כלפיהם חייבת לגבור על האינטרס שבהרתעת היחיד והרבים</w:t>
      </w:r>
      <w:r>
        <w:rPr>
          <w:rtl w:val="true"/>
        </w:rPr>
        <w:t xml:space="preserve">. </w:t>
      </w:r>
      <w:r>
        <w:rPr>
          <w:rtl w:val="true"/>
        </w:rPr>
        <w:t>המערער הודה כי העונש מידתי לולא ילדיו הקטינים ומצבם</w:t>
      </w:r>
      <w:r>
        <w:rPr>
          <w:rtl w:val="true"/>
        </w:rPr>
        <w:t xml:space="preserve">, </w:t>
      </w:r>
      <w:r>
        <w:rPr>
          <w:rtl w:val="true"/>
        </w:rPr>
        <w:t>אך ציין כי היעדר פתרון ראוי לשלומם ובריאותם של ילדיו הקטינים בעת ריצוי מאסרו</w:t>
      </w:r>
      <w:r>
        <w:rPr>
          <w:rtl w:val="true"/>
        </w:rPr>
        <w:t xml:space="preserve">, </w:t>
      </w:r>
      <w:r>
        <w:rPr>
          <w:rtl w:val="true"/>
        </w:rPr>
        <w:t>מצדיק התערבות בית המשפט בגזר הדין</w:t>
      </w:r>
      <w:r>
        <w:rPr>
          <w:rtl w:val="true"/>
        </w:rPr>
        <w:t xml:space="preserve">. </w:t>
      </w:r>
      <w:r>
        <w:rPr>
          <w:rtl w:val="true"/>
        </w:rPr>
        <w:t>עוד ביקש המערער כי בית משפט זה יורה לגורמי הרווחה ושירות המבחן ליתן דו</w:t>
      </w:r>
      <w:r>
        <w:rPr>
          <w:rtl w:val="true"/>
        </w:rPr>
        <w:t>"</w:t>
      </w:r>
      <w:r>
        <w:rPr>
          <w:rtl w:val="true"/>
        </w:rPr>
        <w:t>ח עדכני בדבר מצבם של ילדיו</w:t>
      </w:r>
      <w:r>
        <w:rPr>
          <w:rtl w:val="true"/>
        </w:rPr>
        <w:t xml:space="preserve">, </w:t>
      </w:r>
      <w:r>
        <w:rPr>
          <w:rtl w:val="true"/>
        </w:rPr>
        <w:t>תוך התייחסות לשלומם ובריאותם אם יידרש לרצות את מאסרו</w:t>
      </w:r>
      <w:r>
        <w:rPr>
          <w:rtl w:val="true"/>
        </w:rPr>
        <w:t xml:space="preserve">, </w:t>
      </w:r>
      <w:r>
        <w:rPr>
          <w:rtl w:val="true"/>
        </w:rPr>
        <w:t>ולנוכח הנסיבות גם יורה על קיצור עונשו באופן משמעותי</w:t>
      </w:r>
      <w:r>
        <w:rPr>
          <w:rtl w:val="true"/>
        </w:rPr>
        <w:t xml:space="preserve">, </w:t>
      </w:r>
      <w:r>
        <w:rPr>
          <w:rtl w:val="true"/>
        </w:rPr>
        <w:t>על הפחתת גובה הקנס שנגזר עליו</w:t>
      </w:r>
      <w:r>
        <w:rPr>
          <w:rtl w:val="true"/>
        </w:rPr>
        <w:t xml:space="preserve">, </w:t>
      </w:r>
      <w:r>
        <w:rPr>
          <w:rtl w:val="true"/>
        </w:rPr>
        <w:t>ועל ביטול פסילת רישיון הנהיגה שנגזרה עליו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 המערער כי בית המשפט המחוזי לא ניכה מעונש המאסר שהשית עליו את תקופת מעצרו באיזוק אלקטרוני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יצוין כי לאחר הגשת הערעור עוכב ביצוע עונש המאסר שהוטל על המערער עד למתן פסק דין בערעור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שהתקיים לפנינו ביום </w:t>
      </w:r>
      <w:r>
        <w:rPr/>
        <w:t>1.1.2018</w:t>
      </w:r>
      <w:r>
        <w:rPr>
          <w:rtl w:val="true"/>
        </w:rPr>
        <w:t xml:space="preserve"> </w:t>
      </w:r>
      <w:r>
        <w:rPr>
          <w:rtl w:val="true"/>
        </w:rPr>
        <w:t>הביעה באת</w:t>
      </w:r>
      <w:r>
        <w:rPr>
          <w:rtl w:val="true"/>
        </w:rPr>
        <w:t>-</w:t>
      </w:r>
      <w:r>
        <w:rPr>
          <w:rtl w:val="true"/>
        </w:rPr>
        <w:t>כוח המשיבה צערה על הנסיבות הטראגיות של המקרה</w:t>
      </w:r>
      <w:r>
        <w:rPr>
          <w:rtl w:val="true"/>
        </w:rPr>
        <w:t xml:space="preserve">, </w:t>
      </w:r>
      <w:r>
        <w:rPr>
          <w:rtl w:val="true"/>
        </w:rPr>
        <w:t>אך ציינה כי הפתרון הראוי למקרה זה אינו ביטול רכיב המאסר</w:t>
      </w:r>
      <w:r>
        <w:rPr>
          <w:rtl w:val="true"/>
        </w:rPr>
        <w:t xml:space="preserve">, </w:t>
      </w:r>
      <w:r>
        <w:rPr>
          <w:rtl w:val="true"/>
        </w:rPr>
        <w:t>כי אם מציאת גורם מטעם משפחתו של המערער המתאים לטיפול בילדיו בעת ריצוי מאסרו</w:t>
      </w:r>
      <w:r>
        <w:rPr>
          <w:rtl w:val="true"/>
        </w:rPr>
        <w:t xml:space="preserve">. </w:t>
      </w:r>
      <w:r>
        <w:rPr>
          <w:rtl w:val="true"/>
        </w:rPr>
        <w:t>בסיום הדיון</w:t>
      </w:r>
      <w:r>
        <w:rPr>
          <w:rtl w:val="true"/>
        </w:rPr>
        <w:t xml:space="preserve">, </w:t>
      </w:r>
      <w:r>
        <w:rPr>
          <w:rtl w:val="true"/>
        </w:rPr>
        <w:t>ובשל נסיבות המקרה הייחודיות</w:t>
      </w:r>
      <w:r>
        <w:rPr>
          <w:rtl w:val="true"/>
        </w:rPr>
        <w:t xml:space="preserve">, </w:t>
      </w:r>
      <w:r>
        <w:rPr>
          <w:rtl w:val="true"/>
        </w:rPr>
        <w:t>מצאנו לנכון להורות לשירות המבחן לערוך תסקיר נוסף במסגרתו יוצגו פתרונות אפשריים לטיפול בילדים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30.4.2018</w:t>
      </w:r>
      <w:r>
        <w:rPr>
          <w:rtl w:val="true"/>
        </w:rPr>
        <w:t xml:space="preserve"> </w:t>
      </w:r>
      <w:r>
        <w:rPr>
          <w:rtl w:val="true"/>
        </w:rPr>
        <w:t>הוגש תסקיר עדכני מטעם שירות המבחן</w:t>
      </w:r>
      <w:r>
        <w:rPr>
          <w:rtl w:val="true"/>
        </w:rPr>
        <w:t xml:space="preserve">. </w:t>
      </w:r>
      <w:r>
        <w:rPr>
          <w:rtl w:val="true"/>
        </w:rPr>
        <w:t>קצינת המבחן שוחחה עם הוריו של המערער</w:t>
      </w:r>
      <w:r>
        <w:rPr>
          <w:rtl w:val="true"/>
        </w:rPr>
        <w:t xml:space="preserve">, </w:t>
      </w:r>
      <w:r>
        <w:rPr>
          <w:rtl w:val="true"/>
        </w:rPr>
        <w:t>שמסרו כי מצבם הרפואי והנפשי אינו מאפשר להם לשמש כמטפלים של הילדים</w:t>
      </w:r>
      <w:r>
        <w:rPr>
          <w:rtl w:val="true"/>
        </w:rPr>
        <w:t xml:space="preserve">. </w:t>
      </w:r>
      <w:r>
        <w:rPr>
          <w:rtl w:val="true"/>
        </w:rPr>
        <w:t>כן שוחחה קצינת המבחן עם אימהּ של אשת המערער המנוחה</w:t>
      </w:r>
      <w:r>
        <w:rPr>
          <w:rtl w:val="true"/>
        </w:rPr>
        <w:t xml:space="preserve">, </w:t>
      </w:r>
      <w:r>
        <w:rPr>
          <w:rtl w:val="true"/>
        </w:rPr>
        <w:t>שציינה כי היא אינה מסוגלת לעמוד במשימת גידול הילדים כיום מחמת מצבה הנפשי הרעוע</w:t>
      </w:r>
      <w:r>
        <w:rPr>
          <w:rtl w:val="true"/>
        </w:rPr>
        <w:t xml:space="preserve">. </w:t>
      </w:r>
      <w:r>
        <w:rPr>
          <w:rtl w:val="true"/>
        </w:rPr>
        <w:t>קצינת המבחן שוחחה גם עם עובדת סוציאלית ממחלקת הרווחה המטפלת בעניינם של ילדי המערער</w:t>
      </w:r>
      <w:r>
        <w:rPr>
          <w:rtl w:val="true"/>
        </w:rPr>
        <w:t xml:space="preserve">, </w:t>
      </w:r>
      <w:r>
        <w:rPr>
          <w:rtl w:val="true"/>
        </w:rPr>
        <w:t>שציינה כי לנוכח מצבם של בני המשפחה</w:t>
      </w:r>
      <w:r>
        <w:rPr>
          <w:rtl w:val="true"/>
        </w:rPr>
        <w:t xml:space="preserve">, </w:t>
      </w:r>
      <w:r>
        <w:rPr>
          <w:rtl w:val="true"/>
        </w:rPr>
        <w:t>קיימת סבירות גבוהה שיהיה צורך בחיפוש משפחת אומנה עבור הילדים מחוץ למשפחה</w:t>
      </w:r>
      <w:r>
        <w:rPr>
          <w:rtl w:val="true"/>
        </w:rPr>
        <w:t xml:space="preserve">. </w:t>
      </w:r>
      <w:r>
        <w:rPr>
          <w:rtl w:val="true"/>
        </w:rPr>
        <w:t>מתסקיר שירות המבחן ניכר כי הן העובדת הסוציאלית והן קצינת המבחן סבורות שהעברת ילדי המערער למשפחה אומנת בעייתית</w:t>
      </w:r>
      <w:r>
        <w:rPr>
          <w:rtl w:val="true"/>
        </w:rPr>
        <w:t xml:space="preserve">, </w:t>
      </w:r>
      <w:r>
        <w:rPr>
          <w:rtl w:val="true"/>
        </w:rPr>
        <w:t>בפרט בשל מצבה הרגשי של הבת</w:t>
      </w:r>
      <w:r>
        <w:rPr>
          <w:rtl w:val="true"/>
        </w:rPr>
        <w:t xml:space="preserve">. </w:t>
      </w:r>
      <w:r>
        <w:rPr>
          <w:rtl w:val="true"/>
        </w:rPr>
        <w:t>לנוכח כל האמור המליץ שירות המבחן</w:t>
      </w:r>
      <w:r>
        <w:rPr>
          <w:rtl w:val="true"/>
        </w:rPr>
        <w:t xml:space="preserve">, </w:t>
      </w:r>
      <w:r>
        <w:rPr>
          <w:rtl w:val="true"/>
        </w:rPr>
        <w:t>על אף חומרת העבירות</w:t>
      </w:r>
      <w:r>
        <w:rPr>
          <w:rtl w:val="true"/>
        </w:rPr>
        <w:t xml:space="preserve">, </w:t>
      </w:r>
      <w:r>
        <w:rPr>
          <w:rtl w:val="true"/>
        </w:rPr>
        <w:t>לשקול אפשרות של ענישת המערער שלא במאסר בפועל</w:t>
      </w:r>
      <w:r>
        <w:rPr>
          <w:rtl w:val="true"/>
        </w:rPr>
        <w:t xml:space="preserve">, </w:t>
      </w:r>
      <w:r>
        <w:rPr>
          <w:rtl w:val="true"/>
        </w:rPr>
        <w:t>ולחלופין להקל ככל שניתן בתקופת המאסר שהוטלה 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כלל ידוע הוא כי ערכאת הערעור אינה מתערבת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שבהם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שהעונש שנגזר חורג באופן ממשי מהענישה הנוהגת בנסיבות דומות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8479/16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30.5.2018</w:t>
      </w:r>
      <w:r>
        <w:rPr>
          <w:rtl w:val="true"/>
        </w:rPr>
        <w:t xml:space="preserve">); 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2599/16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‏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14.1.2018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9598/16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13.7.2017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קטיש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10173/16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טאהא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14.2.2017</w:t>
      </w:r>
      <w:r>
        <w:rPr>
          <w:rtl w:val="true"/>
        </w:rPr>
        <w:t xml:space="preserve">)). </w:t>
      </w:r>
      <w:r>
        <w:rPr>
          <w:rtl w:val="true"/>
        </w:rPr>
        <w:t>לאחר עיון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ולאחר עיון בטענות הצדדים ושמיעתם בדיון שלפנינו</w:t>
      </w:r>
      <w:r>
        <w:rPr>
          <w:rtl w:val="true"/>
        </w:rPr>
        <w:t xml:space="preserve">, </w:t>
      </w:r>
      <w:r>
        <w:rPr>
          <w:rtl w:val="true"/>
        </w:rPr>
        <w:t>לא מצאנו אפשרות לכלול את המקרה בגדר חריגים אלו</w:t>
      </w:r>
      <w:r>
        <w:rPr>
          <w:rtl w:val="true"/>
        </w:rPr>
        <w:t xml:space="preserve">, </w:t>
      </w:r>
      <w:r>
        <w:rPr>
          <w:rtl w:val="true"/>
        </w:rPr>
        <w:t>אם כי נוכח הנסיבות המיוחדות מאוד הקשורות למשפחתו של המערער</w:t>
      </w:r>
      <w:r>
        <w:rPr>
          <w:rtl w:val="true"/>
        </w:rPr>
        <w:t xml:space="preserve">, </w:t>
      </w:r>
      <w:r>
        <w:rPr>
          <w:rtl w:val="true"/>
        </w:rPr>
        <w:t>אנו רואים מקום להמתיק במקצת את אורך תקופת המאסר בפועל שיושת עליו</w:t>
      </w:r>
      <w:r>
        <w:rPr>
          <w:rtl w:val="true"/>
        </w:rPr>
        <w:t xml:space="preserve">, </w:t>
      </w:r>
      <w:r>
        <w:rPr>
          <w:rtl w:val="true"/>
        </w:rPr>
        <w:t>כפי שיובהר 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 חולק כי נסיבות המקרה שלפנינו אינן פשוטות כלל ועיקר</w:t>
      </w:r>
      <w:r>
        <w:rPr>
          <w:rtl w:val="true"/>
        </w:rPr>
        <w:t xml:space="preserve">. </w:t>
      </w:r>
      <w:r>
        <w:rPr>
          <w:rtl w:val="true"/>
        </w:rPr>
        <w:t>נסיבות חייו של המערער אשר הובילו אותו לביצוע העבירה</w:t>
      </w:r>
      <w:r>
        <w:rPr>
          <w:rtl w:val="true"/>
        </w:rPr>
        <w:t xml:space="preserve">, </w:t>
      </w:r>
      <w:r>
        <w:rPr>
          <w:rtl w:val="true"/>
        </w:rPr>
        <w:t>ובכללן מחלתו הקשה של אשתו</w:t>
      </w:r>
      <w:r>
        <w:rPr>
          <w:rtl w:val="true"/>
        </w:rPr>
        <w:t xml:space="preserve">, </w:t>
      </w:r>
      <w:r>
        <w:rPr>
          <w:rtl w:val="true"/>
        </w:rPr>
        <w:t>מצערות מאוד</w:t>
      </w:r>
      <w:r>
        <w:rPr>
          <w:rtl w:val="true"/>
        </w:rPr>
        <w:t xml:space="preserve">. </w:t>
      </w:r>
      <w:r>
        <w:rPr>
          <w:rtl w:val="true"/>
        </w:rPr>
        <w:t>כן מצערת המחשבה על העברת ילדיו של המערער למשפחת אומנה חלף המשך חייהם עם אביהם</w:t>
      </w:r>
      <w:r>
        <w:rPr>
          <w:rtl w:val="true"/>
        </w:rPr>
        <w:t xml:space="preserve">, </w:t>
      </w:r>
      <w:r>
        <w:rPr>
          <w:rtl w:val="true"/>
        </w:rPr>
        <w:t>ועל השלכותיה של העברה זו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לכחד כי העבירות שביצע המערער חמורות ביותר</w:t>
      </w:r>
      <w:r>
        <w:rPr>
          <w:rtl w:val="true"/>
        </w:rPr>
        <w:t xml:space="preserve">. </w:t>
      </w:r>
      <w:r>
        <w:rPr>
          <w:rtl w:val="true"/>
        </w:rPr>
        <w:t>בית משפט זה דן לא פעם בחומרתן של עבירות הסמים</w:t>
      </w:r>
      <w:r>
        <w:rPr>
          <w:rtl w:val="true"/>
        </w:rPr>
        <w:t xml:space="preserve">, </w:t>
      </w:r>
      <w:r>
        <w:rPr>
          <w:rtl w:val="true"/>
        </w:rPr>
        <w:t>בפרט עבירות הסחר וההפצה</w:t>
      </w:r>
      <w:r>
        <w:rPr>
          <w:rtl w:val="true"/>
        </w:rPr>
        <w:t xml:space="preserve">, </w:t>
      </w:r>
      <w:r>
        <w:rPr>
          <w:rtl w:val="true"/>
        </w:rPr>
        <w:t>ובצורך להביא למיגורן</w:t>
      </w:r>
      <w:r>
        <w:rPr>
          <w:rtl w:val="true"/>
        </w:rPr>
        <w:t xml:space="preserve">. </w:t>
      </w:r>
      <w:r>
        <w:rPr>
          <w:rtl w:val="true"/>
        </w:rPr>
        <w:t xml:space="preserve">עמד על כך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(</w:t>
      </w:r>
      <w:r>
        <w:rPr/>
        <w:t>19.7.2017</w:t>
      </w:r>
      <w:r>
        <w:rPr>
          <w:rtl w:val="true"/>
        </w:rPr>
        <w:t>);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למשתמשים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שבהמשך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להתמכרותם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האזרחים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." 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(</w:t>
      </w:r>
      <w:r>
        <w:rPr/>
        <w:t>14.2.2016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24.7.2011</w:t>
      </w:r>
      <w:r>
        <w:rPr>
          <w:rtl w:val="true"/>
        </w:rPr>
        <w:t xml:space="preserve">); </w:t>
      </w:r>
      <w:hyperlink r:id="rId2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966/94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אמזלג</w:t>
      </w:r>
      <w:r>
        <w:rPr>
          <w:rFonts w:ascii="Century" w:hAnsi="Century" w:cs="Miriam"/>
          <w:b/>
          <w:b/>
          <w:spacing w:val="0"/>
          <w:szCs w:val="24"/>
        </w:rPr>
        <w:t>‎</w:t>
      </w:r>
      <w:r>
        <w:rPr>
          <w:rFonts w:ascii="Century" w:hAnsi="Century" w:eastAsia="Century" w:cs="Century"/>
          <w:b/>
          <w:b/>
          <w:spacing w:val="0"/>
          <w:szCs w:val="24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</w:rPr>
        <w:t>‎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10.12.1995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נפסק כי נסיבותיו האישיות של נאשם נסוגות לטובת </w:t>
      </w:r>
      <w:r>
        <w:rPr>
          <w:sz w:val="28"/>
          <w:sz w:val="28"/>
          <w:rtl w:val="true"/>
        </w:rPr>
        <w:t>האינטרס הציבורי שבהחמרת הענישה על עבירות הסמים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שעניינן סחר והפצה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8988/16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10</w:t>
      </w:r>
      <w:r>
        <w:rPr>
          <w:sz w:val="28"/>
          <w:rtl w:val="true"/>
        </w:rPr>
        <w:t xml:space="preserve"> (</w:t>
      </w:r>
      <w:r>
        <w:rPr>
          <w:sz w:val="28"/>
        </w:rPr>
        <w:t>8.3.2017</w:t>
      </w:r>
      <w:r>
        <w:rPr>
          <w:sz w:val="28"/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1274/16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6.10.2016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פדידה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/>
        <w:t>8.2.2016</w:t>
      </w:r>
      <w:r>
        <w:rPr>
          <w:rtl w:val="true"/>
        </w:rPr>
        <w:t xml:space="preserve">)).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בחר ליתן משקל משמעותי ביותר לנסיבותיו האישיות המצערות של המערער בעת קביעת עונשו</w:t>
      </w:r>
      <w:r>
        <w:rPr>
          <w:rtl w:val="true"/>
        </w:rPr>
        <w:t xml:space="preserve">. </w:t>
      </w:r>
      <w:r>
        <w:rPr>
          <w:rtl w:val="true"/>
        </w:rPr>
        <w:t>נסיבות אלה</w:t>
      </w:r>
      <w:r>
        <w:rPr>
          <w:rtl w:val="true"/>
        </w:rPr>
        <w:t xml:space="preserve">, </w:t>
      </w:r>
      <w:r>
        <w:rPr>
          <w:rtl w:val="true"/>
        </w:rPr>
        <w:t>בצירוף עברו הפלילי הנקי</w:t>
      </w:r>
      <w:r>
        <w:rPr>
          <w:rtl w:val="true"/>
        </w:rPr>
        <w:t xml:space="preserve">, </w:t>
      </w:r>
      <w:r>
        <w:rPr>
          <w:rtl w:val="true"/>
        </w:rPr>
        <w:t>הן אלה שהובילו אותו לחרוג ממתחם העונש ההולם שקבע</w:t>
      </w:r>
      <w:r>
        <w:rPr>
          <w:rtl w:val="true"/>
        </w:rPr>
        <w:t xml:space="preserve">, </w:t>
      </w:r>
      <w:r>
        <w:rPr>
          <w:rtl w:val="true"/>
        </w:rPr>
        <w:t>ולהשית על המערער עונש מאסר נמוך באופן משמעותי מן הענישה הנוהגת במקרים דומים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הנסיבות המצערות אף לא נעלמו מעינינו אנו</w:t>
      </w:r>
      <w:r>
        <w:rPr>
          <w:rtl w:val="true"/>
        </w:rPr>
        <w:t xml:space="preserve">, </w:t>
      </w:r>
      <w:r>
        <w:rPr>
          <w:rtl w:val="true"/>
        </w:rPr>
        <w:t>ולכן הורינו לשירות המבחן לערוך תסקיר נוסף</w:t>
      </w:r>
      <w:r>
        <w:rPr>
          <w:rtl w:val="true"/>
        </w:rPr>
        <w:t xml:space="preserve">, </w:t>
      </w:r>
      <w:r>
        <w:rPr>
          <w:rtl w:val="true"/>
        </w:rPr>
        <w:t>שיסייע במציאת הפתרון האידיאלי לילדיו של המערער בנסיבות העניין</w:t>
      </w:r>
      <w:r>
        <w:rPr>
          <w:rtl w:val="true"/>
        </w:rPr>
        <w:t xml:space="preserve">. </w:t>
      </w:r>
      <w:r>
        <w:rPr>
          <w:rtl w:val="true"/>
        </w:rPr>
        <w:t>מסקנותיו של שירות המבחן באשר להיעדר יכולתם של בני משפחתו של המערער ושל אשתו המנוחה אינן משתמעות לשני פנים</w:t>
      </w:r>
      <w:r>
        <w:rPr>
          <w:rtl w:val="true"/>
        </w:rPr>
        <w:t xml:space="preserve">: </w:t>
      </w:r>
      <w:r>
        <w:rPr>
          <w:rtl w:val="true"/>
        </w:rPr>
        <w:t>אין בנמצא בן משפחה אשר יכול ליטול על עצמו את גידול וחינוך ילדיו של המערער</w:t>
      </w:r>
      <w:r>
        <w:rPr>
          <w:rtl w:val="true"/>
        </w:rPr>
        <w:t xml:space="preserve">. </w:t>
      </w:r>
      <w:r>
        <w:rPr>
          <w:rtl w:val="true"/>
        </w:rPr>
        <w:t>אלה הן מסקנות מצערות</w:t>
      </w:r>
      <w:r>
        <w:rPr>
          <w:rtl w:val="true"/>
        </w:rPr>
        <w:t xml:space="preserve">, </w:t>
      </w:r>
      <w:r>
        <w:rPr>
          <w:rtl w:val="true"/>
        </w:rPr>
        <w:t>שלאורן המליץ שירות המבחן לשקול אפשרות חלופת מאסר או הקלה בעונש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הגם שתסקיר שירות המבחן הוא כלי עזר נחוץ בהיותו מניח בפני בית המשפט תשתית עובדתית ומקצועית </w:t>
      </w:r>
      <w:r>
        <w:rPr>
          <w:rtl w:val="true"/>
        </w:rPr>
        <w:t>(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8062/12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פיתוח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ונכסים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הנשיא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>') 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2.4.2015</w:t>
      </w:r>
      <w:r>
        <w:rPr>
          <w:rtl w:val="true"/>
        </w:rPr>
        <w:t xml:space="preserve">), </w:t>
      </w:r>
      <w:r>
        <w:rPr>
          <w:rtl w:val="true"/>
        </w:rPr>
        <w:t>בית המשפט אינו כבול להמלצותיו</w:t>
      </w:r>
      <w:r>
        <w:rPr>
          <w:rtl w:val="true"/>
        </w:rPr>
        <w:t xml:space="preserve">, </w:t>
      </w:r>
      <w:r>
        <w:rPr>
          <w:rtl w:val="true"/>
        </w:rPr>
        <w:t xml:space="preserve">ושיקול הדעת הסופי בגזירת דינו של נאשם מסור לו לבדו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קטיש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8.11.2009</w:t>
      </w:r>
      <w:r>
        <w:rPr>
          <w:rtl w:val="true"/>
        </w:rPr>
        <w:t xml:space="preserve">)).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המלצותיו של שירות המבחן אינן עומדות לבדן</w:t>
      </w:r>
      <w:r>
        <w:rPr>
          <w:rtl w:val="true"/>
        </w:rPr>
        <w:t xml:space="preserve">, </w:t>
      </w:r>
      <w:r>
        <w:rPr>
          <w:rtl w:val="true"/>
        </w:rPr>
        <w:t>והן מצטרפות לחומרת העבירות שביצע המערער</w:t>
      </w:r>
      <w:r>
        <w:rPr>
          <w:rtl w:val="true"/>
        </w:rPr>
        <w:t xml:space="preserve">, </w:t>
      </w:r>
      <w:r>
        <w:rPr>
          <w:rtl w:val="true"/>
        </w:rPr>
        <w:t>למעורבותו בהן</w:t>
      </w:r>
      <w:r>
        <w:rPr>
          <w:rtl w:val="true"/>
        </w:rPr>
        <w:t xml:space="preserve">, </w:t>
      </w:r>
      <w:r>
        <w:rPr>
          <w:rtl w:val="true"/>
        </w:rPr>
        <w:t>ולהקלה המשמעותית שהקל עמו בית המשפט המחוזי עת גזר את דינו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בחינת מכלול השיקולים והנסיבות נמצא אפוא כי במצב הדברים הנוכחי יש להעניק לאינטרס הציבורי מעמד בכורה על פני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מצערות ככל שיהיו</w:t>
      </w:r>
      <w:r>
        <w:rPr>
          <w:rtl w:val="true"/>
        </w:rPr>
        <w:t xml:space="preserve">. </w:t>
      </w:r>
      <w:r>
        <w:rPr>
          <w:rtl w:val="true"/>
        </w:rPr>
        <w:t>מסקנה אחרת עלולה לפתוח פתח במקרים אחרים להתנהגות עבריינית בלתי רצויה</w:t>
      </w:r>
      <w:r>
        <w:rPr>
          <w:rtl w:val="true"/>
        </w:rPr>
        <w:t xml:space="preserve">, </w:t>
      </w:r>
      <w:r>
        <w:rPr>
          <w:rtl w:val="true"/>
        </w:rPr>
        <w:t>שאין בידינו לאפשרה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לטענתו הנוספת של המערער לעניין ניכוי ימי שהייתו בפיקוח אלקטרוני מתקופת המאסר</w:t>
      </w:r>
      <w:r>
        <w:rPr>
          <w:rtl w:val="true"/>
        </w:rPr>
        <w:t xml:space="preserve">, </w:t>
      </w:r>
      <w:r>
        <w:rPr>
          <w:rtl w:val="true"/>
        </w:rPr>
        <w:t>יצוין כי הגם שבית המשפט יכול להתחשב בימי השהייה בפיקוח אלקטרוני ולראות בהם שיקול לקולא בבואו לגזור דינו של נאשם</w:t>
      </w:r>
      <w:r>
        <w:rPr>
          <w:rtl w:val="true"/>
        </w:rPr>
        <w:t xml:space="preserve">, </w:t>
      </w:r>
      <w:r>
        <w:rPr>
          <w:rtl w:val="true"/>
        </w:rPr>
        <w:t xml:space="preserve">אין לנכות אותם באופן אוטומטי מתקופת המאסר </w:t>
      </w:r>
      <w:r>
        <w:rPr>
          <w:rtl w:val="true"/>
        </w:rPr>
        <w:t>(</w:t>
      </w:r>
      <w:hyperlink r:id="rId34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7768/15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 xml:space="preserve">);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5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106/17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30.1.2018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ואין צריך לומר כי בית המשפט המחוזי שקל והתחשב במכלול השיקולים לקולא במקרה זה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בסיכומו של דבר</w:t>
      </w:r>
      <w:r>
        <w:rPr>
          <w:rtl w:val="true"/>
        </w:rPr>
        <w:t xml:space="preserve">, </w:t>
      </w:r>
      <w:r>
        <w:rPr>
          <w:rtl w:val="true"/>
        </w:rPr>
        <w:t>אין מנוס מהשתת מאסר בפועל על המערער</w:t>
      </w:r>
      <w:r>
        <w:rPr>
          <w:rtl w:val="true"/>
        </w:rPr>
        <w:t xml:space="preserve">. </w:t>
      </w:r>
      <w:r>
        <w:rPr>
          <w:rtl w:val="true"/>
        </w:rPr>
        <w:t>אלא שבנסיבות המיוחדות והחריגות ביותר להן נקלעו ילדיו של המערער</w:t>
      </w:r>
      <w:r>
        <w:rPr>
          <w:rtl w:val="true"/>
        </w:rPr>
        <w:t xml:space="preserve">, </w:t>
      </w:r>
      <w:r>
        <w:rPr>
          <w:rtl w:val="true"/>
        </w:rPr>
        <w:t>אנו מעמידים את תקופת המאסר בפועל</w:t>
      </w:r>
      <w:r>
        <w:rPr>
          <w:rtl w:val="true"/>
        </w:rPr>
        <w:t xml:space="preserve">, </w:t>
      </w:r>
      <w:r>
        <w:rPr>
          <w:rtl w:val="true"/>
        </w:rPr>
        <w:t>לאחר ניכוי תקופת מעצרו מאחורי סורג ובריח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תצומצם עד מאוד הפגיעה בילדיו</w:t>
      </w:r>
      <w:r>
        <w:rPr>
          <w:rtl w:val="true"/>
        </w:rPr>
        <w:t xml:space="preserve">. </w:t>
      </w:r>
      <w:r>
        <w:rPr>
          <w:rtl w:val="true"/>
        </w:rPr>
        <w:t>יתר רכיבי גזר הדין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יעמדו על כנם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מנת לאפשר שהות למערער להתארגן ולהסדיר את הטיפול בילדיו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19.8.2018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 xml:space="preserve">המעצר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10.6.2018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</w:rPr>
        <w:t>17082830</w:t>
      </w:r>
      <w:r>
        <w:rPr>
          <w:sz w:val="16"/>
          <w:rtl w:val="true"/>
        </w:rPr>
        <w:t>_</w:t>
      </w:r>
      <w:r>
        <w:rPr>
          <w:sz w:val="16"/>
        </w:rPr>
        <w:t>N05.doc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54678313-8283/17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8283/17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עבאסי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34997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6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case/20934997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4216/6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4216/13" TargetMode="External"/><Relationship Id="rId20" Type="http://schemas.openxmlformats.org/officeDocument/2006/relationships/hyperlink" Target="http://www.nevo.co.il/law/4216/19a" TargetMode="External"/><Relationship Id="rId21" Type="http://schemas.openxmlformats.org/officeDocument/2006/relationships/hyperlink" Target="http://www.nevo.co.il/case/24263465" TargetMode="External"/><Relationship Id="rId22" Type="http://schemas.openxmlformats.org/officeDocument/2006/relationships/hyperlink" Target="http://www.nevo.co.il/case/21478620" TargetMode="External"/><Relationship Id="rId23" Type="http://schemas.openxmlformats.org/officeDocument/2006/relationships/hyperlink" Target="http://www.nevo.co.il/case/21755472" TargetMode="External"/><Relationship Id="rId24" Type="http://schemas.openxmlformats.org/officeDocument/2006/relationships/hyperlink" Target="http://www.nevo.co.il/case/21914030" TargetMode="External"/><Relationship Id="rId25" Type="http://schemas.openxmlformats.org/officeDocument/2006/relationships/hyperlink" Target="http://www.nevo.co.il/case/21477662" TargetMode="External"/><Relationship Id="rId26" Type="http://schemas.openxmlformats.org/officeDocument/2006/relationships/hyperlink" Target="http://www.nevo.co.il/case/20205876" TargetMode="External"/><Relationship Id="rId27" Type="http://schemas.openxmlformats.org/officeDocument/2006/relationships/hyperlink" Target="http://www.nevo.co.il/case/5726579" TargetMode="External"/><Relationship Id="rId28" Type="http://schemas.openxmlformats.org/officeDocument/2006/relationships/hyperlink" Target="http://www.nevo.co.il/case/17932979" TargetMode="External"/><Relationship Id="rId29" Type="http://schemas.openxmlformats.org/officeDocument/2006/relationships/hyperlink" Target="http://www.nevo.co.il/case/21644133" TargetMode="External"/><Relationship Id="rId30" Type="http://schemas.openxmlformats.org/officeDocument/2006/relationships/hyperlink" Target="http://www.nevo.co.il/case/21472796" TargetMode="External"/><Relationship Id="rId31" Type="http://schemas.openxmlformats.org/officeDocument/2006/relationships/hyperlink" Target="http://www.nevo.co.il/case/20412551" TargetMode="External"/><Relationship Id="rId32" Type="http://schemas.openxmlformats.org/officeDocument/2006/relationships/hyperlink" Target="http://www.nevo.co.il/case/5605691" TargetMode="External"/><Relationship Id="rId33" Type="http://schemas.openxmlformats.org/officeDocument/2006/relationships/hyperlink" Target="http://www.nevo.co.il/case/6091686" TargetMode="External"/><Relationship Id="rId34" Type="http://schemas.openxmlformats.org/officeDocument/2006/relationships/hyperlink" Target="http://www.nevo.co.il/case/20832660" TargetMode="External"/><Relationship Id="rId35" Type="http://schemas.openxmlformats.org/officeDocument/2006/relationships/hyperlink" Target="http://www.nevo.co.il/case/22006494" TargetMode="External"/><Relationship Id="rId36" Type="http://schemas.openxmlformats.org/officeDocument/2006/relationships/hyperlink" Target="https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2018-06-11T12:06:00Z</dcterms:created>
  <dc:creator> </dc:creator>
  <dc:description/>
  <cp:keywords/>
  <dc:language>en-IL</dc:language>
  <cp:lastModifiedBy>orly</cp:lastModifiedBy>
  <cp:lastPrinted>2018-06-07T14:07:00Z</cp:lastPrinted>
  <dcterms:modified xsi:type="dcterms:W3CDTF">2018-06-11T12:06:00Z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אברהים עבאסי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20934997:2;24263465;21478620;21755472;21914030;21477662;20205876;5726579;17932979;21644133;21472796;20412551;5605691;6091686;20832660;22006494</vt:lpwstr>
  </property>
  <property fmtid="{D5CDD505-2E9C-101B-9397-08002B2CF9AE}" pid="9" name="CITY">
    <vt:lpwstr/>
  </property>
  <property fmtid="{D5CDD505-2E9C-101B-9397-08002B2CF9AE}" pid="10" name="DATE">
    <vt:lpwstr>20180610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אלרון;ח' מלצר</vt:lpwstr>
  </property>
  <property fmtid="{D5CDD505-2E9C-101B-9397-08002B2CF9AE}" pid="14" name="LAWLISTTMP1">
    <vt:lpwstr>4216/013:2;019a:2;006</vt:lpwstr>
  </property>
  <property fmtid="{D5CDD505-2E9C-101B-9397-08002B2CF9AE}" pid="15" name="LAWLISTTMP2">
    <vt:lpwstr>70301/029:2;499.a.1</vt:lpwstr>
  </property>
  <property fmtid="{D5CDD505-2E9C-101B-9397-08002B2CF9AE}" pid="16" name="LAWYER">
    <vt:lpwstr>אפרת גולדשטיין;רונן חליוה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התערבות ערכאת הערעור</vt:lpwstr>
  </property>
  <property fmtid="{D5CDD505-2E9C-101B-9397-08002B2CF9AE}" pid="52" name="NOSE33">
    <vt:lpwstr>מדיניות ענישה: שיקולים לקולה</vt:lpwstr>
  </property>
  <property fmtid="{D5CDD505-2E9C-101B-9397-08002B2CF9AE}" pid="53" name="NOSE34">
    <vt:lpwstr>תסקיר שירות מבחן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8991;8978;8996;13182</vt:lpwstr>
  </property>
  <property fmtid="{D5CDD505-2E9C-101B-9397-08002B2CF9AE}" pid="60" name="PADIDATE">
    <vt:lpwstr>20180611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8283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410120180610</vt:lpwstr>
  </property>
  <property fmtid="{D5CDD505-2E9C-101B-9397-08002B2CF9AE}" pid="70" name="TYPE_N_DATE">
    <vt:lpwstr>41020180610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