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8304/17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למפל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27.09.2017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בתיק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תהג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056323-12-16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יועד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קרוננברג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סוזן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ההדדיות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בינלאומי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פומבי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בינלאומי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פומבי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וצרפתית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למבוקש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באגרופו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במרדף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FrankRuehl"/>
          <w:sz w:val="24"/>
          <w:szCs w:val="26"/>
          <w:rtl w:val="true"/>
        </w:rPr>
        <w:t>.</w:t>
        <w:tab/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שפיטה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בינלאומי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בפשיעה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בתחומיה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ההדדיות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שפיטה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בינלאומי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בפשיעה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מניעת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והפיכת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8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יוסגר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מצטמצמים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יוסגר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בהסגרתו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המושבעים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והתקשורתי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שתדענה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תקשורתי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שיוסגר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וקונקרטית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יסוד</w:t>
        </w:r>
        <w:r>
          <w:rPr>
            <w:rStyle w:val="Hyperlink"/>
            <w:rFonts w:cs="FrankRuehl"/>
            <w:sz w:val="24"/>
            <w:szCs w:val="26"/>
            <w:rtl w:val="true"/>
          </w:rPr>
          <w:t xml:space="preserve">: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כבוד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האדם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וחירותו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הכרזתו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56323-12-16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27.9.2017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לצרפת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  <w:t>2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בעל אזרחות ישראלית וצרפתית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תושב צרפת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נמלט במהלך משפטו בצרפת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עת עמד לדין בשל ביצוע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תקיפה אלימה בחבורה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תוך החזקת כלי נשק קר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שגרמה למוות לא מכוון</w:t>
      </w:r>
      <w:r>
        <w:rPr>
          <w:rFonts w:cs="Arial TUR;Arial" w:ascii="Arial TUR;Arial" w:hAnsi="Arial TUR;Arial"/>
          <w:sz w:val="22"/>
          <w:rtl w:val="true"/>
        </w:rPr>
        <w:t xml:space="preserve">",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וכן בתקיפת אדם נוסף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עבירות על פי הגדרתן בחוק הפלילי בצרפת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  <w:t>3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אשר נכח בתחילת הדיונים שהתקיימו בעניינו בבית המשפט בצרפת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ונמלט כאמור לישראל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הורשע בהיעדרו ונדון לתשע שנות מאסר וכן לקנס בסך </w:t>
      </w:r>
      <w:r>
        <w:rPr>
          <w:rFonts w:cs="Arial TUR;Arial" w:ascii="Arial TUR;Arial" w:hAnsi="Arial TUR;Arial"/>
          <w:sz w:val="22"/>
        </w:rPr>
        <w:t>500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יורו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יצוין כי עונשי מאסר נגזרו גם על שותפיו של המערער לביצוע העביר</w:t>
      </w:r>
      <w:r>
        <w:rPr>
          <w:rFonts w:ascii="Arial TUR;Arial" w:hAnsi="Arial TUR;Arial" w:cs="Arial TUR;Arial"/>
          <w:sz w:val="22"/>
          <w:sz w:val="22"/>
          <w:rtl w:val="true"/>
        </w:rPr>
        <w:t>ות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  <w:t>4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רשויות אכיפת החוק בצרפת הגישו בקשה להסגרת 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לצורך העמדתו לדין במשפט חוזר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שכן לפי הדין הצרפתי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ההליכים נגדו צפויים להתבטל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</w:t>
      </w:r>
      <w:r>
        <w:rPr>
          <w:rFonts w:ascii="Arial TUR;Arial" w:hAnsi="Arial TUR;Arial" w:cs="Arial TUR;Arial"/>
          <w:sz w:val="22"/>
          <w:sz w:val="22"/>
          <w:rtl w:val="true"/>
        </w:rPr>
        <w:t>כ</w:t>
      </w:r>
      <w:r>
        <w:rPr>
          <w:rFonts w:ascii="Arial TUR;Arial" w:hAnsi="Arial TUR;Arial" w:cs="Arial TUR;Arial"/>
          <w:sz w:val="22"/>
          <w:sz w:val="22"/>
          <w:rtl w:val="true"/>
        </w:rPr>
        <w:t>פוף לבקשת 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לנוכח </w:t>
      </w:r>
      <w:r>
        <w:rPr>
          <w:rFonts w:ascii="Arial TUR;Arial" w:hAnsi="Arial TUR;Arial" w:cs="Arial TUR;Arial"/>
          <w:sz w:val="22"/>
          <w:sz w:val="22"/>
          <w:rtl w:val="true"/>
        </w:rPr>
        <w:t>הרשעתו בהיעדרו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לחלופין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אם יוסגר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יוכל המערער לבחור להתחיל בריצוי עונשו כפי שנגזר עליו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בנסיבות האמורות לעיל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משהוגשה בקשת ההסגרה בידי רשויות אכיפת החוק בצרפת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הוגשה לבית המשפט המחוזי בירושלים בקשה להכריז על המערער כ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בר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הסגרה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>לצרפת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בהתאם </w:t>
      </w:r>
      <w:hyperlink r:id="rId30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לסעיף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3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לחוק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</w:rPr>
        <w:t>6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לפי העובדות המתוארות בבקשה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ביום </w:t>
      </w:r>
      <w:r>
        <w:rPr>
          <w:rFonts w:cs="Arial TUR;Arial" w:ascii="Arial TUR;Arial" w:hAnsi="Arial TUR;Arial"/>
          <w:sz w:val="22"/>
        </w:rPr>
        <w:t>30.3.2010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הגיעו המערער וחברתו לחניון חנות הכלבו </w:t>
      </w:r>
      <w:r>
        <w:rPr>
          <w:sz w:val="22"/>
          <w:rtl w:val="true"/>
        </w:rPr>
        <w:t>"</w:t>
      </w:r>
      <w:r>
        <w:rPr>
          <w:sz w:val="22"/>
        </w:rPr>
        <w:t>Batkor</w:t>
      </w:r>
      <w:r>
        <w:rPr>
          <w:sz w:val="22"/>
          <w:rtl w:val="true"/>
        </w:rPr>
        <w:t>"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בעיר </w:t>
      </w:r>
      <w:r>
        <w:rPr>
          <w:sz w:val="22"/>
        </w:rPr>
        <w:t>Bobigny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הסמוכה לפריז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מתוך כוונה לרכוש פחית צבע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שומר החנות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סעיד בוראראש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sz w:val="22"/>
        </w:rPr>
        <w:t>Said Bourrarach</w:t>
      </w:r>
      <w:r>
        <w:rPr>
          <w:rFonts w:cs="Arial TUR;Arial" w:ascii="Arial TUR;Arial" w:hAnsi="Arial TUR;Arial"/>
          <w:sz w:val="22"/>
          <w:rtl w:val="true"/>
        </w:rPr>
        <w:t>) 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>המנוח</w:t>
      </w:r>
      <w:r>
        <w:rPr>
          <w:rFonts w:cs="Arial TUR;Arial" w:ascii="Arial TUR;Arial" w:hAnsi="Arial TUR;Arial"/>
          <w:sz w:val="22"/>
          <w:rtl w:val="true"/>
        </w:rPr>
        <w:t xml:space="preserve">), </w:t>
      </w:r>
      <w:r>
        <w:rPr>
          <w:rFonts w:ascii="Arial TUR;Arial" w:hAnsi="Arial TUR;Arial" w:cs="Arial TUR;Arial"/>
          <w:sz w:val="22"/>
          <w:sz w:val="22"/>
          <w:rtl w:val="true"/>
        </w:rPr>
        <w:t>סירב להכניס את השניים פנימה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בנימוק שהגיעה שעת סגירת החנות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בין המערער למנוח התפתחה קטטה אלימה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במהלכה ריסס המנוח את המערער בגז מדמיע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בתגובה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הזעיק את אחיו ואת חבריו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והחבורה כולה ניגשה אל המנוח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כשהמערער מחזיק בידו כננת לרכב </w:t>
      </w:r>
      <w:r>
        <w:rPr>
          <w:rFonts w:cs="Arial TUR;Arial" w:ascii="Arial TUR;Arial" w:hAnsi="Arial TUR;Arial"/>
          <w:sz w:val="22"/>
          <w:rtl w:val="true"/>
        </w:rPr>
        <w:t>("</w:t>
      </w:r>
      <w:r>
        <w:rPr>
          <w:rFonts w:ascii="Arial TUR;Arial" w:hAnsi="Arial TUR;Arial" w:cs="Arial TUR;Arial"/>
          <w:sz w:val="22"/>
          <w:sz w:val="22"/>
          <w:rtl w:val="true"/>
        </w:rPr>
        <w:t>ג</w:t>
      </w:r>
      <w:r>
        <w:rPr>
          <w:rFonts w:cs="Arial TUR;Arial" w:ascii="Arial TUR;Arial" w:hAnsi="Arial TUR;Arial"/>
          <w:sz w:val="22"/>
          <w:rtl w:val="true"/>
        </w:rPr>
        <w:t>'</w:t>
      </w:r>
      <w:r>
        <w:rPr>
          <w:rFonts w:ascii="Arial TUR;Arial" w:hAnsi="Arial TUR;Arial" w:cs="Arial TUR;Arial"/>
          <w:sz w:val="22"/>
          <w:sz w:val="22"/>
          <w:rtl w:val="true"/>
        </w:rPr>
        <w:t>ק</w:t>
      </w:r>
      <w:r>
        <w:rPr>
          <w:rFonts w:cs="Arial TUR;Arial" w:ascii="Arial TUR;Arial" w:hAnsi="Arial TUR;Arial"/>
          <w:sz w:val="22"/>
          <w:rtl w:val="true"/>
        </w:rPr>
        <w:t xml:space="preserve">"). </w:t>
      </w:r>
      <w:r>
        <w:rPr>
          <w:rFonts w:ascii="Arial TUR;Arial" w:hAnsi="Arial TUR;Arial" w:cs="Arial TUR;Arial"/>
          <w:sz w:val="22"/>
          <w:sz w:val="22"/>
          <w:rtl w:val="true"/>
        </w:rPr>
        <w:t>המערער חבט במנוח באגרופו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ובתגובה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ריסס המנוח את החבורה בגז מדמיע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המנוח נכנס אל החנות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אך שב ויצא כדי להשיב את כלבו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שנותר בחוץ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בשלב זה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פתח המנוח במנוסה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והמערער ושותפיו רדפו אחריו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כשהמערער המשיך לשאת בידו את הכננת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כחלק מניסיונותיו להימלט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ניסה המנוח לטפס על גדר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ולאחר שכשל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קפץ אל תעלת המים הגובלת במתחם החנות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והחל לשחות לגדה השנייה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המערער ושותפיו הגיעו אל שפת התעלה ויידו אבנים לעבר המנוח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שניסה לצלוח את התעלה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בעודו נמלט בשחייה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טבע המנוח למוות וגופתו נמצאה למחרת היום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start="72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 משפט קמא קיבל את הבקשה</w:t>
      </w:r>
      <w:r>
        <w:rPr>
          <w:rtl w:val="true"/>
        </w:rPr>
        <w:t xml:space="preserve">, </w:t>
      </w:r>
      <w:r>
        <w:rPr>
          <w:rtl w:val="true"/>
        </w:rPr>
        <w:t>והכריז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 xml:space="preserve">תוך שקבע כי כל תנאי ההסגרה המנויים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 התקיימו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כי המערער </w:t>
      </w:r>
      <w:r>
        <w:rPr>
          <w:rtl w:val="true"/>
        </w:rPr>
        <w:t>"</w:t>
      </w:r>
      <w:r>
        <w:rPr>
          <w:rtl w:val="true"/>
        </w:rPr>
        <w:t>נתחייב בדין</w:t>
      </w:r>
      <w:r>
        <w:rPr>
          <w:rtl w:val="true"/>
        </w:rPr>
        <w:t xml:space="preserve">" </w:t>
      </w:r>
      <w:r>
        <w:rPr>
          <w:rtl w:val="true"/>
        </w:rPr>
        <w:t>בצרפת בעבירת הסגרה</w:t>
      </w:r>
      <w:r>
        <w:rPr>
          <w:rtl w:val="true"/>
        </w:rPr>
        <w:t xml:space="preserve">, </w:t>
      </w:r>
      <w:r>
        <w:rPr>
          <w:rtl w:val="true"/>
        </w:rPr>
        <w:t>ולחילופין כי קיימות ראיות שהיו מספיקות להעמדתו לדין על עבירה דומה בישראל</w:t>
      </w:r>
      <w:r>
        <w:rPr>
          <w:rtl w:val="true"/>
        </w:rPr>
        <w:t xml:space="preserve">; </w:t>
      </w:r>
      <w:r>
        <w:rPr>
          <w:rtl w:val="true"/>
        </w:rPr>
        <w:t xml:space="preserve">כי קיים הסכם להסגרת עבריינים בין צרפת לישראל מכוח חתימתן על האמנה האירופית בענייני הסגרה </w:t>
      </w:r>
      <w:r>
        <w:rPr>
          <w:rtl w:val="true"/>
        </w:rPr>
        <w:t>(</w:t>
      </w:r>
      <w:r>
        <w:rPr>
          <w:rtl w:val="true"/>
        </w:rPr>
        <w:t xml:space="preserve">כתבי אמנה </w:t>
      </w:r>
      <w:r>
        <w:rPr/>
        <w:t>647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, </w:t>
      </w:r>
      <w:r>
        <w:rPr/>
        <w:t>87</w:t>
      </w:r>
      <w:r>
        <w:rPr>
          <w:rtl w:val="true"/>
        </w:rPr>
        <w:t xml:space="preserve">); </w:t>
      </w:r>
      <w:r>
        <w:rPr>
          <w:rtl w:val="true"/>
        </w:rPr>
        <w:t>כי מתקיימת דרישת הפליליות הכפולה</w:t>
      </w:r>
      <w:r>
        <w:rPr>
          <w:rtl w:val="true"/>
        </w:rPr>
        <w:t xml:space="preserve">, </w:t>
      </w:r>
      <w:r>
        <w:rPr>
          <w:rtl w:val="true"/>
        </w:rPr>
        <w:t>שכן המעשה בבסיס העבירה המיוחסת לו</w:t>
      </w:r>
      <w:r>
        <w:rPr>
          <w:rtl w:val="true"/>
        </w:rPr>
        <w:t xml:space="preserve">, </w:t>
      </w:r>
      <w:r>
        <w:rPr>
          <w:rtl w:val="true"/>
        </w:rPr>
        <w:t>מהווה עבירה גם לפי חוקי מדינת ישראל</w:t>
      </w:r>
      <w:r>
        <w:rPr>
          <w:rtl w:val="true"/>
        </w:rPr>
        <w:t xml:space="preserve">; </w:t>
      </w:r>
      <w:r>
        <w:rPr>
          <w:rtl w:val="true"/>
        </w:rPr>
        <w:t>וכן כי בין ישראל לצרפת מתקיימת הסכמה על הדדיות ביחסי ההסגרה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 קבע בית משפט קמא כי לא חלים בעניינו של המערער סייגים להסגרתו</w:t>
      </w:r>
      <w:r>
        <w:rPr>
          <w:rtl w:val="true"/>
        </w:rPr>
        <w:t xml:space="preserve">, </w:t>
      </w:r>
      <w:r>
        <w:rPr>
          <w:rtl w:val="true"/>
        </w:rPr>
        <w:t xml:space="preserve">בכלל זה הסייג לפיו בקשת ההסגרה הוגשה מתוך הפליה או בשל עבירה בעלת אופי מדיני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הסייג לפיו היענות לבקשת ההסגרה עלולה לפגוע ב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והסייג בדבר אי הסגרת אזרח ישראלי ותושב ישראל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 החלטה זו הגיש המערער את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 טוען כי שגה בית משפט קמא בקבעו כי הוא 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התשתית הראייתית בבסיס האישום שהוגש נגדו בצרפת אינה מספיקה להעמדתו לדין בישראל בעבירת ההריגה </w:t>
      </w:r>
      <w:r>
        <w:rPr>
          <w:rtl w:val="true"/>
        </w:rPr>
        <w:t>–</w:t>
      </w:r>
      <w:r>
        <w:rPr>
          <w:rtl w:val="true"/>
        </w:rPr>
        <w:t xml:space="preserve"> היא העבירה המקבילה לזו שהועמד לדין והורשע בגינה לפי החוק הצרפתי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עמד המשיב ברף הראייתי הנדרש לפי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מוסיף וטוען כי אין די ראיות להוכחת הקשר הסיבתי בין מעשיו לבין מות המנוח</w:t>
      </w:r>
      <w:r>
        <w:rPr>
          <w:rtl w:val="true"/>
        </w:rPr>
        <w:t xml:space="preserve">, </w:t>
      </w:r>
      <w:r>
        <w:rPr>
          <w:rtl w:val="true"/>
        </w:rPr>
        <w:t>ולהוכחת היסוד הנפשי הנדרש בביצוע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 נטען כי יישום תנאי ההדדיות בנסיבות הענין</w:t>
      </w:r>
      <w:r>
        <w:rPr>
          <w:rtl w:val="true"/>
        </w:rPr>
        <w:t xml:space="preserve">, </w:t>
      </w:r>
      <w:r>
        <w:rPr>
          <w:rtl w:val="true"/>
        </w:rPr>
        <w:t xml:space="preserve">בהתאם לעקרון </w:t>
      </w:r>
      <w:r>
        <w:rPr>
          <w:rtl w:val="true"/>
        </w:rPr>
        <w:t>"</w:t>
      </w:r>
      <w:r>
        <w:rPr>
          <w:rtl w:val="true"/>
        </w:rPr>
        <w:t>הסגרה או שפיטה</w:t>
      </w:r>
      <w:r>
        <w:rPr>
          <w:rtl w:val="true"/>
        </w:rPr>
        <w:t xml:space="preserve">", </w:t>
      </w:r>
      <w:r>
        <w:rPr>
          <w:rtl w:val="true"/>
        </w:rPr>
        <w:t>מוביל למסקנה כי יש לאפשר העמדתו של המערער לדין בישראל תחת הסגרתו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מאחר שרשויות החוק בצרפת נוהגות כך כאשר מדינת ישראל מגישה בקשת הסגרה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הסגרתו מנוגדת לסייג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 </w:t>
      </w:r>
      <w:r>
        <w:rPr>
          <w:rtl w:val="true"/>
        </w:rPr>
        <w:t xml:space="preserve">הקבוע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שכן לשיטתו</w:t>
      </w:r>
      <w:r>
        <w:rPr>
          <w:rtl w:val="true"/>
        </w:rPr>
        <w:t xml:space="preserve">, </w:t>
      </w:r>
      <w:r>
        <w:rPr>
          <w:rtl w:val="true"/>
        </w:rPr>
        <w:t>אם יוסגר תפגע זכותו להליך הוגן וחייו יהיו נתונים בסכנה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מסתמך על פרסומים באמצעי התקשורת בצרפת</w:t>
      </w:r>
      <w:r>
        <w:rPr>
          <w:rtl w:val="true"/>
        </w:rPr>
        <w:t xml:space="preserve">, </w:t>
      </w:r>
      <w:r>
        <w:rPr>
          <w:rtl w:val="true"/>
        </w:rPr>
        <w:t xml:space="preserve">ולפיהם המעשה המיוחס לו מהווה </w:t>
      </w:r>
      <w:r>
        <w:rPr>
          <w:rtl w:val="true"/>
        </w:rPr>
        <w:t>"</w:t>
      </w:r>
      <w:r>
        <w:rPr>
          <w:rtl w:val="true"/>
        </w:rPr>
        <w:t>טרור יהודי ישראלי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בשל היות המנוח מוסלמי</w:t>
      </w:r>
      <w:r>
        <w:rPr>
          <w:rtl w:val="true"/>
        </w:rPr>
        <w:t xml:space="preserve">. </w:t>
      </w:r>
      <w:r>
        <w:rPr>
          <w:rtl w:val="true"/>
        </w:rPr>
        <w:t>המערער סבור כי השיח התקשורתי והציבורי העוין המלווה את הפרשה ישפיע על חבר המושבעים שידון בעניינו אם יבחר באפשרות של ניהול ההליך מחדש</w:t>
      </w:r>
      <w:r>
        <w:rPr>
          <w:rtl w:val="true"/>
        </w:rPr>
        <w:t xml:space="preserve">, </w:t>
      </w:r>
      <w:r>
        <w:rPr>
          <w:rtl w:val="true"/>
        </w:rPr>
        <w:t>שכן חבריו נמנים על תושבי הרובע בו התרחשו האירועים מושא כתב האישום</w:t>
      </w:r>
      <w:r>
        <w:rPr>
          <w:rtl w:val="true"/>
        </w:rPr>
        <w:t xml:space="preserve">, </w:t>
      </w:r>
      <w:r>
        <w:rPr>
          <w:rtl w:val="true"/>
        </w:rPr>
        <w:t>שם גם התגוררו המנוח והמערער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מוטה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מבחירת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מוסלמים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ההקצנה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המתקיימים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לבסוף טוען המערער כי הסגרתו תפגע בזכותו החוקתית ל</w:t>
      </w:r>
      <w:r>
        <w:rPr>
          <w:rtl w:val="true"/>
        </w:rPr>
        <w:t>"</w:t>
      </w:r>
      <w:r>
        <w:rPr>
          <w:rtl w:val="true"/>
        </w:rPr>
        <w:t>חירות מפני הסגרה</w:t>
      </w:r>
      <w:r>
        <w:rPr>
          <w:rtl w:val="true"/>
        </w:rPr>
        <w:t xml:space="preserve">", </w:t>
      </w:r>
      <w:r>
        <w:rPr>
          <w:rtl w:val="true"/>
        </w:rPr>
        <w:t xml:space="preserve">המעוגנת </w:t>
      </w:r>
      <w:hyperlink r:id="rId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באופן שאינו עומד בתנאי פסקת ההגבלה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חלף הסגרתו</w:t>
      </w:r>
      <w:r>
        <w:rPr>
          <w:rtl w:val="true"/>
        </w:rPr>
        <w:t xml:space="preserve">, </w:t>
      </w:r>
      <w:r>
        <w:rPr>
          <w:rtl w:val="true"/>
        </w:rPr>
        <w:t>מבקש המערער להישפט בישראל על בסיס מכלול חומר הראיות שנאסף בעניינו בצרפת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שהסגרתו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, </w:t>
      </w:r>
      <w:r>
        <w:rPr>
          <w:rtl w:val="true"/>
        </w:rPr>
        <w:t>התואמת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;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לנשיאת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אזרחותו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האסיר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לנשיאת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אזרחותו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האסיר</w:t>
      </w:r>
      <w:r>
        <w:rPr>
          <w:rtl w:val="true"/>
        </w:rPr>
        <w:t xml:space="preserve">); </w:t>
      </w:r>
      <w:r>
        <w:rPr>
          <w:rtl w:val="true"/>
        </w:rPr>
        <w:t>ושתסופקנה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לקיימו</w:t>
      </w:r>
      <w:r>
        <w:rPr>
          <w:rtl w:val="true"/>
        </w:rPr>
        <w:t xml:space="preserve">, </w:t>
      </w:r>
      <w:r>
        <w:rPr>
          <w:rtl w:val="true"/>
        </w:rPr>
        <w:t>ובתקופת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יצוין כי המערער הגיש בקשה להגשת פרסומים מהעיתונות כראיות נוספות בשלב הערעור המצביעות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על הסכנה הנשקפת לו בצרפת</w:t>
      </w:r>
      <w:r>
        <w:rPr>
          <w:rtl w:val="true"/>
        </w:rPr>
        <w:t xml:space="preserve">. </w:t>
      </w:r>
      <w:r>
        <w:rPr>
          <w:rtl w:val="true"/>
        </w:rPr>
        <w:t>בקשה זו נדחתה בדיון שנערך 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>
          <w:rtl w:val="true"/>
        </w:rPr>
        <w:t>–</w:t>
      </w:r>
      <w:r>
        <w:rPr>
          <w:rtl w:val="true"/>
        </w:rPr>
        <w:t xml:space="preserve"> היועץ המשפטי לממשלה </w:t>
      </w:r>
      <w:r>
        <w:rPr>
          <w:rtl w:val="true"/>
        </w:rPr>
        <w:t>–</w:t>
      </w:r>
      <w:r>
        <w:rPr>
          <w:rtl w:val="true"/>
        </w:rPr>
        <w:t xml:space="preserve"> טוען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לתשתית הראייתית</w:t>
      </w:r>
      <w:r>
        <w:rPr>
          <w:rtl w:val="true"/>
        </w:rPr>
        <w:t xml:space="preserve">, </w:t>
      </w:r>
      <w:r>
        <w:rPr>
          <w:rtl w:val="true"/>
        </w:rPr>
        <w:t>נטען כי הוכח קיומן של ראיות שהיו מספיקות להעמדת המערער לדין בישראל בעבירת ההריגה</w:t>
      </w:r>
      <w:r>
        <w:rPr>
          <w:rtl w:val="true"/>
        </w:rPr>
        <w:t xml:space="preserve">, </w:t>
      </w:r>
      <w:r>
        <w:rPr>
          <w:rtl w:val="true"/>
        </w:rPr>
        <w:t>וכי מתקיים קשר סיבתי בין מעשי המערער למות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אשר לדרישת ההדדיות</w:t>
      </w:r>
      <w:r>
        <w:rPr>
          <w:rtl w:val="true"/>
        </w:rPr>
        <w:t xml:space="preserve">, </w:t>
      </w:r>
      <w:r>
        <w:rPr>
          <w:rtl w:val="true"/>
        </w:rPr>
        <w:t>טוען המשיב כי מנהגן של רשויות אכיפת החוק בצרפת שלא להסגיר את אזרחי המדינה</w:t>
      </w:r>
      <w:r>
        <w:rPr>
          <w:rtl w:val="true"/>
        </w:rPr>
        <w:t xml:space="preserve">, </w:t>
      </w:r>
      <w:r>
        <w:rPr>
          <w:rtl w:val="true"/>
        </w:rPr>
        <w:t>ותחת זאת להעמידם לדין בתחומיה</w:t>
      </w:r>
      <w:r>
        <w:rPr>
          <w:rtl w:val="true"/>
        </w:rPr>
        <w:t xml:space="preserve">, </w:t>
      </w:r>
      <w:r>
        <w:rPr>
          <w:rtl w:val="true"/>
        </w:rPr>
        <w:t xml:space="preserve">מקיים את העיקרון </w:t>
      </w:r>
      <w:r>
        <w:rPr>
          <w:rtl w:val="true"/>
        </w:rPr>
        <w:t>"</w:t>
      </w:r>
      <w:r>
        <w:rPr>
          <w:rtl w:val="true"/>
        </w:rPr>
        <w:t>הסגרה או שפיטה</w:t>
      </w:r>
      <w:r>
        <w:rPr>
          <w:rtl w:val="true"/>
        </w:rPr>
        <w:t xml:space="preserve">" </w:t>
      </w:r>
      <w:r>
        <w:rPr>
          <w:rtl w:val="true"/>
        </w:rPr>
        <w:t>ואינו פוגע בדרישת ההדדיות</w:t>
      </w:r>
      <w:r>
        <w:rPr>
          <w:rtl w:val="true"/>
        </w:rPr>
        <w:t xml:space="preserve">, </w:t>
      </w:r>
      <w:r>
        <w:rPr>
          <w:rtl w:val="true"/>
        </w:rPr>
        <w:t>שכן לא נדרשת סימטריה מלאה במדיניות ההסגרה בין המדינות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 xml:space="preserve">לענין סייג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", </w:t>
      </w:r>
      <w:r>
        <w:rPr>
          <w:rtl w:val="true"/>
        </w:rPr>
        <w:t>טוען המשיב כי לא מתקיימות נסיבות חריגות ויוצאות דופן המצדיקות את החלתו במקרה דנן</w:t>
      </w:r>
      <w:r>
        <w:rPr>
          <w:rtl w:val="true"/>
        </w:rPr>
        <w:t xml:space="preserve">, </w:t>
      </w:r>
      <w:r>
        <w:rPr>
          <w:rtl w:val="true"/>
        </w:rPr>
        <w:t>שכן לא עלה בידי המערער להצביע על פגמים מהותיים בהליכים שננקטו נגדו או על פגיעה הצפויה לו מניהול הליכים עתידיים בצרפת</w:t>
      </w:r>
      <w:r>
        <w:rPr>
          <w:rtl w:val="true"/>
        </w:rPr>
        <w:t xml:space="preserve">. </w:t>
      </w:r>
      <w:r>
        <w:rPr>
          <w:rtl w:val="true"/>
        </w:rPr>
        <w:t>עוד נטען בהקשר זה כי המערער לא עמד בנטל להוכיח חשש ממשי</w:t>
      </w:r>
      <w:r>
        <w:rPr>
          <w:rtl w:val="true"/>
        </w:rPr>
        <w:t xml:space="preserve">, </w:t>
      </w:r>
      <w:r>
        <w:rPr>
          <w:rtl w:val="true"/>
        </w:rPr>
        <w:t>מוחשי וישיר לסיכון לחייו</w:t>
      </w:r>
      <w:r>
        <w:rPr>
          <w:rtl w:val="true"/>
        </w:rPr>
        <w:t xml:space="preserve">, </w:t>
      </w:r>
      <w:r>
        <w:rPr>
          <w:rtl w:val="true"/>
        </w:rPr>
        <w:t>המצדיק את החלת הסייג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לאחר עיון בערעור ובנספחיו</w:t>
      </w:r>
      <w:r>
        <w:rPr>
          <w:rtl w:val="true"/>
        </w:rPr>
        <w:t xml:space="preserve">, </w:t>
      </w:r>
      <w:r>
        <w:rPr>
          <w:rtl w:val="true"/>
        </w:rPr>
        <w:t>ושמיעת טיעוני הצדדים</w:t>
      </w:r>
      <w:r>
        <w:rPr>
          <w:rtl w:val="true"/>
        </w:rPr>
        <w:t xml:space="preserve">, </w:t>
      </w:r>
      <w:r>
        <w:rPr>
          <w:rtl w:val="true"/>
        </w:rPr>
        <w:t>אני סבור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21</w:t>
      </w:r>
      <w:r>
        <w:rPr>
          <w:rtl w:val="true"/>
        </w:rPr>
        <w:t>.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מעגן את סמכות בית המשפט להכריז על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אם הוכח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להסגרתו</w:t>
      </w:r>
      <w:r>
        <w:rPr>
          <w:rtl w:val="true"/>
        </w:rPr>
        <w:t>".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מבוקש</w:t>
      </w:r>
      <w:r>
        <w:rPr>
          <w:rtl w:val="true"/>
        </w:rPr>
        <w:t xml:space="preserve">" </w:t>
      </w:r>
      <w:r>
        <w:rPr>
          <w:rtl w:val="true"/>
        </w:rPr>
        <w:t>הוגדר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שאילו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הרף הראייתי הנדרש לצורך הכרזה על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ככל שטרם נתחייב בדין במדינה המבקשת</w:t>
      </w:r>
      <w:r>
        <w:rPr>
          <w:rtl w:val="true"/>
        </w:rPr>
        <w:t xml:space="preserve">, </w:t>
      </w:r>
      <w:r>
        <w:rPr>
          <w:rtl w:val="true"/>
        </w:rPr>
        <w:t xml:space="preserve">עומד על </w:t>
      </w:r>
      <w:r>
        <w:rPr>
          <w:rtl w:val="true"/>
        </w:rPr>
        <w:t>"</w:t>
      </w:r>
      <w:r>
        <w:rPr>
          <w:rtl w:val="true"/>
        </w:rPr>
        <w:t>ראיות שהיו מספיקות כדי להעמידו לדין על עבירה כזאת בישראל</w:t>
      </w:r>
      <w:r>
        <w:rPr>
          <w:rtl w:val="true"/>
        </w:rPr>
        <w:t xml:space="preserve">". </w:t>
      </w:r>
      <w:r>
        <w:rPr>
          <w:rtl w:val="true"/>
        </w:rPr>
        <w:t xml:space="preserve">בענין זה נקבע בפסיקה כי די בקיומה של </w:t>
      </w:r>
      <w:r>
        <w:rPr>
          <w:rtl w:val="true"/>
        </w:rPr>
        <w:t>"</w:t>
      </w:r>
      <w:r>
        <w:rPr>
          <w:rtl w:val="true"/>
        </w:rPr>
        <w:t>אחיזה לאישום</w:t>
      </w:r>
      <w:r>
        <w:rPr>
          <w:rtl w:val="true"/>
        </w:rPr>
        <w:t xml:space="preserve">", </w:t>
      </w:r>
      <w:r>
        <w:rPr>
          <w:rtl w:val="true"/>
        </w:rPr>
        <w:t>היינו ראיות לכאורה להוכחת האישומים המיוחסים למבוקש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בית המשפט הדן בבקשת הסגרה</w:t>
      </w:r>
      <w:r>
        <w:rPr>
          <w:rtl w:val="true"/>
        </w:rPr>
        <w:t xml:space="preserve">, </w:t>
      </w:r>
      <w:r>
        <w:rPr>
          <w:rtl w:val="true"/>
        </w:rPr>
        <w:t>אינו נדרש להכריע האם יש בחומר הראיות כדי להוביל להרשעת המבוקש</w:t>
      </w:r>
      <w:r>
        <w:rPr>
          <w:rtl w:val="true"/>
        </w:rPr>
        <w:t xml:space="preserve">, </w:t>
      </w:r>
      <w:r>
        <w:rPr>
          <w:rtl w:val="true"/>
        </w:rPr>
        <w:t>ולקבוע כי המסקנה המרשיעה העולה ממנו היא המסקנה האפשרית היחידה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 xml:space="preserve">עליו לבחון האם התשתית הראייתית בעניינו מצדיקה את המשך בירור אשמתו של המבוקש במסגרת הליך פלילי במדינה המבקשת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308/75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פסחוביץ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461-460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6.12.2010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בית משפט קמא דחה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טענת המערער</w:t>
      </w:r>
      <w:r>
        <w:rPr>
          <w:rtl w:val="true"/>
        </w:rPr>
        <w:t xml:space="preserve">, </w:t>
      </w:r>
      <w:r>
        <w:rPr>
          <w:rtl w:val="true"/>
        </w:rPr>
        <w:t>לפיה בקשת ההסגרה אינה עומדת ברף הראייתי הנדרש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משפט קמא הבהיר כי המערער נתחייב בדין בצרפת</w:t>
      </w:r>
      <w:r>
        <w:rPr>
          <w:rtl w:val="true"/>
        </w:rPr>
        <w:t xml:space="preserve">, </w:t>
      </w:r>
      <w:r>
        <w:rPr>
          <w:rtl w:val="true"/>
        </w:rPr>
        <w:t xml:space="preserve">ועל כן די היה בכך כדי לענות על דרישת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לנוכח הצהרת רשויות אכיפת החוק בצרפת כי בכוונתן להעמיד את המערער למשפט חוזר</w:t>
      </w:r>
      <w:r>
        <w:rPr>
          <w:rtl w:val="true"/>
        </w:rPr>
        <w:t xml:space="preserve">, </w:t>
      </w:r>
      <w:r>
        <w:rPr>
          <w:rtl w:val="true"/>
        </w:rPr>
        <w:t>ולא להותיר את הרשעתו בהיעדרו על כנה</w:t>
      </w:r>
      <w:r>
        <w:rPr>
          <w:rtl w:val="true"/>
        </w:rPr>
        <w:t xml:space="preserve">, </w:t>
      </w:r>
      <w:r>
        <w:rPr>
          <w:rtl w:val="true"/>
        </w:rPr>
        <w:t xml:space="preserve">בחן בית המשפט גם את השאלה האם מתקיים התנאי החלופי </w:t>
      </w:r>
      <w:hyperlink r:id="rId4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לפיו </w:t>
      </w:r>
      <w:r>
        <w:rPr>
          <w:rtl w:val="true"/>
        </w:rPr>
        <w:t>יש ראיות שהיו מספיקות כדי להעמידו לדין</w:t>
      </w:r>
      <w:r>
        <w:rPr>
          <w:rtl w:val="true"/>
        </w:rPr>
        <w:t xml:space="preserve"> גם בישראל</w:t>
      </w:r>
      <w:r>
        <w:rPr>
          <w:rtl w:val="true"/>
        </w:rPr>
        <w:t xml:space="preserve"> על </w:t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tl w:val="true"/>
        </w:rPr>
        <w:t>ה בגינה מבוקשת ההסגרה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החומר הראייתי שצורף לבקשת ההסגרה הוא </w:t>
      </w:r>
      <w:r>
        <w:rPr>
          <w:rtl w:val="true"/>
        </w:rPr>
        <w:t>"</w:t>
      </w:r>
      <w:r>
        <w:rPr>
          <w:rtl w:val="true"/>
        </w:rPr>
        <w:t>עשיר ומגוון</w:t>
      </w:r>
      <w:r>
        <w:rPr>
          <w:rtl w:val="true"/>
        </w:rPr>
        <w:t xml:space="preserve">, </w:t>
      </w:r>
      <w:r>
        <w:rPr>
          <w:rtl w:val="true"/>
        </w:rPr>
        <w:t>ויש בו כדי לעמוד בדרישה ל</w:t>
      </w:r>
      <w:r>
        <w:rPr>
          <w:rtl w:val="true"/>
        </w:rPr>
        <w:t>'</w:t>
      </w:r>
      <w:r>
        <w:rPr>
          <w:rtl w:val="true"/>
        </w:rPr>
        <w:t>אחיזה לאישום</w:t>
      </w:r>
      <w:r>
        <w:rPr>
          <w:rtl w:val="true"/>
        </w:rPr>
        <w:t xml:space="preserve">'", </w:t>
      </w:r>
      <w:r>
        <w:rPr>
          <w:rtl w:val="true"/>
        </w:rPr>
        <w:t xml:space="preserve">וכן כי הוא </w:t>
      </w:r>
      <w:r>
        <w:rPr>
          <w:rtl w:val="true"/>
        </w:rPr>
        <w:t>"</w:t>
      </w:r>
      <w:r>
        <w:rPr>
          <w:rtl w:val="true"/>
        </w:rPr>
        <w:t xml:space="preserve">קושר את המשיב </w:t>
      </w:r>
      <w:r>
        <w:rPr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במידה הנדרשת לביצוע המעשים המיוחסים לו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קבע בית המשפט כי די בתשתית הראייתית שהונחה לפניו כדי לבסס העמדת המערער לדין בעבירת ההריגה לפי החוק הישראלי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קמא הוסיף וקבע</w:t>
      </w:r>
      <w:r>
        <w:rPr>
          <w:rtl w:val="true"/>
        </w:rPr>
        <w:t xml:space="preserve">, </w:t>
      </w:r>
      <w:r>
        <w:rPr>
          <w:rtl w:val="true"/>
        </w:rPr>
        <w:t>כי אף שלא ניתן להכריע בשלב דיוני זה</w:t>
      </w:r>
      <w:r>
        <w:rPr>
          <w:rtl w:val="true"/>
        </w:rPr>
        <w:t xml:space="preserve">, </w:t>
      </w:r>
      <w:r>
        <w:rPr>
          <w:rtl w:val="true"/>
        </w:rPr>
        <w:t>האם די בראיות שהוצגו כדי להרשיע את המערער</w:t>
      </w:r>
      <w:r>
        <w:rPr>
          <w:rtl w:val="true"/>
        </w:rPr>
        <w:t xml:space="preserve">, </w:t>
      </w:r>
      <w:r>
        <w:rPr>
          <w:rtl w:val="true"/>
        </w:rPr>
        <w:t>הרי ש</w:t>
      </w:r>
      <w:r>
        <w:rPr>
          <w:rtl w:val="true"/>
        </w:rPr>
        <w:t>"</w:t>
      </w:r>
      <w:r>
        <w:rPr>
          <w:rtl w:val="true"/>
        </w:rPr>
        <w:t xml:space="preserve">ראיות אלו מעלות חשד ממשי כי מעשיו של המשיב </w:t>
      </w:r>
      <w:r>
        <w:rPr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וחבריו הם שהביאו למותו של הקרבן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 בית המשפט כי מעדויות של מספר אנשים שנכחו בחנות או בסמוך לה</w:t>
      </w:r>
      <w:r>
        <w:rPr>
          <w:rtl w:val="true"/>
        </w:rPr>
        <w:t xml:space="preserve">, </w:t>
      </w:r>
      <w:r>
        <w:rPr>
          <w:rtl w:val="true"/>
        </w:rPr>
        <w:t>וכן מעדויותיהם של עובדי חברת הרכבת הצרפתית שצפו במתרחש מעבר לתעלה</w:t>
      </w:r>
      <w:r>
        <w:rPr>
          <w:rtl w:val="true"/>
        </w:rPr>
        <w:t xml:space="preserve">, </w:t>
      </w:r>
      <w:r>
        <w:rPr>
          <w:rtl w:val="true"/>
        </w:rPr>
        <w:t>עולה כי המנוח קפץ לתעלה מתוך מצוקה</w:t>
      </w:r>
      <w:r>
        <w:rPr>
          <w:rtl w:val="true"/>
        </w:rPr>
        <w:t xml:space="preserve">, </w:t>
      </w:r>
      <w:r>
        <w:rPr>
          <w:rtl w:val="true"/>
        </w:rPr>
        <w:t>כתוצאה מהעימות והמרדף בינו לבין המערער ואחרים</w:t>
      </w:r>
      <w:r>
        <w:rPr>
          <w:rtl w:val="true"/>
        </w:rPr>
        <w:t xml:space="preserve">, </w:t>
      </w:r>
      <w:r>
        <w:rPr>
          <w:rtl w:val="true"/>
        </w:rPr>
        <w:t>וכי אף לאחר שהמנוח קפץ למים המשיכו המערער ושותפיו ליידות בו אבנים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 מזאת</w:t>
      </w:r>
      <w:r>
        <w:rPr>
          <w:rtl w:val="true"/>
        </w:rPr>
        <w:t xml:space="preserve">, </w:t>
      </w:r>
      <w:r>
        <w:rPr>
          <w:rtl w:val="true"/>
        </w:rPr>
        <w:t>בית המשפט הדגיש כי מהודאתו של המערער במסגרת חקירתו במשטרה ומטענותיו בהליך לפניו</w:t>
      </w:r>
      <w:r>
        <w:rPr>
          <w:rtl w:val="true"/>
        </w:rPr>
        <w:t xml:space="preserve">, </w:t>
      </w:r>
      <w:r>
        <w:rPr>
          <w:rtl w:val="true"/>
        </w:rPr>
        <w:t>עולה כי המערער לא חולק מהותית על השתלשלות האירועים</w:t>
      </w:r>
      <w:r>
        <w:rPr>
          <w:rtl w:val="true"/>
        </w:rPr>
        <w:t xml:space="preserve">, </w:t>
      </w:r>
      <w:r>
        <w:rPr>
          <w:rtl w:val="true"/>
        </w:rPr>
        <w:t>במסגרתה התעמת עם המנוח ורדף אחריו עם אחרים</w:t>
      </w:r>
      <w:r>
        <w:rPr>
          <w:rtl w:val="true"/>
        </w:rPr>
        <w:t xml:space="preserve">, </w:t>
      </w:r>
      <w:r>
        <w:rPr>
          <w:rtl w:val="true"/>
        </w:rPr>
        <w:t>אלא שהוא טוען שמעשיו בוצעו לשם הגנה עצמית</w:t>
      </w:r>
      <w:r>
        <w:rPr>
          <w:rtl w:val="true"/>
        </w:rPr>
        <w:t xml:space="preserve">, </w:t>
      </w:r>
      <w:r>
        <w:rPr>
          <w:rtl w:val="true"/>
        </w:rPr>
        <w:t>וכי אין קשר סיבתי בין מעשיו לבין מות המנוח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המחלוקת נסובה אפוא בעיקרה על הפרשנות המשפטית שיש לייחס למסכת העובדתית</w:t>
      </w:r>
      <w:r>
        <w:rPr>
          <w:rtl w:val="true"/>
        </w:rPr>
        <w:t xml:space="preserve">. </w:t>
      </w:r>
      <w:r>
        <w:rPr>
          <w:rtl w:val="true"/>
        </w:rPr>
        <w:t xml:space="preserve">מחלוקת זו </w:t>
      </w:r>
      <w:r>
        <w:rPr>
          <w:rtl w:val="true"/>
        </w:rPr>
        <w:t>–</w:t>
      </w:r>
      <w:r>
        <w:rPr>
          <w:rtl w:val="true"/>
        </w:rPr>
        <w:t xml:space="preserve"> כך נקבע </w:t>
      </w:r>
      <w:r>
        <w:rPr>
          <w:rtl w:val="true"/>
        </w:rPr>
        <w:t>–</w:t>
      </w:r>
      <w:r>
        <w:rPr>
          <w:rtl w:val="true"/>
        </w:rPr>
        <w:t xml:space="preserve"> ראוי שתתברר בפני בית המשפט בצרפת</w:t>
      </w:r>
      <w:r>
        <w:rPr>
          <w:rtl w:val="true"/>
        </w:rPr>
        <w:t xml:space="preserve">, </w:t>
      </w:r>
      <w:r>
        <w:rPr>
          <w:rtl w:val="true"/>
        </w:rPr>
        <w:t>שהוא הערכאה המתאימה לבחון את הראיות לעומקן ולהכריע 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במסקנה זו של בית משפט קמא לא מצאתי מקום להתערב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השגותיו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יובהר כי בכך אין כדי להכריע בשאלת חפותו או אשמתו של המערער</w:t>
      </w:r>
      <w:r>
        <w:rPr>
          <w:rtl w:val="true"/>
        </w:rPr>
        <w:t xml:space="preserve">, </w:t>
      </w:r>
      <w:r>
        <w:rPr>
          <w:rtl w:val="true"/>
        </w:rPr>
        <w:t>כמו גם בשאלת ההגנות האפשריות שלהן הוא טוען</w:t>
      </w:r>
      <w:r>
        <w:rPr>
          <w:rtl w:val="true"/>
        </w:rPr>
        <w:t xml:space="preserve">. </w:t>
      </w:r>
      <w:r>
        <w:rPr>
          <w:rtl w:val="true"/>
        </w:rPr>
        <w:t>סוגיות אלו תתבררנה ותוכרענה במסגרת ההליך המשפטי בצרפת</w:t>
      </w:r>
      <w:r>
        <w:rPr>
          <w:rtl w:val="true"/>
        </w:rPr>
        <w:t xml:space="preserve">, </w:t>
      </w:r>
      <w:r>
        <w:rPr>
          <w:rtl w:val="true"/>
        </w:rPr>
        <w:t>בגדרו ייבחנו משקלן ומהימנותן של הראיות ואופן התיישבותן עם גרסת המערער לאירועים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 מסקנתו של בית משפט קמא לפיה בקשת ההסגרה עומדת ברף הראייתי הנדרש לפי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וזאת בין אם די בחיובו בדין של המערער במסגרת ההליך הקודם שנוהל בעניינו בצרפת</w:t>
      </w:r>
      <w:r>
        <w:rPr>
          <w:rtl w:val="true"/>
        </w:rPr>
        <w:t xml:space="preserve">, </w:t>
      </w:r>
      <w:r>
        <w:rPr>
          <w:rtl w:val="true"/>
        </w:rPr>
        <w:t>ובין אם ייבחן חומר הראיות מחדש במסגרת משפט חוזר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משקבעתי זאת</w:t>
      </w:r>
      <w:r>
        <w:rPr>
          <w:rtl w:val="true"/>
        </w:rPr>
        <w:t xml:space="preserve">, </w:t>
      </w:r>
      <w:r>
        <w:rPr>
          <w:rtl w:val="true"/>
        </w:rPr>
        <w:t>אפנה כעת לבחון האם בקשת ההסגרה עונה על שאר התנאים והסייגים הקבועים בחוק</w:t>
      </w:r>
      <w:r>
        <w:rPr>
          <w:rtl w:val="true"/>
        </w:rPr>
        <w:t xml:space="preserve">, </w:t>
      </w:r>
      <w:r>
        <w:rPr>
          <w:rtl w:val="true"/>
        </w:rPr>
        <w:t>באופן המאפשר להכריז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ההדדיות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התנאים שעל בית המשפט לבחון לצורך הכרזה על מבוקש כבר הסגרה</w:t>
      </w:r>
      <w:r>
        <w:rPr>
          <w:rtl w:val="true"/>
        </w:rPr>
        <w:t xml:space="preserve">, </w:t>
      </w:r>
      <w:r>
        <w:rPr>
          <w:rtl w:val="true"/>
        </w:rPr>
        <w:t xml:space="preserve">מעוגנים </w:t>
      </w:r>
      <w:hyperlink r:id="rId5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הקובע כי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 xml:space="preserve">בערעורו לא חולק המערער על התקיימותם של התנאים המנויים בסעיף קטן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תנאי הפליליות הכפולה וקיומו של הסכם בדבר הסגרת עבריינים בין ישראל לצרפת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טוען המערער כי הנוהג של רשויות החוק בצרפת</w:t>
      </w:r>
      <w:r>
        <w:rPr>
          <w:rtl w:val="true"/>
        </w:rPr>
        <w:t xml:space="preserve">, </w:t>
      </w:r>
      <w:r>
        <w:rPr>
          <w:rtl w:val="true"/>
        </w:rPr>
        <w:t>שלא להסגיר מבוקשים לישראל</w:t>
      </w:r>
      <w:r>
        <w:rPr>
          <w:rtl w:val="true"/>
        </w:rPr>
        <w:t xml:space="preserve">, </w:t>
      </w:r>
      <w:r>
        <w:rPr>
          <w:rtl w:val="true"/>
        </w:rPr>
        <w:t>עולה כדי חוסר הדדיות ביחסי הסגרה</w:t>
      </w:r>
      <w:r>
        <w:rPr>
          <w:rtl w:val="true"/>
        </w:rPr>
        <w:t xml:space="preserve">, </w:t>
      </w:r>
      <w:r>
        <w:rPr>
          <w:rtl w:val="true"/>
        </w:rPr>
        <w:t>וכי מטעם זה עניינו מצדיק את השימוש בסמכות המוקנית למדינת ישראל לשפוט את הנאשם בעצמה</w:t>
      </w:r>
      <w:r>
        <w:rPr>
          <w:rtl w:val="true"/>
        </w:rPr>
        <w:t xml:space="preserve">, </w:t>
      </w:r>
      <w:r>
        <w:rPr>
          <w:rtl w:val="true"/>
        </w:rPr>
        <w:t>תחת הסגרתו למדינה המבקשת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להוראות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ההלכה הפסוקה קבעה לא אחת כי תנאי ההדדיות מתקיים גם מקום בו המדינה המבקשת אינה נוהגת להסגיר את אזרחיה אלא מעמידה אותם לדין בתחומיה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המקיים את העקרון </w:t>
      </w:r>
      <w:r>
        <w:rPr>
          <w:rtl w:val="true"/>
        </w:rPr>
        <w:t>"</w:t>
      </w:r>
      <w:r>
        <w:rPr>
          <w:rtl w:val="true"/>
        </w:rPr>
        <w:t>הסגרה או שפיטה</w:t>
      </w:r>
      <w:r>
        <w:rPr>
          <w:rtl w:val="true"/>
        </w:rPr>
        <w:t xml:space="preserve">". </w:t>
      </w:r>
      <w:r>
        <w:rPr>
          <w:rtl w:val="true"/>
        </w:rPr>
        <w:t>בדרך זו מגשים עקרון ההדדיות את תכליתו לקדם שוויון וכבוד בין מדינות</w:t>
      </w:r>
      <w:r>
        <w:rPr>
          <w:rtl w:val="true"/>
        </w:rPr>
        <w:t xml:space="preserve">, </w:t>
      </w:r>
      <w:r>
        <w:rPr>
          <w:rtl w:val="true"/>
        </w:rPr>
        <w:t xml:space="preserve">כמו גם שיתוף פעולה בינלאומי במאבק בפשיעה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7569/00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יגודייב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נו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529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פסקאות </w:t>
      </w:r>
      <w:r>
        <w:rPr>
          <w:rFonts w:cs="FrankRuehl" w:ascii="FrankRuehl" w:hAnsi="FrankRuehl"/>
          <w:color w:val="000000"/>
          <w:sz w:val="28"/>
        </w:rPr>
        <w:t>59-47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2002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77-76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לצרפת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שפיטה</w:t>
      </w:r>
      <w:r>
        <w:rPr>
          <w:rtl w:val="true"/>
        </w:rPr>
        <w:t xml:space="preserve">" </w:t>
      </w:r>
      <w:r>
        <w:rPr>
          <w:rtl w:val="true"/>
        </w:rPr>
        <w:t>מספיקה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ההדדיות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 xml:space="preserve">עקרון </w:t>
      </w:r>
      <w:r>
        <w:rPr>
          <w:rtl w:val="true"/>
        </w:rPr>
        <w:t>"</w:t>
      </w:r>
      <w:r>
        <w:rPr>
          <w:rtl w:val="true"/>
        </w:rPr>
        <w:t>הסגרה או שפיטה</w:t>
      </w:r>
      <w:r>
        <w:rPr>
          <w:rtl w:val="true"/>
        </w:rPr>
        <w:t xml:space="preserve">" </w:t>
      </w:r>
      <w:r>
        <w:rPr>
          <w:rtl w:val="true"/>
        </w:rPr>
        <w:t>מאפשר אמנם למדינת ישראל להעמיד מבוקש לדין בשטחה בגין עבירת חוץ</w:t>
      </w:r>
      <w:r>
        <w:rPr>
          <w:rtl w:val="true"/>
        </w:rPr>
        <w:t xml:space="preserve">, </w:t>
      </w:r>
      <w:r>
        <w:rPr>
          <w:rtl w:val="true"/>
        </w:rPr>
        <w:t>תחת הסגרתו למדינה המבקשת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דבר זה ייעשה באופן חריג ו</w:t>
      </w:r>
      <w:r>
        <w:rPr>
          <w:rtl w:val="true"/>
        </w:rPr>
        <w:t>"</w:t>
      </w:r>
      <w:r>
        <w:rPr>
          <w:rtl w:val="true"/>
        </w:rPr>
        <w:t>במקרים קשים</w:t>
      </w:r>
      <w:r>
        <w:rPr>
          <w:rtl w:val="true"/>
        </w:rPr>
        <w:t xml:space="preserve">"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79-78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ד לחוות דעתו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רובינשטיין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איני סבור כי המקרה דנן מקים נסיבות ייחודיות המצדיקות את העמדת המערער לדין בישראל תחת הכרזתו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כדי שיעמוד לדין בצרפת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העמדת המערער לדין בישראל סותרת את תכליות דיני ההסגרה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ובהן </w:t>
      </w:r>
      <w:r>
        <w:rPr>
          <w:rtl w:val="true"/>
        </w:rPr>
        <w:t>קידום שיתוף פעולה בינלאומי הדדי במאבק בפשיעה</w:t>
      </w:r>
      <w:r>
        <w:rPr>
          <w:rtl w:val="true"/>
        </w:rPr>
        <w:t xml:space="preserve">; </w:t>
      </w:r>
      <w:r>
        <w:rPr>
          <w:rtl w:val="true"/>
        </w:rPr>
        <w:t>מניעת הימלטות עבריינים מן הדין והפיכת ישראל לעיר מקלט לעבריינים</w:t>
      </w:r>
      <w:r>
        <w:rPr>
          <w:rtl w:val="true"/>
        </w:rPr>
        <w:t xml:space="preserve">, </w:t>
      </w:r>
      <w:r>
        <w:rPr>
          <w:rtl w:val="true"/>
        </w:rPr>
        <w:t>וזאת בשים לב לסיכון הגלום בכך לשלום וביטחון הציבור בישראל</w:t>
      </w:r>
      <w:r>
        <w:rPr>
          <w:rtl w:val="true"/>
        </w:rPr>
        <w:t xml:space="preserve">, </w:t>
      </w:r>
      <w:r>
        <w:rPr>
          <w:rtl w:val="true"/>
        </w:rPr>
        <w:t>ולנזק התדמיתי שהדבר עלול להסב לה</w:t>
      </w:r>
      <w:r>
        <w:rPr>
          <w:rtl w:val="true"/>
        </w:rPr>
        <w:t xml:space="preserve">; </w:t>
      </w:r>
      <w:r>
        <w:rPr>
          <w:rtl w:val="true"/>
        </w:rPr>
        <w:t>והעמדתו</w:t>
      </w:r>
      <w:r>
        <w:rPr>
          <w:rtl w:val="true"/>
        </w:rPr>
        <w:t xml:space="preserve"> לדין </w:t>
      </w:r>
      <w:r>
        <w:rPr>
          <w:rtl w:val="true"/>
        </w:rPr>
        <w:t xml:space="preserve">של </w:t>
      </w:r>
      <w:r>
        <w:rPr>
          <w:rtl w:val="true"/>
        </w:rPr>
        <w:t xml:space="preserve">אדם שמואשם בביצוע עבירה במדינה אחרת בפני </w:t>
      </w:r>
      <w:r>
        <w:rPr>
          <w:rtl w:val="true"/>
        </w:rPr>
        <w:t>"</w:t>
      </w:r>
      <w:r>
        <w:rPr>
          <w:rtl w:val="true"/>
        </w:rPr>
        <w:t>שיטת המשפט הטבעית לנסיבות העניין</w:t>
      </w:r>
      <w:r>
        <w:rPr>
          <w:rtl w:val="true"/>
        </w:rPr>
        <w:t>" (</w:t>
      </w:r>
      <w:hyperlink r:id="rId55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2144/08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33-32</w:t>
      </w:r>
      <w:r>
        <w:rPr>
          <w:rtl w:val="true"/>
        </w:rPr>
        <w:t xml:space="preserve"> (</w:t>
      </w:r>
      <w:r>
        <w:rPr/>
        <w:t>14.1.2010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ל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/>
        <w:t>12.3.2009</w:t>
      </w:r>
      <w:r>
        <w:rPr>
          <w:rtl w:val="true"/>
        </w:rPr>
        <w:t>)).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לאחר שעמדתי על התנאים להסגרה</w:t>
      </w:r>
      <w:r>
        <w:rPr>
          <w:rtl w:val="true"/>
        </w:rPr>
        <w:t xml:space="preserve">, </w:t>
      </w:r>
      <w:r>
        <w:rPr>
          <w:rtl w:val="true"/>
        </w:rPr>
        <w:t>וקבעתי כי הם מתקיימים במקרה דנן</w:t>
      </w:r>
      <w:r>
        <w:rPr>
          <w:rtl w:val="true"/>
        </w:rPr>
        <w:t xml:space="preserve">, </w:t>
      </w:r>
      <w:r>
        <w:rPr>
          <w:rtl w:val="true"/>
        </w:rPr>
        <w:t>נותרה לדיון טענת המערער</w:t>
      </w:r>
      <w:r>
        <w:rPr>
          <w:rtl w:val="true"/>
        </w:rPr>
        <w:t xml:space="preserve">, </w:t>
      </w:r>
      <w:r>
        <w:rPr>
          <w:rtl w:val="true"/>
        </w:rPr>
        <w:t>לפיה אין להכריז עליו כבר</w:t>
      </w:r>
      <w:r>
        <w:rPr>
          <w:rtl w:val="true"/>
        </w:rPr>
        <w:t>-</w:t>
      </w:r>
      <w:r>
        <w:rPr>
          <w:rtl w:val="true"/>
        </w:rPr>
        <w:t xml:space="preserve">הסגרה לנוכח הסייג הקבוע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לצד קביעת התנאים להסגרה</w:t>
      </w:r>
      <w:r>
        <w:rPr>
          <w:rtl w:val="true"/>
        </w:rPr>
        <w:t xml:space="preserve">, </w:t>
      </w:r>
      <w:r>
        <w:rPr>
          <w:rtl w:val="true"/>
        </w:rPr>
        <w:t>מעגן החוק גם סייגים לה</w:t>
      </w:r>
      <w:r>
        <w:rPr>
          <w:rtl w:val="true"/>
        </w:rPr>
        <w:t xml:space="preserve">, </w:t>
      </w:r>
      <w:r>
        <w:rPr>
          <w:rtl w:val="true"/>
        </w:rPr>
        <w:t>בהתקיימותם לא יוכרז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בין אלו</w:t>
      </w:r>
      <w:r>
        <w:rPr>
          <w:rtl w:val="true"/>
        </w:rPr>
        <w:t xml:space="preserve">, </w:t>
      </w:r>
      <w:r>
        <w:rPr>
          <w:rtl w:val="true"/>
        </w:rPr>
        <w:t xml:space="preserve">קובע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כי מבוקש לא יוסגר למדינה המבקשת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>:</w:t>
      </w:r>
    </w:p>
    <w:p>
      <w:pPr>
        <w:pStyle w:val="Ruller51"/>
        <w:ind w:end="1282"/>
        <w:jc w:val="both"/>
        <w:rPr>
          <w:rStyle w:val="Ruller5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Ruller5"/>
          <w:rtl w:val="true"/>
        </w:rPr>
        <w:t>"</w:t>
      </w:r>
      <w:r>
        <w:rPr>
          <w:rtl w:val="true"/>
        </w:rPr>
        <w:t>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Style w:val="Ruller5"/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הלכה היא כי הסייג של תקנת הציבור יחול מקום בו עקרונות וערכי היסוד של המדינה ושיטת המשפט שלה אינם עולים בקנה אחד עם הסגרת המבוקש</w:t>
      </w:r>
      <w:r>
        <w:rPr>
          <w:rtl w:val="true"/>
        </w:rPr>
        <w:t xml:space="preserve">. </w:t>
      </w:r>
      <w:r>
        <w:rPr>
          <w:rtl w:val="true"/>
        </w:rPr>
        <w:t>מקרים אלו מצטמצמים למצבים קיצוניים</w:t>
      </w:r>
      <w:r>
        <w:rPr>
          <w:rtl w:val="true"/>
        </w:rPr>
        <w:t xml:space="preserve">, </w:t>
      </w:r>
      <w:r>
        <w:rPr>
          <w:rtl w:val="true"/>
        </w:rPr>
        <w:t xml:space="preserve">בהם ייסוג האינטרס הטמון בהסגרה מפני פגיעה מהותית בעקרונות אלה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69-68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115-114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 xml:space="preserve">בין ערכי היסוד הנכללים בגדר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 </w:t>
      </w:r>
      <w:r>
        <w:rPr>
          <w:rtl w:val="true"/>
        </w:rPr>
        <w:t>ניתן למנות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זכותו החוקתית של המבוקש להליך הוגן</w:t>
      </w:r>
      <w:r>
        <w:rPr>
          <w:rtl w:val="true"/>
        </w:rPr>
        <w:t xml:space="preserve">. </w:t>
      </w:r>
      <w:r>
        <w:rPr>
          <w:rtl w:val="true"/>
        </w:rPr>
        <w:t>בהקשר זה נקבע</w:t>
      </w:r>
      <w:r>
        <w:rPr>
          <w:rtl w:val="true"/>
        </w:rPr>
        <w:t xml:space="preserve">, </w:t>
      </w:r>
      <w:r>
        <w:rPr>
          <w:rtl w:val="true"/>
        </w:rPr>
        <w:t>כי על בית המשפט שמוגשת אליו בקשה להכריז על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לערוך איזון בין זכות המבוקש להליך הוגן לבין האינטרס הציבורי הגלום בהסגרת המבוקש</w:t>
      </w:r>
      <w:r>
        <w:rPr>
          <w:rtl w:val="true"/>
        </w:rPr>
        <w:t xml:space="preserve">. </w:t>
      </w:r>
      <w:r>
        <w:rPr>
          <w:rtl w:val="true"/>
        </w:rPr>
        <w:t>במסגרת איזון זה</w:t>
      </w:r>
      <w:r>
        <w:rPr>
          <w:rtl w:val="true"/>
        </w:rPr>
        <w:t xml:space="preserve">, </w:t>
      </w:r>
      <w:r>
        <w:rPr>
          <w:rtl w:val="true"/>
        </w:rPr>
        <w:t>יתחשב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בחומרת ובהיקף האישום</w:t>
      </w:r>
      <w:r>
        <w:rPr>
          <w:rtl w:val="true"/>
        </w:rPr>
        <w:t xml:space="preserve">; </w:t>
      </w:r>
      <w:r>
        <w:rPr>
          <w:rtl w:val="true"/>
        </w:rPr>
        <w:t>בפגיעה הצפויה בקרבנות העבירה אם המבוקש לא יוסגר</w:t>
      </w:r>
      <w:r>
        <w:rPr>
          <w:rtl w:val="true"/>
        </w:rPr>
        <w:t xml:space="preserve">; </w:t>
      </w:r>
      <w:r>
        <w:rPr>
          <w:rtl w:val="true"/>
        </w:rPr>
        <w:t>באופן התנהלות רשויות האכיפה במדינות הנוגעות בדבר</w:t>
      </w:r>
      <w:r>
        <w:rPr>
          <w:rtl w:val="true"/>
        </w:rPr>
        <w:t xml:space="preserve">; </w:t>
      </w:r>
      <w:r>
        <w:rPr>
          <w:rtl w:val="true"/>
        </w:rPr>
        <w:t>בפגיעה הצפויה מדחיית בקשת ההסגרה ביחסי ההסגרה בין ישראל למדינה המבקשת</w:t>
      </w:r>
      <w:r>
        <w:rPr>
          <w:rtl w:val="true"/>
        </w:rPr>
        <w:t xml:space="preserve">; </w:t>
      </w:r>
      <w:r>
        <w:rPr>
          <w:rtl w:val="true"/>
        </w:rPr>
        <w:t xml:space="preserve">ובעוצמת הפגיעה הצפויה מההסגרה בזכות המבוקש להליך הוגן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110</w:t>
      </w:r>
      <w:r>
        <w:rPr>
          <w:rtl w:val="true"/>
        </w:rPr>
        <w:t xml:space="preserve">, </w:t>
      </w:r>
      <w:r>
        <w:rPr/>
        <w:t>119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איני סבור כי המערער עמד בנטל המוטל עליו להצביע על חשש ממשי לפגיעה בזכותו להליך הוגן</w:t>
      </w:r>
      <w:r>
        <w:rPr>
          <w:rtl w:val="true"/>
        </w:rPr>
        <w:t xml:space="preserve">, </w:t>
      </w:r>
      <w:r>
        <w:rPr>
          <w:rtl w:val="true"/>
        </w:rPr>
        <w:t xml:space="preserve">המצדיקה את החלת סייג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באיזון האמור בין זכות המבוקש להליך הוגן לבין האינטרס הציבורי בהסגרתו</w:t>
      </w:r>
      <w:r>
        <w:rPr>
          <w:rtl w:val="true"/>
        </w:rPr>
        <w:t xml:space="preserve">, </w:t>
      </w:r>
      <w:r>
        <w:rPr>
          <w:rtl w:val="true"/>
        </w:rPr>
        <w:t>אני סבור כי ידו של האחרון גוברת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לנוכח חומרת האישום המיוחס למערער</w:t>
      </w:r>
      <w:r>
        <w:rPr>
          <w:rtl w:val="true"/>
        </w:rPr>
        <w:t xml:space="preserve">, </w:t>
      </w:r>
      <w:r>
        <w:rPr>
          <w:rtl w:val="true"/>
        </w:rPr>
        <w:t>ולנוכח התוצאה המצערת של שרשרת האירועים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לנוכח העובדה שהמערער לא הרים את הנטל להוכיח את הפגיעה הנטענת בזכותו להליך הוגן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בידי לקבל את טענת המערער בדבר הפגיעה הצפויה להיגרם לו בשל כך שחבר המושבעים במשפטו החוזר יהיה נתון להשפעת השיח הציבורי והתקשורתי העוין</w:t>
      </w:r>
      <w:r>
        <w:rPr>
          <w:rtl w:val="true"/>
        </w:rPr>
        <w:t xml:space="preserve">, </w:t>
      </w:r>
      <w:r>
        <w:rPr>
          <w:rtl w:val="true"/>
        </w:rPr>
        <w:t>כפי שנטען על ידו</w:t>
      </w:r>
      <w:r>
        <w:rPr>
          <w:rtl w:val="true"/>
        </w:rPr>
        <w:t xml:space="preserve">.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אשר מטילה צל כבד על מערכת המשפט בצרפת</w:t>
      </w:r>
      <w:r>
        <w:rPr>
          <w:rtl w:val="true"/>
        </w:rPr>
        <w:t xml:space="preserve">, </w:t>
      </w:r>
      <w:r>
        <w:rPr>
          <w:rtl w:val="true"/>
        </w:rPr>
        <w:t>דורשת הוכחה חד משמעית</w:t>
      </w:r>
      <w:r>
        <w:rPr>
          <w:rtl w:val="true"/>
        </w:rPr>
        <w:t xml:space="preserve">, </w:t>
      </w:r>
      <w:r>
        <w:rPr>
          <w:rtl w:val="true"/>
        </w:rPr>
        <w:t>ואין די בהשערות המערער כדי לבססה כדבעי</w:t>
      </w:r>
      <w:r>
        <w:rPr>
          <w:rtl w:val="true"/>
        </w:rPr>
        <w:t xml:space="preserve">. </w:t>
      </w:r>
      <w:r>
        <w:rPr>
          <w:rtl w:val="true"/>
        </w:rPr>
        <w:t>חזקה על רשויות המשפט בצרפת שתדענה לשפוט משפט צדק</w:t>
      </w:r>
      <w:r>
        <w:rPr>
          <w:rtl w:val="true"/>
        </w:rPr>
        <w:t xml:space="preserve">, </w:t>
      </w:r>
      <w:r>
        <w:rPr>
          <w:rtl w:val="true"/>
        </w:rPr>
        <w:t>אף אם ההליך המשפטי מלווה בהד תקשורתי</w:t>
      </w:r>
      <w:r>
        <w:rPr>
          <w:rtl w:val="true"/>
        </w:rPr>
        <w:t xml:space="preserve">, </w:t>
      </w:r>
      <w:r>
        <w:rPr>
          <w:rtl w:val="true"/>
        </w:rPr>
        <w:t>כנטען על ידי המערער</w:t>
      </w:r>
      <w:r>
        <w:rPr>
          <w:rtl w:val="true"/>
        </w:rPr>
        <w:t xml:space="preserve">. </w:t>
      </w:r>
      <w:r>
        <w:rPr>
          <w:rtl w:val="true"/>
        </w:rPr>
        <w:t>חזקה זו ביחס לצרפת</w:t>
      </w:r>
      <w:r>
        <w:rPr>
          <w:rtl w:val="true"/>
        </w:rPr>
        <w:t xml:space="preserve">, </w:t>
      </w:r>
      <w:r>
        <w:rPr>
          <w:rtl w:val="true"/>
        </w:rPr>
        <w:t xml:space="preserve">כמו גם ביחס ליתר המדינות שהצטרפו לאמנה </w:t>
      </w:r>
      <w:r>
        <w:rPr>
          <w:rtl w:val="true"/>
        </w:rPr>
        <w:t>האירופית בענייני הסגרה</w:t>
      </w:r>
      <w:r>
        <w:rPr>
          <w:rtl w:val="true"/>
        </w:rPr>
        <w:t xml:space="preserve">, </w:t>
      </w:r>
      <w:r>
        <w:rPr>
          <w:rtl w:val="true"/>
        </w:rPr>
        <w:t>היא העומדת בבסיס חתימתה של מדינת ישראל על האמנה</w:t>
      </w:r>
      <w:r>
        <w:rPr>
          <w:rtl w:val="true"/>
        </w:rPr>
        <w:t xml:space="preserve">, </w:t>
      </w:r>
      <w:r>
        <w:rPr>
          <w:rtl w:val="true"/>
        </w:rPr>
        <w:t>ובבסיס היחסים המשפטיים עם צרפת בכל הנוגע לבקשות הסגרה</w:t>
      </w:r>
      <w:r>
        <w:rPr>
          <w:rtl w:val="true"/>
        </w:rPr>
        <w:t xml:space="preserve">, </w:t>
      </w:r>
      <w:r>
        <w:rPr>
          <w:rtl w:val="true"/>
        </w:rPr>
        <w:t>ואין בטענות המערער לבדן כדי לסתור אותה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 מקבל את טענת המערער לפגיעה בזכותו להליך הוגן</w:t>
      </w:r>
      <w:r>
        <w:rPr>
          <w:rtl w:val="true"/>
        </w:rPr>
        <w:t xml:space="preserve">, </w:t>
      </w:r>
      <w:r>
        <w:rPr>
          <w:rtl w:val="true"/>
        </w:rPr>
        <w:t>באופן שימנע את הכרזתו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המערער מוסיף וטוען</w:t>
      </w:r>
      <w:r>
        <w:rPr>
          <w:rtl w:val="true"/>
        </w:rPr>
        <w:t xml:space="preserve">, </w:t>
      </w:r>
      <w:r>
        <w:rPr>
          <w:rtl w:val="true"/>
        </w:rPr>
        <w:t>כי ככל שיוסגר לצרפת</w:t>
      </w:r>
      <w:r>
        <w:rPr>
          <w:rtl w:val="true"/>
        </w:rPr>
        <w:t xml:space="preserve">, </w:t>
      </w:r>
      <w:r>
        <w:rPr>
          <w:rtl w:val="true"/>
        </w:rPr>
        <w:t>יהיו חייו מוטלים בסכנה</w:t>
      </w:r>
      <w:r>
        <w:rPr>
          <w:rtl w:val="true"/>
        </w:rPr>
        <w:t xml:space="preserve">. </w:t>
      </w:r>
      <w:r>
        <w:rPr>
          <w:rtl w:val="true"/>
        </w:rPr>
        <w:t xml:space="preserve">נסיבות של חשש ממשי לסכנה הנשקפת לחייו של המבוקש עשויות אמנם להקים את הסייג של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", </w:t>
      </w:r>
      <w:r>
        <w:rPr>
          <w:rtl w:val="true"/>
        </w:rPr>
        <w:t>אך כפי שנקבע בפסיקה נדרשת הערכה ממשית וקונקרטית בסבירות גבוהה לפגיעה במבוקש כתוצאה מההסגרה</w:t>
      </w:r>
      <w:r>
        <w:rPr>
          <w:rtl w:val="true"/>
        </w:rPr>
        <w:t xml:space="preserve">, </w:t>
      </w:r>
      <w:r>
        <w:rPr>
          <w:rtl w:val="true"/>
        </w:rPr>
        <w:t xml:space="preserve">מבלי שאמצעי ביטחון וזהירות יוכלו לאיינה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852/86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אלוני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המשפטים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מא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54</w:t>
      </w:r>
      <w:r>
        <w:rPr>
          <w:rtl w:val="true"/>
        </w:rPr>
        <w:t xml:space="preserve">, </w:t>
      </w:r>
      <w:r>
        <w:rPr/>
        <w:t>57-56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בולטיאנסקי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20-19</w:t>
      </w:r>
      <w:r>
        <w:rPr>
          <w:rtl w:val="true"/>
        </w:rPr>
        <w:t xml:space="preserve"> (</w:t>
      </w:r>
      <w:r>
        <w:rPr/>
        <w:t>25.4.2017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מהסגרתו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תבטחנה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קונקרטיות</w:t>
      </w:r>
      <w:r>
        <w:rPr>
          <w:rtl w:val="true"/>
        </w:rPr>
        <w:t xml:space="preserve">, </w:t>
      </w:r>
      <w:r>
        <w:rPr>
          <w:rtl w:val="true"/>
        </w:rPr>
        <w:t>מוחשיות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מקרה זה אינו נמנה עם המקרים החריגים המצדיקים את החלת הסייג של </w:t>
      </w:r>
      <w:r>
        <w:rPr>
          <w:rtl w:val="true"/>
        </w:rPr>
        <w:t>"</w:t>
      </w:r>
      <w:r>
        <w:rPr>
          <w:rtl w:val="true"/>
        </w:rPr>
        <w:t>תקנת הציבור</w:t>
      </w:r>
      <w:r>
        <w:rPr>
          <w:rtl w:val="true"/>
        </w:rPr>
        <w:t xml:space="preserve">" </w:t>
      </w:r>
      <w:r>
        <w:rPr>
          <w:rtl w:val="true"/>
        </w:rPr>
        <w:t>אשר בהתקיימו ימנע בית המשפט מלהכריז על המערער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חוקתיות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מעבר לתכליות דיני ההסגרה שפורטו לעיל</w:t>
      </w:r>
      <w:r>
        <w:rPr>
          <w:rtl w:val="true"/>
        </w:rPr>
        <w:t xml:space="preserve">, </w:t>
      </w:r>
      <w:r>
        <w:rPr>
          <w:rtl w:val="true"/>
        </w:rPr>
        <w:t>נועדו אלה להגן על זכותו החוקתית של המבוקש לחירות מפני הסגרה</w:t>
      </w:r>
      <w:r>
        <w:rPr>
          <w:rtl w:val="true"/>
        </w:rPr>
        <w:t xml:space="preserve">, </w:t>
      </w:r>
      <w:r>
        <w:rPr>
          <w:rtl w:val="true"/>
        </w:rPr>
        <w:t xml:space="preserve">המעוגנת </w:t>
      </w:r>
      <w:hyperlink r:id="rId6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. </w:t>
      </w:r>
      <w:r>
        <w:rPr>
          <w:rtl w:val="true"/>
        </w:rPr>
        <w:t>תכלית זאת מוגשמת על ידי דיני ההסגרה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באמצעות בחינת התנאים לצורך הכרזתו של מבוקש 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וכן באמצעות בחינת השאלה האם מתקיימים הסייגים המעוגנים בחוק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נדרשת ההסגרה לעמוד בתנאי פסקת ההגבלה</w:t>
      </w:r>
      <w:r>
        <w:rPr>
          <w:color w:val="FF0000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מונדרוביץ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40-36</w:t>
      </w:r>
      <w:r>
        <w:rPr>
          <w:rtl w:val="true"/>
        </w:rPr>
        <w:t xml:space="preserve">, </w:t>
      </w:r>
      <w:r>
        <w:rPr/>
        <w:t>131-130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לאחר שבאתי לכלל מסקנה כי הכרזתו של המבוקש כבר</w:t>
      </w:r>
      <w:r>
        <w:rPr>
          <w:rtl w:val="true"/>
        </w:rPr>
        <w:t>-</w:t>
      </w:r>
      <w:r>
        <w:rPr>
          <w:rtl w:val="true"/>
        </w:rPr>
        <w:t>הסגרה עומדת בתנאים שנקבעו בחוק</w:t>
      </w:r>
      <w:r>
        <w:rPr>
          <w:rtl w:val="true"/>
        </w:rPr>
        <w:t xml:space="preserve">, </w:t>
      </w:r>
      <w:r>
        <w:rPr>
          <w:rtl w:val="true"/>
        </w:rPr>
        <w:t>וכי לא חלים בעניינו סייגים המצדיקים להימנע ממנה</w:t>
      </w:r>
      <w:r>
        <w:rPr>
          <w:rtl w:val="true"/>
        </w:rPr>
        <w:t xml:space="preserve">, </w:t>
      </w:r>
      <w:r>
        <w:rPr>
          <w:rtl w:val="true"/>
        </w:rPr>
        <w:t>אני סבור גם כי הפגיעה בזכותו החוקתית לחירות מפני הסגרה עומדת בתנאי פסקת ההגבלה</w:t>
      </w:r>
      <w:r>
        <w:rPr>
          <w:rtl w:val="true"/>
        </w:rPr>
        <w:t xml:space="preserve">. </w:t>
      </w:r>
      <w:r>
        <w:rPr>
          <w:rtl w:val="true"/>
        </w:rPr>
        <w:t xml:space="preserve">זאת שכן הסגרת המבוקש נעשית מכוח 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; </w:t>
      </w:r>
      <w:r>
        <w:rPr>
          <w:rtl w:val="true"/>
        </w:rPr>
        <w:t>נועדה לתכלית ראויה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, </w:t>
      </w:r>
      <w:r>
        <w:rPr>
          <w:rtl w:val="true"/>
        </w:rPr>
        <w:t>מטרתה לקדם שיתוף פעולה בינלאומי במאבק בפשיעה</w:t>
      </w:r>
      <w:r>
        <w:rPr>
          <w:rtl w:val="true"/>
        </w:rPr>
        <w:t xml:space="preserve">; </w:t>
      </w:r>
      <w:r>
        <w:rPr>
          <w:rtl w:val="true"/>
        </w:rPr>
        <w:t>הולמת את ערכיה של מדינת ישראל</w:t>
      </w:r>
      <w:r>
        <w:rPr>
          <w:rtl w:val="true"/>
        </w:rPr>
        <w:t xml:space="preserve">, </w:t>
      </w:r>
      <w:r>
        <w:rPr>
          <w:rtl w:val="true"/>
        </w:rPr>
        <w:t>ביניהם עקרון שלטון החוק המחייב אותה לכבד את התחייבויותיה הבינלאומיות</w:t>
      </w:r>
      <w:r>
        <w:rPr>
          <w:rtl w:val="true"/>
        </w:rPr>
        <w:t xml:space="preserve">; </w:t>
      </w:r>
      <w:r>
        <w:rPr>
          <w:rtl w:val="true"/>
        </w:rPr>
        <w:t>ומידתית</w:t>
      </w:r>
      <w:r>
        <w:rPr>
          <w:rtl w:val="true"/>
        </w:rPr>
        <w:t xml:space="preserve">, </w:t>
      </w:r>
      <w:r>
        <w:rPr>
          <w:rtl w:val="true"/>
        </w:rPr>
        <w:t>לנוכח השיקולים שפורטו בהרחבה לעיל</w:t>
      </w:r>
      <w:r>
        <w:rPr>
          <w:rtl w:val="true"/>
        </w:rPr>
        <w:t xml:space="preserve">, </w:t>
      </w:r>
      <w:r>
        <w:rPr>
          <w:rtl w:val="true"/>
        </w:rPr>
        <w:t>ובשים לב לחומרת המעשים המיוחסים 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הבינלאומיות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והסייגים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7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לא מצאתי מקום להתערב בהחלטתו של בית משפט קמא</w:t>
      </w:r>
      <w:r>
        <w:rPr>
          <w:rtl w:val="true"/>
        </w:rPr>
        <w:t xml:space="preserve">, </w:t>
      </w:r>
      <w:r>
        <w:rPr>
          <w:rtl w:val="true"/>
        </w:rPr>
        <w:t>אשר הכריז על המבקש כבר</w:t>
      </w:r>
      <w:r>
        <w:rPr>
          <w:rtl w:val="true"/>
        </w:rPr>
        <w:t>-</w:t>
      </w:r>
      <w:r>
        <w:rPr>
          <w:rtl w:val="true"/>
        </w:rPr>
        <w:t>הסגרה לצרפת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מצאתי להיענות לבקשותיו החלופיות של המערער</w:t>
      </w:r>
      <w:r>
        <w:rPr>
          <w:rtl w:val="true"/>
        </w:rPr>
        <w:t xml:space="preserve">, </w:t>
      </w:r>
      <w:r>
        <w:rPr>
          <w:rtl w:val="true"/>
        </w:rPr>
        <w:t>מאותם הנימוקים שפורטו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איני מוצא מקום להתערב בשיקול דעתן של רשויות אכיפת החוק בצרפת בבחירת סעיף האישום</w:t>
      </w:r>
      <w:r>
        <w:rPr>
          <w:rtl w:val="true"/>
        </w:rPr>
        <w:t xml:space="preserve">, </w:t>
      </w:r>
      <w:r>
        <w:rPr>
          <w:rtl w:val="true"/>
        </w:rPr>
        <w:t>כמו גם באופן הבטחת שלומו של המערער וקיומו של הליך הוגן בעניינו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לנשיאת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אזרחותו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האסיר</w:t>
        </w:r>
      </w:hyperlink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ולהותיר את הכרזתו של המערער כבר</w:t>
      </w:r>
      <w:r>
        <w:rPr>
          <w:rtl w:val="true"/>
        </w:rPr>
        <w:t>-</w:t>
      </w:r>
      <w:r>
        <w:rPr>
          <w:rtl w:val="true"/>
        </w:rPr>
        <w:t>הסגרה על כנה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ש ו פ ט</w:t>
      </w:r>
    </w:p>
    <w:p>
      <w:pPr>
        <w:pStyle w:val="Ruller4"/>
        <w:ind w:end="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מסכימה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ש ו פ ט ת</w:t>
      </w:r>
    </w:p>
    <w:p>
      <w:pPr>
        <w:pStyle w:val="Ruller4"/>
        <w:ind w:end="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8.5.2018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end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bookmarkStart w:id="17" w:name="_GoBack"/>
      <w:bookmarkEnd w:id="17"/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17083040</w:t>
      </w:r>
      <w:r>
        <w:rPr>
          <w:sz w:val="16"/>
          <w:rtl w:val="true"/>
        </w:rPr>
        <w:t>_</w:t>
      </w:r>
      <w:r>
        <w:rPr>
          <w:sz w:val="16"/>
        </w:rPr>
        <w:t>J06.doc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54678313-8304/17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8304/17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דן אוסקר למפל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טקסט בלונים תו"/>
    <w:qFormat/>
    <w:rPr>
      <w:rFonts w:ascii="Tahoma" w:hAnsi="Tahoma" w:cs="Tahoma"/>
      <w:sz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5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30258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1a" TargetMode="External"/><Relationship Id="rId5" Type="http://schemas.openxmlformats.org/officeDocument/2006/relationships/hyperlink" Target="http://www.nevo.co.il/law/71723/2" TargetMode="External"/><Relationship Id="rId6" Type="http://schemas.openxmlformats.org/officeDocument/2006/relationships/hyperlink" Target="http://www.nevo.co.il/law/71723/2.a" TargetMode="External"/><Relationship Id="rId7" Type="http://schemas.openxmlformats.org/officeDocument/2006/relationships/hyperlink" Target="http://www.nevo.co.il/law/71723/2a" TargetMode="External"/><Relationship Id="rId8" Type="http://schemas.openxmlformats.org/officeDocument/2006/relationships/hyperlink" Target="http://www.nevo.co.il/law/71723/2a.a.2" TargetMode="External"/><Relationship Id="rId9" Type="http://schemas.openxmlformats.org/officeDocument/2006/relationships/hyperlink" Target="http://www.nevo.co.il/law/71723/2b" TargetMode="External"/><Relationship Id="rId10" Type="http://schemas.openxmlformats.org/officeDocument/2006/relationships/hyperlink" Target="http://www.nevo.co.il/law/71723/2b.2" TargetMode="External"/><Relationship Id="rId11" Type="http://schemas.openxmlformats.org/officeDocument/2006/relationships/hyperlink" Target="http://www.nevo.co.il/law/71723/2b.a.1." TargetMode="External"/><Relationship Id="rId12" Type="http://schemas.openxmlformats.org/officeDocument/2006/relationships/hyperlink" Target="http://www.nevo.co.il/law/71723/2b.a.8" TargetMode="External"/><Relationship Id="rId13" Type="http://schemas.openxmlformats.org/officeDocument/2006/relationships/hyperlink" Target="http://www.nevo.co.il/law/71723/3" TargetMode="External"/><Relationship Id="rId14" Type="http://schemas.openxmlformats.org/officeDocument/2006/relationships/hyperlink" Target="http://www.nevo.co.il/law/71723/9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5" TargetMode="External"/><Relationship Id="rId17" Type="http://schemas.openxmlformats.org/officeDocument/2006/relationships/hyperlink" Target="http://www.nevo.co.il/law/70320" TargetMode="External"/><Relationship Id="rId18" Type="http://schemas.openxmlformats.org/officeDocument/2006/relationships/hyperlink" Target="http://www.nevo.co.il/law/70320/5" TargetMode="External"/><Relationship Id="rId19" Type="http://schemas.openxmlformats.org/officeDocument/2006/relationships/hyperlink" Target="http://www.nevo.co.il/law/74386" TargetMode="External"/><Relationship Id="rId20" Type="http://schemas.openxmlformats.org/officeDocument/2006/relationships/hyperlink" Target="http://www.nevo.co.il/law/74386/7.b" TargetMode="External"/><Relationship Id="rId21" Type="http://schemas.openxmlformats.org/officeDocument/2006/relationships/hyperlink" Target="http://www.nevo.co.il/law/71723/9.a" TargetMode="External"/><Relationship Id="rId22" Type="http://schemas.openxmlformats.org/officeDocument/2006/relationships/hyperlink" Target="http://www.nevo.co.il/law/71723/9.a" TargetMode="External"/><Relationship Id="rId23" Type="http://schemas.openxmlformats.org/officeDocument/2006/relationships/hyperlink" Target="http://www.nevo.co.il/law/71723/9.a" TargetMode="External"/><Relationship Id="rId24" Type="http://schemas.openxmlformats.org/officeDocument/2006/relationships/hyperlink" Target="http://www.nevo.co.il/law/71723/2a" TargetMode="External"/><Relationship Id="rId25" Type="http://schemas.openxmlformats.org/officeDocument/2006/relationships/hyperlink" Target="http://www.nevo.co.il/law/71723/2b.a.8" TargetMode="External"/><Relationship Id="rId26" Type="http://schemas.openxmlformats.org/officeDocument/2006/relationships/hyperlink" Target="http://www.nevo.co.il/law/70320/5" TargetMode="External"/><Relationship Id="rId27" Type="http://schemas.openxmlformats.org/officeDocument/2006/relationships/hyperlink" Target="http://www.nevo.co.il/law/70320" TargetMode="External"/><Relationship Id="rId28" Type="http://schemas.openxmlformats.org/officeDocument/2006/relationships/hyperlink" Target="http://www.nevo.co.il/case/21830258" TargetMode="External"/><Relationship Id="rId29" Type="http://schemas.openxmlformats.org/officeDocument/2006/relationships/hyperlink" Target="http://www.nevo.co.il/law/71723" TargetMode="External"/><Relationship Id="rId30" Type="http://schemas.openxmlformats.org/officeDocument/2006/relationships/hyperlink" Target="http://www.nevo.co.il/law/71723/3" TargetMode="External"/><Relationship Id="rId31" Type="http://schemas.openxmlformats.org/officeDocument/2006/relationships/hyperlink" Target="http://www.nevo.co.il/law/71723/2" TargetMode="External"/><Relationship Id="rId32" Type="http://schemas.openxmlformats.org/officeDocument/2006/relationships/hyperlink" Target="http://www.nevo.co.il/law/71723/2b.a.1.;2b.2" TargetMode="External"/><Relationship Id="rId33" Type="http://schemas.openxmlformats.org/officeDocument/2006/relationships/hyperlink" Target="http://www.nevo.co.il/law/71723/2b.a.8" TargetMode="External"/><Relationship Id="rId34" Type="http://schemas.openxmlformats.org/officeDocument/2006/relationships/hyperlink" Target="http://www.nevo.co.il/law/71723/1a" TargetMode="External"/><Relationship Id="rId35" Type="http://schemas.openxmlformats.org/officeDocument/2006/relationships/hyperlink" Target="http://www.nevo.co.il/law/71723/9.a" TargetMode="External"/><Relationship Id="rId36" Type="http://schemas.openxmlformats.org/officeDocument/2006/relationships/hyperlink" Target="http://www.nevo.co.il/law/70301/1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1723/2b.a.8" TargetMode="External"/><Relationship Id="rId39" Type="http://schemas.openxmlformats.org/officeDocument/2006/relationships/hyperlink" Target="http://www.nevo.co.il/law/70320/5" TargetMode="External"/><Relationship Id="rId40" Type="http://schemas.openxmlformats.org/officeDocument/2006/relationships/hyperlink" Target="http://www.nevo.co.il/law/70320" TargetMode="External"/><Relationship Id="rId41" Type="http://schemas.openxmlformats.org/officeDocument/2006/relationships/hyperlink" Target="http://www.nevo.co.il/law/74386/7.b" TargetMode="External"/><Relationship Id="rId42" Type="http://schemas.openxmlformats.org/officeDocument/2006/relationships/hyperlink" Target="http://www.nevo.co.il/law/74386" TargetMode="External"/><Relationship Id="rId43" Type="http://schemas.openxmlformats.org/officeDocument/2006/relationships/hyperlink" Target="http://www.nevo.co.il/law/71723/9.a" TargetMode="External"/><Relationship Id="rId44" Type="http://schemas.openxmlformats.org/officeDocument/2006/relationships/hyperlink" Target="http://www.nevo.co.il/law/71723/2a.a.2" TargetMode="External"/><Relationship Id="rId45" Type="http://schemas.openxmlformats.org/officeDocument/2006/relationships/hyperlink" Target="http://www.nevo.co.il/law/71723/2.a" TargetMode="External"/><Relationship Id="rId46" Type="http://schemas.openxmlformats.org/officeDocument/2006/relationships/hyperlink" Target="http://www.nevo.co.il/case/17918473" TargetMode="External"/><Relationship Id="rId47" Type="http://schemas.openxmlformats.org/officeDocument/2006/relationships/hyperlink" Target="http://www.nevo.co.il/case/6080497" TargetMode="External"/><Relationship Id="rId48" Type="http://schemas.openxmlformats.org/officeDocument/2006/relationships/hyperlink" Target="http://www.nevo.co.il/law/71723/9.a" TargetMode="External"/><Relationship Id="rId49" Type="http://schemas.openxmlformats.org/officeDocument/2006/relationships/hyperlink" Target="http://www.nevo.co.il/law/71723/9.a" TargetMode="External"/><Relationship Id="rId50" Type="http://schemas.openxmlformats.org/officeDocument/2006/relationships/hyperlink" Target="http://www.nevo.co.il/law/71723/9.a" TargetMode="External"/><Relationship Id="rId51" Type="http://schemas.openxmlformats.org/officeDocument/2006/relationships/hyperlink" Target="http://www.nevo.co.il/law/71723/2a" TargetMode="External"/><Relationship Id="rId52" Type="http://schemas.openxmlformats.org/officeDocument/2006/relationships/hyperlink" Target="http://www.nevo.co.il/law/70301/15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5982052" TargetMode="External"/><Relationship Id="rId55" Type="http://schemas.openxmlformats.org/officeDocument/2006/relationships/hyperlink" Target="http://www.nevo.co.il/case/5814012" TargetMode="External"/><Relationship Id="rId56" Type="http://schemas.openxmlformats.org/officeDocument/2006/relationships/hyperlink" Target="http://www.nevo.co.il/case/6244299" TargetMode="External"/><Relationship Id="rId57" Type="http://schemas.openxmlformats.org/officeDocument/2006/relationships/hyperlink" Target="http://www.nevo.co.il/law/71723/2b.a.8" TargetMode="External"/><Relationship Id="rId58" Type="http://schemas.openxmlformats.org/officeDocument/2006/relationships/hyperlink" Target="http://www.nevo.co.il/law/71723/2b.a.8" TargetMode="External"/><Relationship Id="rId59" Type="http://schemas.openxmlformats.org/officeDocument/2006/relationships/hyperlink" Target="http://www.nevo.co.il/case/17937922" TargetMode="External"/><Relationship Id="rId60" Type="http://schemas.openxmlformats.org/officeDocument/2006/relationships/hyperlink" Target="http://www.nevo.co.il/case/21015139" TargetMode="External"/><Relationship Id="rId61" Type="http://schemas.openxmlformats.org/officeDocument/2006/relationships/hyperlink" Target="http://www.nevo.co.il/law/70320/5" TargetMode="External"/><Relationship Id="rId62" Type="http://schemas.openxmlformats.org/officeDocument/2006/relationships/hyperlink" Target="http://www.nevo.co.il/law/70320" TargetMode="External"/><Relationship Id="rId63" Type="http://schemas.openxmlformats.org/officeDocument/2006/relationships/hyperlink" Target="http://www.nevo.co.il/law/71723" TargetMode="External"/><Relationship Id="rId64" Type="http://schemas.openxmlformats.org/officeDocument/2006/relationships/hyperlink" Target="http://www.nevo.co.il/law/71723" TargetMode="External"/><Relationship Id="rId65" Type="http://schemas.openxmlformats.org/officeDocument/2006/relationships/hyperlink" Target="http://www.nevo.co.il/law/71723/2a" TargetMode="External"/><Relationship Id="rId66" Type="http://schemas.openxmlformats.org/officeDocument/2006/relationships/hyperlink" Target="http://www.nevo.co.il/law/71723/1a" TargetMode="External"/><Relationship Id="rId67" Type="http://schemas.openxmlformats.org/officeDocument/2006/relationships/hyperlink" Target="http://www.nevo.co.il/law/71723/2b" TargetMode="External"/><Relationship Id="rId68" Type="http://schemas.openxmlformats.org/officeDocument/2006/relationships/hyperlink" Target="http://www.nevo.co.il/law/74386/7.b" TargetMode="External"/><Relationship Id="rId69" Type="http://schemas.openxmlformats.org/officeDocument/2006/relationships/hyperlink" Target="http://www.nevo.co.il/law/74386" TargetMode="External"/><Relationship Id="rId70" Type="http://schemas.openxmlformats.org/officeDocument/2006/relationships/hyperlink" Target="http://www.court.gov.il/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2018-05-09T10:49:00Z</dcterms:created>
  <dc:creator> </dc:creator>
  <dc:description/>
  <cp:keywords/>
  <dc:language>en-IL</dc:language>
  <cp:lastModifiedBy>orly</cp:lastModifiedBy>
  <cp:lastPrinted>2018-05-08T09:21:00Z</cp:lastPrinted>
  <dcterms:modified xsi:type="dcterms:W3CDTF">2018-05-09T10:49:00Z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דן אוסקר למפל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21830258:2;17918473;6080497;5982052;5814012;6244299;17937922;21015139</vt:lpwstr>
  </property>
  <property fmtid="{D5CDD505-2E9C-101B-9397-08002B2CF9AE}" pid="9" name="CITY">
    <vt:lpwstr/>
  </property>
  <property fmtid="{D5CDD505-2E9C-101B-9397-08002B2CF9AE}" pid="10" name="DATE">
    <vt:lpwstr>20180508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אלרון;י' וילנר</vt:lpwstr>
  </property>
  <property fmtid="{D5CDD505-2E9C-101B-9397-08002B2CF9AE}" pid="14" name="LAWLISTTMP1">
    <vt:lpwstr>71723/003;002;002b.a.1;002b.2;002b.a.8:4;001a:2;009.a:5;002a.a.2;002.a;002a:2;002b</vt:lpwstr>
  </property>
  <property fmtid="{D5CDD505-2E9C-101B-9397-08002B2CF9AE}" pid="15" name="LAWLISTTMP2">
    <vt:lpwstr>70301/015:2</vt:lpwstr>
  </property>
  <property fmtid="{D5CDD505-2E9C-101B-9397-08002B2CF9AE}" pid="16" name="LAWLISTTMP3">
    <vt:lpwstr>70320/005:2</vt:lpwstr>
  </property>
  <property fmtid="{D5CDD505-2E9C-101B-9397-08002B2CF9AE}" pid="17" name="LAWLISTTMP4">
    <vt:lpwstr>74386/007.b:2</vt:lpwstr>
  </property>
  <property fmtid="{D5CDD505-2E9C-101B-9397-08002B2CF9AE}" pid="18" name="LAWYER">
    <vt:lpwstr>אבי קרוננברג;מירה אמסלם בית און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הסגרה</vt:lpwstr>
  </property>
  <property fmtid="{D5CDD505-2E9C-101B-9397-08002B2CF9AE}" pid="30" name="NOSE110">
    <vt:lpwstr/>
  </property>
  <property fmtid="{D5CDD505-2E9C-101B-9397-08002B2CF9AE}" pid="31" name="NOSE12">
    <vt:lpwstr>הסגרה</vt:lpwstr>
  </property>
  <property fmtid="{D5CDD505-2E9C-101B-9397-08002B2CF9AE}" pid="32" name="NOSE13">
    <vt:lpwstr>הסגרה</vt:lpwstr>
  </property>
  <property fmtid="{D5CDD505-2E9C-101B-9397-08002B2CF9AE}" pid="33" name="NOSE14">
    <vt:lpwstr>הסגרה</vt:lpwstr>
  </property>
  <property fmtid="{D5CDD505-2E9C-101B-9397-08002B2CF9AE}" pid="34" name="NOSE15">
    <vt:lpwstr>הסגרה</vt:lpwstr>
  </property>
  <property fmtid="{D5CDD505-2E9C-101B-9397-08002B2CF9AE}" pid="35" name="NOSE16">
    <vt:lpwstr>משפט בינלאומי פומבי</vt:lpwstr>
  </property>
  <property fmtid="{D5CDD505-2E9C-101B-9397-08002B2CF9AE}" pid="36" name="NOSE17">
    <vt:lpwstr>משפט בינלאומי פומבי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28;28;28;28;28;56;56</vt:lpwstr>
  </property>
  <property fmtid="{D5CDD505-2E9C-101B-9397-08002B2CF9AE}" pid="40" name="NOSE21">
    <vt:lpwstr>הכרזה כבר-הסגרה</vt:lpwstr>
  </property>
  <property fmtid="{D5CDD505-2E9C-101B-9397-08002B2CF9AE}" pid="41" name="NOSE210">
    <vt:lpwstr/>
  </property>
  <property fmtid="{D5CDD505-2E9C-101B-9397-08002B2CF9AE}" pid="42" name="NOSE22">
    <vt:lpwstr>הכרזה כבר-הסגרה</vt:lpwstr>
  </property>
  <property fmtid="{D5CDD505-2E9C-101B-9397-08002B2CF9AE}" pid="43" name="NOSE23">
    <vt:lpwstr>תנאי הסגרה</vt:lpwstr>
  </property>
  <property fmtid="{D5CDD505-2E9C-101B-9397-08002B2CF9AE}" pid="44" name="NOSE24">
    <vt:lpwstr>תנאי הסגרה</vt:lpwstr>
  </property>
  <property fmtid="{D5CDD505-2E9C-101B-9397-08002B2CF9AE}" pid="45" name="NOSE25">
    <vt:lpwstr>סייגים להסגרה</vt:lpwstr>
  </property>
  <property fmtid="{D5CDD505-2E9C-101B-9397-08002B2CF9AE}" pid="46" name="NOSE26">
    <vt:lpwstr>הסגרה</vt:lpwstr>
  </property>
  <property fmtid="{D5CDD505-2E9C-101B-9397-08002B2CF9AE}" pid="47" name="NOSE27">
    <vt:lpwstr>הסגרה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605;605;614;614;610;1076;1076</vt:lpwstr>
  </property>
  <property fmtid="{D5CDD505-2E9C-101B-9397-08002B2CF9AE}" pid="51" name="NOSE31">
    <vt:lpwstr>הראיות הנדרשות</vt:lpwstr>
  </property>
  <property fmtid="{D5CDD505-2E9C-101B-9397-08002B2CF9AE}" pid="52" name="NOSE310">
    <vt:lpwstr/>
  </property>
  <property fmtid="{D5CDD505-2E9C-101B-9397-08002B2CF9AE}" pid="53" name="NOSE32">
    <vt:lpwstr>עקרון ההדדיות</vt:lpwstr>
  </property>
  <property fmtid="{D5CDD505-2E9C-101B-9397-08002B2CF9AE}" pid="54" name="NOSE33">
    <vt:lpwstr>סייגים להסגרה</vt:lpwstr>
  </property>
  <property fmtid="{D5CDD505-2E9C-101B-9397-08002B2CF9AE}" pid="55" name="NOSE34">
    <vt:lpwstr>תשתית ראייתית</vt:lpwstr>
  </property>
  <property fmtid="{D5CDD505-2E9C-101B-9397-08002B2CF9AE}" pid="56" name="NOSE35">
    <vt:lpwstr>תקנת הציבור</vt:lpwstr>
  </property>
  <property fmtid="{D5CDD505-2E9C-101B-9397-08002B2CF9AE}" pid="57" name="NOSE36">
    <vt:lpwstr>תנאים להסגרה</vt:lpwstr>
  </property>
  <property fmtid="{D5CDD505-2E9C-101B-9397-08002B2CF9AE}" pid="58" name="NOSE37">
    <vt:lpwstr>הדדיות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4203;4205;4231;4232;4221;6669;6666</vt:lpwstr>
  </property>
  <property fmtid="{D5CDD505-2E9C-101B-9397-08002B2CF9AE}" pid="62" name="PADIDATE">
    <vt:lpwstr>20180509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8304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410120180508</vt:lpwstr>
  </property>
  <property fmtid="{D5CDD505-2E9C-101B-9397-08002B2CF9AE}" pid="72" name="TYPE_N_DATE">
    <vt:lpwstr>41020180508</vt:lpwstr>
  </property>
  <property fmtid="{D5CDD505-2E9C-101B-9397-08002B2CF9AE}" pid="73" name="VOLUME">
    <vt:lpwstr/>
  </property>
  <property fmtid="{D5CDD505-2E9C-101B-9397-08002B2CF9AE}" pid="74" name="WORDNUMPAGES">
    <vt:lpwstr>16</vt:lpwstr>
  </property>
</Properties>
</file>