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8320/21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27625-02-21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רוני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זלושינסקי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 החמיר את עונש המאסר בפועל שהוטל על אדם שהורשע בעבירות נשק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סוג הנשק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נשק תקני ארוך ולמדיניות החמרת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ענישה שהרף המינימלי שלו עומד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נמוך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העונש שהושת על 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בהינתן העובדה שהיה נתון במעצר לתקופה של </w:t>
      </w:r>
      <w:r>
        <w:rPr>
          <w:rFonts w:cs="Times New Roman" w:ascii="Times New Roman" w:hAnsi="Times New Roman"/>
          <w:spacing w:val="0"/>
          <w:szCs w:val="26"/>
        </w:rPr>
        <w:t>80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הולם את המעשים שבוצעו על ידו ומקל עמו באופן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הושתו על המשיב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ומאסר על תנאי של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למשך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לבל יעבור כל עבירת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הסתיר את הנשק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נשק דמוי רובה סער </w:t>
      </w:r>
      <w:r>
        <w:rPr>
          <w:rFonts w:cs="Times New Roman" w:ascii="Times New Roman" w:hAnsi="Times New Roman"/>
          <w:spacing w:val="0"/>
          <w:sz w:val="24"/>
          <w:szCs w:val="26"/>
        </w:rPr>
        <w:t>M-16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לירות ולהמית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אביזרי הנשק והתחמושת בחדר השינה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מספר ימים לאחר מכן 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הוציא את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ניקה את 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פירק והרכיב 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הכניס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מחסנית ריקה ודרך 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מעולם בעל רישיון להחזיק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 בהסכמת השופטים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זו דרכה של ערכאת הערעור להתערב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בקביעת מתחם העונש ההולם נתון לערכאה הדיונית שיקול דעת 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וערכאת הערעור לא תתערב בו אם העונש שנגזר בסופו של דבר הולם את חומרת המעשה שנעשה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 היבטים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 הן מבחינת קביעת מתחם הענישה והן מבחינת העונש שהוטל בסופו של דבר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עם המשיב יתר על המידה באופן המצדיק התערבות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במילים על אודות החומרה הנלווית לעבירות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מסוג זה הפכו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מכת 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מכה זו מצריכה מענה הולם בדמות ענישה מחמירה של הטלת עונשי מאסר משמעותיים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מצויים אנו לעת הזאת במצב חירום של ממש בעניין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בכדי נתקבל עתה תיקון ל</w:t>
      </w:r>
      <w:hyperlink r:id="rId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תיקון 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</w:rPr>
        <w:t>140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הוראת 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שלא חל בענייננו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הקובע עונשי מינימום לעבירות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כפועל יוצא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ועם העלאת רף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 גם מתחם עונש המאסר הנכון והראוי בעבירות מעין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מנעד מתחמי הענישה הינו 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הם מושפעים מנסיבות רבות הקשורות בביצוע העבירה בכל מקרה ומקרה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מיקומו של הנאשם בתוך המתחם מושפע ממכלול נסיבות שאינן קשורות בנסיבות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זה הצטברה פסיקה רבה גם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לנסיבות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סוג הנשק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נשק תקני ארוך ולמדיניות החמרת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סבור כי מתחם ענישה שהרף המינימלי שלו עומד על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נמוך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העונש שהושת על המשיב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בהינתן העובדה שהיה נתון במעצר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הולם את המעשים שבוצעו על ידו ומקל עמו באופן 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בהתחשב במכלול הנסיבות לקולא שמנה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 זו מהעונש המתאים בנסיבות העניין מצדיקה כאמור את התערבותו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בכך שגם במקרה שערכאת הערעור מתערבת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היא עושה כן תוך מיצוי הדין עם הנאשם הוחלט לקבל את הערעור ולהעמיד את עונש המאסר בפועל על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בניכוי ימי מעצרו ולהותיר את המאסר על תנאי שהושת על מכונו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27625-02-21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 w:cs="FrankRuehl"/>
          <w:sz w:val="28"/>
          <w:sz w:val="28"/>
          <w:rtl w:val="true"/>
        </w:rPr>
        <w:t>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הודה והורשע במסגרת הסדר טיעון בכתב אישום </w:t>
      </w:r>
      <w:r>
        <w:rPr>
          <w:rFonts w:ascii="FrankRuehl" w:hAnsi="FrankRuehl" w:cs="FrankRuehl"/>
          <w:sz w:val="28"/>
          <w:sz w:val="28"/>
          <w:rtl w:val="true"/>
        </w:rPr>
        <w:t xml:space="preserve">מתוקן </w:t>
      </w:r>
      <w:r>
        <w:rPr>
          <w:rFonts w:ascii="FrankRuehl" w:hAnsi="FrankRuehl" w:cs="FrankRuehl"/>
          <w:sz w:val="28"/>
          <w:sz w:val="28"/>
          <w:rtl w:val="true"/>
        </w:rPr>
        <w:t>הכולל עביר</w:t>
      </w:r>
      <w:r>
        <w:rPr>
          <w:rFonts w:ascii="FrankRuehl" w:hAnsi="FrankRuehl" w:cs="FrankRuehl"/>
          <w:sz w:val="28"/>
          <w:sz w:val="28"/>
          <w:rtl w:val="true"/>
        </w:rPr>
        <w:t>ה</w:t>
      </w:r>
      <w:r>
        <w:rPr>
          <w:rFonts w:ascii="FrankRuehl" w:hAnsi="FrankRuehl" w:cs="FrankRuehl"/>
          <w:sz w:val="28"/>
          <w:sz w:val="28"/>
          <w:rtl w:val="true"/>
        </w:rPr>
        <w:t xml:space="preserve"> של החזקת נשק 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 xml:space="preserve">אביזרי תחמושת 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144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רישא וסיפא ל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התשל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ז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1977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על פי עובדות כתב האישום </w:t>
      </w:r>
      <w:r>
        <w:rPr>
          <w:rFonts w:ascii="FrankRuehl" w:hAnsi="FrankRuehl" w:cs="FrankRuehl"/>
          <w:sz w:val="28"/>
          <w:sz w:val="28"/>
          <w:rtl w:val="true"/>
        </w:rPr>
        <w:t>המתוקן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הוביל ונשא לביתו שבענתא החדשה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כשלושה שבועות עובר ליום </w:t>
      </w:r>
      <w:r>
        <w:rPr>
          <w:rFonts w:cs="FrankRuehl" w:ascii="FrankRuehl" w:hAnsi="FrankRuehl"/>
          <w:sz w:val="28"/>
        </w:rPr>
        <w:t>2.2.21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נשק דמוי רובה סער </w:t>
      </w:r>
      <w:r>
        <w:rPr>
          <w:szCs w:val="24"/>
        </w:rPr>
        <w:t>M-16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שבכוחו</w:t>
      </w:r>
      <w:r>
        <w:rPr>
          <w:rFonts w:ascii="FrankRuehl" w:hAnsi="FrankRuehl" w:cs="FrankRuehl"/>
          <w:sz w:val="28"/>
          <w:sz w:val="28"/>
          <w:rtl w:val="true"/>
        </w:rPr>
        <w:t xml:space="preserve"> לירות ולהמית אדם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הרובה הכיל חלקים של רובה סער </w:t>
      </w:r>
      <w:r>
        <w:rPr>
          <w:szCs w:val="24"/>
        </w:rPr>
        <w:t>M-16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תקני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ביניהם מכלול וקנה רובה בקליבר </w:t>
      </w:r>
      <w:r>
        <w:rPr>
          <w:rFonts w:cs="FrankRuehl" w:ascii="FrankRuehl" w:hAnsi="FrankRuehl"/>
          <w:sz w:val="28"/>
        </w:rPr>
        <w:t>5.56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מ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כמו כן נשא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מחסניות שחלקן </w:t>
      </w:r>
      <w:r>
        <w:rPr>
          <w:rFonts w:ascii="FrankRuehl" w:hAnsi="FrankRuehl" w:cs="FrankRuehl"/>
          <w:sz w:val="28"/>
          <w:sz w:val="28"/>
          <w:rtl w:val="true"/>
        </w:rPr>
        <w:t>הכילו</w:t>
      </w:r>
      <w:r>
        <w:rPr>
          <w:rFonts w:ascii="FrankRuehl" w:hAnsi="FrankRuehl" w:cs="FrankRuehl"/>
          <w:sz w:val="28"/>
          <w:sz w:val="28"/>
          <w:rtl w:val="true"/>
        </w:rPr>
        <w:t xml:space="preserve"> תחמושת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מיכל של תרסיס המכיל שמן לנשק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קת פלסטיק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קופסאות כדורי תחמושת </w:t>
      </w:r>
      <w:r>
        <w:rPr>
          <w:rFonts w:cs="FrankRuehl" w:ascii="FrankRuehl" w:hAnsi="FrankRuehl"/>
          <w:sz w:val="28"/>
        </w:rPr>
        <w:t>5.56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מ המכילות בסך הכ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 xml:space="preserve">ל </w:t>
      </w:r>
      <w:r>
        <w:rPr>
          <w:rFonts w:cs="FrankRuehl" w:ascii="FrankRuehl" w:hAnsi="FrankRuehl"/>
          <w:sz w:val="28"/>
        </w:rPr>
        <w:t>60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כדורים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 w:cs="FrankRuehl"/>
          <w:sz w:val="28"/>
          <w:sz w:val="28"/>
          <w:rtl w:val="true"/>
        </w:rPr>
        <w:t>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הסתיר את הנשק ואת אביזרי הנשק והתחמושת בחדר השינה שלו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מספר ימים לאחר מכן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הוציא את הנשק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ניקה את קנה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פירק והרכיב א</w:t>
      </w:r>
      <w:r>
        <w:rPr>
          <w:rFonts w:ascii="FrankRuehl" w:hAnsi="FrankRuehl" w:cs="FrankRuehl"/>
          <w:sz w:val="28"/>
          <w:sz w:val="28"/>
          <w:rtl w:val="true"/>
        </w:rPr>
        <w:t>ותו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הכניס </w:t>
      </w:r>
      <w:r>
        <w:rPr>
          <w:rFonts w:ascii="FrankRuehl" w:hAnsi="FrankRuehl" w:cs="FrankRuehl"/>
          <w:sz w:val="28"/>
          <w:sz w:val="28"/>
          <w:rtl w:val="true"/>
        </w:rPr>
        <w:t xml:space="preserve">אליו </w:t>
      </w:r>
      <w:r>
        <w:rPr>
          <w:rFonts w:ascii="FrankRuehl" w:hAnsi="FrankRuehl" w:cs="FrankRuehl"/>
          <w:sz w:val="28"/>
          <w:sz w:val="28"/>
          <w:rtl w:val="true"/>
        </w:rPr>
        <w:t>מחסנית ריקה ודרך אותו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לא היה מעולם בעל רישיון להחזיק בנשק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 w:cs="FrankRuehl"/>
          <w:sz w:val="28"/>
          <w:sz w:val="28"/>
          <w:rtl w:val="true"/>
        </w:rPr>
        <w:t>בטיעוני הצדדים לעונש טענה המערערת כי מת</w:t>
      </w:r>
      <w:r>
        <w:rPr>
          <w:rFonts w:ascii="FrankRuehl" w:hAnsi="FrankRuehl" w:cs="FrankRuehl"/>
          <w:sz w:val="28"/>
          <w:sz w:val="28"/>
          <w:rtl w:val="true"/>
        </w:rPr>
        <w:t>ח</w:t>
      </w:r>
      <w:r>
        <w:rPr>
          <w:rFonts w:ascii="FrankRuehl" w:hAnsi="FrankRuehl" w:cs="FrankRuehl"/>
          <w:sz w:val="28"/>
          <w:sz w:val="28"/>
          <w:rtl w:val="true"/>
        </w:rPr>
        <w:t xml:space="preserve">ם העונש ההולם במקרה זה נע בין </w:t>
      </w:r>
      <w:r>
        <w:rPr>
          <w:rFonts w:cs="FrankRuehl" w:ascii="FrankRuehl" w:hAnsi="FrankRuehl"/>
          <w:sz w:val="28"/>
        </w:rPr>
        <w:t>2.5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לבין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מאחר שהמשיב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הודה ולקח אחריות</w:t>
      </w:r>
      <w:r>
        <w:rPr>
          <w:rFonts w:ascii="FrankRuehl" w:hAnsi="FrankRuehl" w:cs="FrankRuehl"/>
          <w:sz w:val="28"/>
          <w:sz w:val="28"/>
          <w:rtl w:val="true"/>
        </w:rPr>
        <w:t xml:space="preserve"> על מעשיו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חסך זמן </w:t>
      </w:r>
      <w:r>
        <w:rPr>
          <w:rFonts w:ascii="FrankRuehl" w:hAnsi="FrankRuehl" w:cs="FrankRuehl"/>
          <w:sz w:val="28"/>
          <w:sz w:val="28"/>
          <w:rtl w:val="true"/>
        </w:rPr>
        <w:t xml:space="preserve">שיפוטי </w:t>
      </w:r>
      <w:r>
        <w:rPr>
          <w:rFonts w:ascii="FrankRuehl" w:hAnsi="FrankRuehl" w:cs="FrankRuehl"/>
          <w:sz w:val="28"/>
          <w:sz w:val="28"/>
          <w:rtl w:val="true"/>
        </w:rPr>
        <w:t>והביע חרטה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וכן בשל עברו הפלילי הקל </w:t>
      </w:r>
      <w:r>
        <w:rPr>
          <w:rFonts w:ascii="FrankRuehl" w:hAnsi="FrankRuehl" w:cs="FrankRuehl"/>
          <w:sz w:val="28"/>
          <w:sz w:val="28"/>
          <w:rtl w:val="true"/>
        </w:rPr>
        <w:t xml:space="preserve">וממצאי </w:t>
      </w:r>
      <w:r>
        <w:rPr>
          <w:rFonts w:ascii="FrankRuehl" w:hAnsi="FrankRuehl" w:cs="FrankRuehl"/>
          <w:sz w:val="28"/>
          <w:sz w:val="28"/>
          <w:rtl w:val="true"/>
        </w:rPr>
        <w:t>ותסקיר שירות המבחן שהוזמן בעניינו המלמד על ניהול חיים נורמטיביים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נטען כי יש למקם את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בחלקו התחתון של מתחם הענישה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לפיכך ביקשה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המערערת </w:t>
      </w:r>
      <w:r>
        <w:rPr>
          <w:rFonts w:ascii="FrankRuehl" w:hAnsi="FrankRuehl" w:cs="FrankRuehl"/>
          <w:sz w:val="28"/>
          <w:sz w:val="28"/>
          <w:rtl w:val="true"/>
        </w:rPr>
        <w:t>לגזור על</w:t>
      </w:r>
      <w:r>
        <w:rPr>
          <w:rFonts w:ascii="FrankRuehl" w:hAnsi="FrankRuehl" w:cs="FrankRuehl"/>
          <w:sz w:val="28"/>
          <w:sz w:val="28"/>
          <w:rtl w:val="true"/>
        </w:rPr>
        <w:t xml:space="preserve">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עונש מאסר </w:t>
      </w:r>
      <w:r>
        <w:rPr>
          <w:rFonts w:ascii="FrankRuehl" w:hAnsi="FrankRuehl" w:cs="FrankRuehl"/>
          <w:sz w:val="28"/>
          <w:sz w:val="28"/>
          <w:rtl w:val="true"/>
        </w:rPr>
        <w:t xml:space="preserve">בפועל </w:t>
      </w:r>
      <w:r>
        <w:rPr>
          <w:rFonts w:ascii="FrankRuehl" w:hAnsi="FrankRuehl" w:cs="FrankRuehl"/>
          <w:sz w:val="28"/>
          <w:sz w:val="28"/>
          <w:rtl w:val="true"/>
        </w:rPr>
        <w:t>למשך שנתיים וחצי ו</w:t>
      </w:r>
      <w:r>
        <w:rPr>
          <w:rFonts w:ascii="FrankRuehl" w:hAnsi="FrankRuehl" w:cs="FrankRuehl"/>
          <w:sz w:val="28"/>
          <w:sz w:val="28"/>
          <w:rtl w:val="true"/>
        </w:rPr>
        <w:t xml:space="preserve">כן </w:t>
      </w:r>
      <w:r>
        <w:rPr>
          <w:rFonts w:ascii="FrankRuehl" w:hAnsi="FrankRuehl" w:cs="FrankRuehl"/>
          <w:sz w:val="28"/>
          <w:sz w:val="28"/>
          <w:rtl w:val="true"/>
        </w:rPr>
        <w:t>מאסר על תנאי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מנגד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r>
        <w:rPr>
          <w:rFonts w:ascii="FrankRuehl" w:hAnsi="FrankRuehl" w:cs="FrankRuehl"/>
          <w:sz w:val="28"/>
          <w:sz w:val="28"/>
          <w:rtl w:val="true"/>
        </w:rPr>
        <w:t>א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כ</w:t>
      </w:r>
      <w:r>
        <w:rPr>
          <w:rFonts w:ascii="FrankRuehl" w:hAnsi="FrankRuehl" w:cs="FrankRuehl"/>
          <w:sz w:val="28"/>
          <w:sz w:val="28"/>
          <w:rtl w:val="true"/>
        </w:rPr>
        <w:t>וח</w:t>
      </w:r>
      <w:r>
        <w:rPr>
          <w:rFonts w:ascii="FrankRuehl" w:hAnsi="FrankRuehl" w:cs="FrankRuehl"/>
          <w:sz w:val="28"/>
          <w:sz w:val="28"/>
          <w:rtl w:val="true"/>
        </w:rPr>
        <w:t xml:space="preserve"> ה</w:t>
      </w:r>
      <w:r>
        <w:rPr>
          <w:rFonts w:ascii="FrankRuehl" w:hAnsi="FrankRuehl" w:cs="FrankRuehl"/>
          <w:sz w:val="28"/>
          <w:sz w:val="28"/>
          <w:rtl w:val="true"/>
        </w:rPr>
        <w:t>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טען כי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מצא את הנשק</w:t>
      </w:r>
      <w:r>
        <w:rPr>
          <w:rFonts w:ascii="FrankRuehl" w:hAnsi="FrankRuehl" w:cs="FrankRuehl"/>
          <w:sz w:val="28"/>
          <w:sz w:val="28"/>
          <w:rtl w:val="true"/>
        </w:rPr>
        <w:t xml:space="preserve"> שהוא מאולתר ובלתי תקני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ושגיאתו הייתה רק בכך </w:t>
      </w:r>
      <w:r>
        <w:rPr>
          <w:rFonts w:ascii="FrankRuehl" w:hAnsi="FrankRuehl" w:cs="FrankRuehl"/>
          <w:sz w:val="28"/>
          <w:sz w:val="28"/>
          <w:rtl w:val="true"/>
        </w:rPr>
        <w:t>שלא דיווח למשטרה על מציאת הנשק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כמו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rtl w:val="true"/>
        </w:rPr>
        <w:t>נה</w:t>
      </w:r>
      <w:r>
        <w:rPr>
          <w:rFonts w:ascii="FrankRuehl" w:hAnsi="FrankRuehl" w:cs="FrankRuehl"/>
          <w:sz w:val="28"/>
          <w:sz w:val="28"/>
          <w:rtl w:val="true"/>
        </w:rPr>
        <w:t xml:space="preserve"> חשיבות רבה להוד</w:t>
      </w:r>
      <w:r>
        <w:rPr>
          <w:rFonts w:ascii="FrankRuehl" w:hAnsi="FrankRuehl" w:cs="FrankRuehl"/>
          <w:sz w:val="28"/>
          <w:sz w:val="28"/>
          <w:rtl w:val="true"/>
        </w:rPr>
        <w:t>א</w:t>
      </w:r>
      <w:r>
        <w:rPr>
          <w:rFonts w:ascii="FrankRuehl" w:hAnsi="FrankRuehl" w:cs="FrankRuehl"/>
          <w:sz w:val="28"/>
          <w:sz w:val="28"/>
          <w:rtl w:val="true"/>
        </w:rPr>
        <w:t>תו של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וללקיחת האחריות מצדו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אדם נורמטיבי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נשוי ואב 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בנות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בעל רצף תעסוקתי המפרנס את 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ללא הרשעות קודמות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מלבד הרשעה בעבירה של צייד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rtl w:val="true"/>
        </w:rPr>
        <w:t xml:space="preserve">וגם שירות המבחן המליץ על עונש של עבודות שירות 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ascii="FrankRuehl" w:hAnsi="FrankRuehl" w:cs="FrankRuehl"/>
          <w:sz w:val="28"/>
          <w:sz w:val="28"/>
          <w:rtl w:val="true"/>
        </w:rPr>
        <w:t>צו מבחן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על כן ביקש בא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כוח המשיב לאמץ</w:t>
      </w:r>
      <w:r>
        <w:rPr>
          <w:rFonts w:ascii="FrankRuehl" w:hAnsi="FrankRuehl" w:cs="FrankRuehl"/>
          <w:sz w:val="28"/>
          <w:sz w:val="28"/>
          <w:rtl w:val="true"/>
        </w:rPr>
        <w:t xml:space="preserve"> את המלצת שירות המבחן ולהטיל על 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עונש של עבודות שירות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המשיב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עצמו הביע חרטה על המעשים וצער על כך שלא התקשר לדווח למשטרה על מציאת הנשק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בגזר דין חלקי מיום </w:t>
      </w:r>
      <w:r>
        <w:rPr>
          <w:rFonts w:cs="FrankRuehl" w:ascii="FrankRuehl" w:hAnsi="FrankRuehl"/>
          <w:sz w:val="28"/>
        </w:rPr>
        <w:t>14.9.2021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עמד בית המשפט המחוזי על חומרת עבירות הנשק והסכנה הנשקפת מהן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כן עמד בית המשפט על שכיחות עבירות הנשק כיום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על </w:t>
      </w:r>
      <w:r>
        <w:rPr>
          <w:rFonts w:ascii="FrankRuehl" w:hAnsi="FrankRuehl" w:cs="FrankRuehl"/>
          <w:sz w:val="28"/>
          <w:sz w:val="28"/>
          <w:rtl w:val="true"/>
        </w:rPr>
        <w:t>הפגיעות הפיזיות ואבדן החיים</w:t>
      </w:r>
      <w:r>
        <w:rPr>
          <w:rFonts w:ascii="FrankRuehl" w:hAnsi="FrankRuehl" w:cs="FrankRuehl"/>
          <w:sz w:val="28"/>
          <w:sz w:val="28"/>
          <w:rtl w:val="true"/>
        </w:rPr>
        <w:t xml:space="preserve"> שהם פועל יוצא מ</w:t>
      </w:r>
      <w:r>
        <w:rPr>
          <w:rFonts w:ascii="FrankRuehl" w:hAnsi="FrankRuehl" w:cs="FrankRuehl"/>
          <w:sz w:val="28"/>
          <w:sz w:val="28"/>
          <w:rtl w:val="true"/>
        </w:rPr>
        <w:t xml:space="preserve">אירועי הירי התכופים </w:t>
      </w:r>
      <w:r>
        <w:rPr>
          <w:rFonts w:ascii="FrankRuehl" w:hAnsi="FrankRuehl" w:cs="FrankRuehl"/>
          <w:sz w:val="28"/>
          <w:sz w:val="28"/>
          <w:rtl w:val="true"/>
        </w:rPr>
        <w:t xml:space="preserve">ועל הצורך בהחמרה בענישה </w:t>
      </w:r>
      <w:r>
        <w:rPr>
          <w:rFonts w:ascii="FrankRuehl" w:hAnsi="FrankRuehl" w:cs="FrankRuehl"/>
          <w:sz w:val="28"/>
          <w:sz w:val="28"/>
          <w:rtl w:val="true"/>
        </w:rPr>
        <w:t xml:space="preserve">בעבירות </w:t>
      </w:r>
      <w:r>
        <w:rPr>
          <w:rFonts w:ascii="FrankRuehl" w:hAnsi="FrankRuehl" w:cs="FrankRuehl"/>
          <w:sz w:val="28"/>
          <w:sz w:val="28"/>
          <w:rtl w:val="true"/>
        </w:rPr>
        <w:t>מעין אלו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בית המשפט גם התייחס לטענת המשיב כי רק מצא את הנשק ואביזריו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לבסוף ולאחר סקירת הפסיקה הנוהגת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נקבע מתחם ענישה </w:t>
      </w:r>
      <w:r>
        <w:rPr>
          <w:rFonts w:ascii="FrankRuehl" w:hAnsi="FrankRuehl" w:cs="FrankRuehl"/>
          <w:sz w:val="28"/>
          <w:sz w:val="28"/>
          <w:rtl w:val="true"/>
        </w:rPr>
        <w:t xml:space="preserve">הנע בין </w:t>
      </w:r>
      <w:r>
        <w:rPr>
          <w:rFonts w:cs="FrankRuehl" w:ascii="FrankRuehl" w:hAnsi="FrankRuehl"/>
          <w:sz w:val="28"/>
        </w:rPr>
        <w:t>24-6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חודשי מאסר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צוין </w:t>
      </w:r>
      <w:r>
        <w:rPr>
          <w:rFonts w:ascii="FrankRuehl" w:hAnsi="FrankRuehl" w:cs="FrankRuehl"/>
          <w:sz w:val="28"/>
          <w:sz w:val="28"/>
          <w:rtl w:val="true"/>
        </w:rPr>
        <w:t>כי על עבירות נשק יש להשית בדרך כלל מאסר מאחורי סורג ובריח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ורק במקרים חריגים י</w:t>
      </w:r>
      <w:r>
        <w:rPr>
          <w:rFonts w:ascii="FrankRuehl" w:hAnsi="FrankRuehl" w:cs="FrankRuehl"/>
          <w:sz w:val="28"/>
          <w:sz w:val="28"/>
          <w:rtl w:val="true"/>
        </w:rPr>
        <w:t>רוצה</w:t>
      </w:r>
      <w:r>
        <w:rPr>
          <w:rFonts w:ascii="FrankRuehl" w:hAnsi="FrankRuehl" w:cs="FrankRuehl"/>
          <w:sz w:val="28"/>
          <w:sz w:val="28"/>
          <w:rtl w:val="true"/>
        </w:rPr>
        <w:t xml:space="preserve"> המאסר בעבודות שירות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ברם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 אף הכלל האמור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סקירת הפסיקה מעלה כי במקרים לא מעטים נמצא כי התקיימו נסיבות המצדיקות ריצוי המאסר בעבודות שירות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בית המשפט התחשב במצבו המשפחתי של המשיב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בעברו הפלילי הכמעט נקי ובתסקיר שירות המבחן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הממקמים את עונשו של המשיב </w:t>
      </w:r>
      <w:r>
        <w:rPr>
          <w:rFonts w:ascii="FrankRuehl" w:hAnsi="FrankRuehl" w:cs="FrankRuehl"/>
          <w:sz w:val="28"/>
          <w:sz w:val="28"/>
          <w:rtl w:val="true"/>
        </w:rPr>
        <w:t>בתחתית מתחם הענישה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כמו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הואיל והמשיב שהה במעצר מלא למשך תקופה של </w:t>
      </w:r>
      <w:r>
        <w:rPr>
          <w:rFonts w:cs="FrankRuehl" w:ascii="FrankRuehl" w:hAnsi="FrankRuehl"/>
          <w:sz w:val="28"/>
        </w:rPr>
        <w:t>80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יום בטרם שוחרר למעצר בית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סבר בית המשפט </w:t>
      </w:r>
      <w:r>
        <w:rPr>
          <w:rFonts w:ascii="FrankRuehl" w:hAnsi="FrankRuehl" w:cs="FrankRuehl"/>
          <w:sz w:val="28"/>
          <w:sz w:val="28"/>
          <w:rtl w:val="true"/>
        </w:rPr>
        <w:t>ש</w:t>
      </w:r>
      <w:r>
        <w:rPr>
          <w:rFonts w:ascii="FrankRuehl" w:hAnsi="FrankRuehl" w:cs="FrankRuehl"/>
          <w:sz w:val="28"/>
          <w:sz w:val="28"/>
          <w:rtl w:val="true"/>
        </w:rPr>
        <w:t>יש ב</w:t>
      </w:r>
      <w:r>
        <w:rPr>
          <w:rFonts w:ascii="FrankRuehl" w:hAnsi="FrankRuehl" w:cs="FrankRuehl"/>
          <w:sz w:val="28"/>
          <w:sz w:val="28"/>
          <w:rtl w:val="true"/>
        </w:rPr>
        <w:t>תקופה זו כדי ליצור את ההרתעה ולהשיג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במידה רבה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את תכלית הענישה של מאסר בפועל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על כן המשיב הופנה </w:t>
      </w:r>
      <w:r>
        <w:rPr>
          <w:rFonts w:ascii="FrankRuehl" w:hAnsi="FrankRuehl" w:cs="FrankRuehl"/>
          <w:sz w:val="28"/>
          <w:sz w:val="28"/>
          <w:rtl w:val="true"/>
        </w:rPr>
        <w:t>לממונה על עבודות השירות לצורך קבלת חוות דעת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ברם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בדיון שהתקיים ביום </w:t>
      </w:r>
      <w:r>
        <w:rPr>
          <w:rFonts w:cs="FrankRuehl" w:ascii="FrankRuehl" w:hAnsi="FrankRuehl"/>
          <w:sz w:val="28"/>
        </w:rPr>
        <w:t>31.10.2021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ביקש המשיב לרצות את עונשו במאסר למשך תקופה של </w:t>
      </w:r>
      <w:r>
        <w:rPr>
          <w:rFonts w:cs="FrankRuehl" w:ascii="FrankRuehl" w:hAnsi="FrankRuehl"/>
          <w:sz w:val="28"/>
        </w:rPr>
        <w:t>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חודשים חלף ריצוי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חודשים בעבודות שירות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בית המשפט נעתר לבקשתו וגזר עליו את העונשים שפורטו לעיל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 w:cs="FrankRuehl"/>
          <w:sz w:val="28"/>
          <w:sz w:val="28"/>
          <w:rtl w:val="true"/>
        </w:rPr>
        <w:t>מכאן נולד ערעור המערערת על קולת העונש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לטענת המערערת עונשו של המשיב מקל יתר על המידה נוכח חומרת העבירות שביצע ואינו נותן משקל ראוי לשיקולי הלימה והרתעה המקבלים מעמד בכורה בעבירות נשק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עונשו של המשיב אף אינו מתיישב עם מדיניות ההחמרה בה נוקט בית המשפט בעבירות אלו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בפרט בעת האחרונה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על רקע התפשטות התופעה הקשה של החזקת נשק בלתי חוקית ושימוש בו בציבור בכלל ובמגזר הערבי בפרט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המערערת גם הלינה על כך שמתחם העונש ההולם שקבע בית המשפט המחוזי נמוך מידי ביחס לעוצמת הפגיעה בערכים המוגנים בעבירות הנשק ולסיכון הרב הנשקף מהעבירות שביצע המשיב על נסיבותיהן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במסגרת קביעת העונש ניתן משקל כבד מידי לנסיבותיו האישיות של המשיב ולנסיבות החזקת הנשק על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 xml:space="preserve">ידו </w:t>
      </w:r>
      <w:r>
        <w:rPr>
          <w:rFonts w:ascii="FrankRuehl" w:hAnsi="FrankRuehl" w:cs="FrankRuehl"/>
          <w:sz w:val="28"/>
          <w:sz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rtl w:val="true"/>
        </w:rPr>
        <w:t xml:space="preserve"> שכלל אינן רלוונטיות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לעומת זאת לא ניתן משקל ראוי לשיקולי הרתעה של היחיד והרבים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" w:hAnsi="FrankRuehl" w:cs="FrankRuehl"/>
          <w:sz w:val="28"/>
          <w:sz w:val="28"/>
          <w:rtl w:val="true"/>
        </w:rPr>
        <w:t>מנגד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בא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 w:cs="FrankRuehl"/>
          <w:sz w:val="28"/>
          <w:sz w:val="28"/>
          <w:rtl w:val="true"/>
        </w:rPr>
        <w:t>כוח המשיב טען בתחילת טיעוניו כי ראוי היה שיוכן תסקיר שירות מבחן עדכני על אודות המשיב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כפי שנהוג בדרך כלל בבית משפט זה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דא עקא מפאת הזמן הקצר שחלף בין הגשת הערעור לבין קביעת הדיון בו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לא עלה בידי שירות המבחן להכין תסקיר עדכני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עניין זה אינו דבר של מה בכך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מכיוון שיש לדון כל מקרה לפי נסיבותיו המיוחדות ויש לדון בעניינו של כל נאשם באופן פרטני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במקרה זה מדובר באדם נורמטיבי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שעבד באופן רציף לפרנסתו בחברת החשמל במזרח ירושלים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וכעת עובד במאפייה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 xml:space="preserve">סיים </w:t>
      </w:r>
      <w:r>
        <w:rPr>
          <w:rFonts w:cs="FrankRuehl" w:ascii="FrankRuehl" w:hAnsi="FrankRuehl"/>
          <w:sz w:val="28"/>
        </w:rPr>
        <w:t>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שנות לימוד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בעל משפחה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rtl w:val="true"/>
        </w:rPr>
        <w:t>ולמעט ביצוע עבירת צייד שאינה קשורה לאישום הנוכחי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אין לו עבר פלילי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tl w:val="true"/>
        </w:rPr>
        <w:t>שירות המבחן ציין כי המשיב לקח אחריות מלאה על מעשיו והמליץ כי יושתו עליו עבודות שירות תוך מתן צו מבחן לשנה</w:t>
      </w:r>
      <w:r>
        <w:rPr>
          <w:rtl w:val="true"/>
        </w:rPr>
        <w:t xml:space="preserve">. </w:t>
      </w:r>
      <w:r>
        <w:rPr>
          <w:rtl w:val="true"/>
        </w:rPr>
        <w:t>לכך יש חשיבות עצומה</w:t>
      </w:r>
      <w:r>
        <w:rPr>
          <w:rtl w:val="true"/>
        </w:rPr>
        <w:t xml:space="preserve">. </w:t>
      </w:r>
      <w:r>
        <w:rPr>
          <w:rtl w:val="true"/>
        </w:rPr>
        <w:t>המשיב פעל בקלות דעת ופזיזות והביע חרטה וצער על כך</w:t>
      </w:r>
      <w:r>
        <w:rPr>
          <w:rtl w:val="true"/>
        </w:rPr>
        <w:t xml:space="preserve">. </w:t>
      </w:r>
      <w:r>
        <w:rPr>
          <w:rtl w:val="true"/>
        </w:rPr>
        <w:t>ההליך המשפטי המחיש למשיב את הטעות שנפלה בהתנהלותו ושירות המבחן המליץ מפורשות שלא להשית עליו מאסר בפועל</w:t>
      </w:r>
      <w:r>
        <w:rPr>
          <w:rtl w:val="true"/>
        </w:rPr>
        <w:t xml:space="preserve">. </w:t>
      </w:r>
      <w:r>
        <w:rPr>
          <w:rtl w:val="true"/>
        </w:rPr>
        <w:t>ביטוי לרצינות המשיב נמצא ברצונו להמיר את ביצוע עבודות השירות לתקופה ארוכה בתקופת מאסר בפועל קצרה יותר</w:t>
      </w:r>
      <w:r>
        <w:rPr>
          <w:rtl w:val="true"/>
        </w:rPr>
        <w:t xml:space="preserve">. </w:t>
      </w:r>
      <w:r>
        <w:rPr>
          <w:rtl w:val="true"/>
        </w:rPr>
        <w:t>זאת על מנת לקצר את המועדים בהם ינותק המשיב משגרת חייו</w:t>
      </w:r>
      <w:r>
        <w:rPr>
          <w:rtl w:val="true"/>
        </w:rPr>
        <w:t xml:space="preserve">. </w:t>
      </w:r>
      <w:r>
        <w:rPr>
          <w:rtl w:val="true"/>
        </w:rPr>
        <w:t>גם בדבר העונש הראוי והמקובל</w:t>
      </w:r>
      <w:r>
        <w:rPr>
          <w:rtl w:val="true"/>
        </w:rPr>
        <w:t xml:space="preserve">, </w:t>
      </w:r>
      <w:r>
        <w:rPr>
          <w:rtl w:val="true"/>
        </w:rPr>
        <w:t>אין תימוכין לכך שיש להחמיר עמו במקרה זה</w:t>
      </w:r>
      <w:r>
        <w:rPr>
          <w:rtl w:val="true"/>
        </w:rPr>
        <w:t xml:space="preserve">, </w:t>
      </w:r>
      <w:r>
        <w:rPr>
          <w:rtl w:val="true"/>
        </w:rPr>
        <w:t>בו מדובר רק באחזקת נשק שהמשיב מצא ללא שימוש בו וללא עבירות נלוות</w:t>
      </w:r>
      <w:r>
        <w:rPr>
          <w:rtl w:val="true"/>
        </w:rPr>
        <w:t xml:space="preserve">. </w:t>
      </w:r>
      <w:r>
        <w:rPr>
          <w:rtl w:val="true"/>
        </w:rPr>
        <w:t>בתוך כך יש לזכור את ההלכה שערכאת הערעור אינה מתערבת בעונש</w:t>
      </w:r>
      <w:r>
        <w:rPr>
          <w:rtl w:val="true"/>
        </w:rPr>
        <w:t xml:space="preserve">, </w:t>
      </w:r>
      <w:r>
        <w:rPr>
          <w:rtl w:val="true"/>
        </w:rPr>
        <w:t>לא לקולא ולא לחומרה</w:t>
      </w:r>
      <w:r>
        <w:rPr>
          <w:rtl w:val="true"/>
        </w:rPr>
        <w:t xml:space="preserve">. </w:t>
      </w:r>
      <w:r>
        <w:rPr>
          <w:rtl w:val="true"/>
        </w:rPr>
        <w:t>מדיניות הענישה בעבירות מסוג זה היא אכן מחמירה</w:t>
      </w:r>
      <w:r>
        <w:rPr>
          <w:rtl w:val="true"/>
        </w:rPr>
        <w:t xml:space="preserve">, </w:t>
      </w:r>
      <w:r>
        <w:rPr>
          <w:rtl w:val="true"/>
        </w:rPr>
        <w:t>אך נסיבות מקרה זה מחייבות שלא להתערב ולהחמיר בעונשו של המשיב</w:t>
      </w:r>
      <w:r>
        <w:rPr>
          <w:rtl w:val="true"/>
        </w:rPr>
        <w:t xml:space="preserve">, </w:t>
      </w:r>
      <w:r>
        <w:rPr>
          <w:rtl w:val="true"/>
        </w:rPr>
        <w:t>זאת גם אם בית המשפט סבור כי העונש שהושת הוא על הצד המקל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בנימוקי הערעור ולאחר שמיעת טענות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להתקבל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אין זו דרכה של ערכאת הערעור להתערב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שהטילה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 xml:space="preserve">כאשר </w:t>
      </w:r>
      <w:r>
        <w:rPr>
          <w:rtl w:val="true"/>
        </w:rPr>
        <w:t>ישנה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 לאחרונה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21.6.2021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23.12.2020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24.3.2021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בקביעת מתחם העונש ההולם נתון לערכאה הדיונית שיקול דעת רחב</w:t>
      </w:r>
      <w:r>
        <w:rPr>
          <w:rtl w:val="true"/>
        </w:rPr>
        <w:t xml:space="preserve">, </w:t>
      </w:r>
      <w:r>
        <w:rPr>
          <w:rtl w:val="true"/>
        </w:rPr>
        <w:t xml:space="preserve">וערכאת הערעור לא תתערב בו אם העונש שנגזר בסופו של דבר הולם את חומרת המעשה שנעשה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12.11.2020</w:t>
      </w:r>
      <w:r>
        <w:rPr>
          <w:rtl w:val="true"/>
        </w:rPr>
        <w:t xml:space="preserve">)). </w:t>
      </w:r>
      <w:r>
        <w:rPr>
          <w:rtl w:val="true"/>
        </w:rPr>
        <w:t>אלא שנראה לי כי בשני היבטים אלו</w:t>
      </w:r>
      <w:r>
        <w:rPr>
          <w:rtl w:val="true"/>
        </w:rPr>
        <w:t xml:space="preserve">, </w:t>
      </w:r>
      <w:r>
        <w:rPr>
          <w:rtl w:val="true"/>
        </w:rPr>
        <w:t>היינו הן מבחינת קביעת מתחם הענישה והן מבחינת העונש שהוטל בסופו של דבר על המשיב</w:t>
      </w:r>
      <w:r>
        <w:rPr>
          <w:rtl w:val="true"/>
        </w:rPr>
        <w:t xml:space="preserve">, </w:t>
      </w:r>
      <w:r>
        <w:rPr>
          <w:rtl w:val="true"/>
        </w:rPr>
        <w:t>הקל בית המשפט המחוזי עם המשיב יתר על המידה באופן המצדיק התערבות בית משפט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הצורך בהחמרה בעבירות נשק עמדתי לאחרונה ממש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tl w:val="true"/>
        </w:rPr>
        <w:t xml:space="preserve">, </w:t>
      </w:r>
      <w:r>
        <w:rPr>
          <w:rtl w:val="true"/>
        </w:rPr>
        <w:t>שם ציינתי את הדברים 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מחאמיד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29.6.2021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29.11.2021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עייאט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2.9.2021</w:t>
      </w:r>
      <w:r>
        <w:rPr>
          <w:rtl w:val="true"/>
        </w:rPr>
        <w:t xml:space="preserve">)).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>ועם העלאת רף הענישה</w:t>
      </w:r>
      <w:r>
        <w:rPr>
          <w:rtl w:val="true"/>
        </w:rPr>
        <w:t xml:space="preserve">, </w:t>
      </w:r>
      <w:r>
        <w:rPr>
          <w:rtl w:val="true"/>
        </w:rPr>
        <w:t>עולה גם מתחם עונש המאסר הנכון והראוי בעבירות מעין אלו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מנעד מתחמי הענישה אשר נקבעו ונקבעים בערכאות הדיוניות הינו רחב</w:t>
      </w:r>
      <w:r>
        <w:rPr>
          <w:rtl w:val="true"/>
        </w:rPr>
        <w:t xml:space="preserve">, </w:t>
      </w:r>
      <w:r>
        <w:rPr>
          <w:rtl w:val="true"/>
        </w:rPr>
        <w:t>שכן הם מושפעים מנסיבות רבות הקשורות בביצוע העבירה בכל מקרה ומקרה</w:t>
      </w:r>
      <w:r>
        <w:rPr>
          <w:rtl w:val="true"/>
        </w:rPr>
        <w:t xml:space="preserve">. </w:t>
      </w:r>
      <w:r>
        <w:rPr>
          <w:rtl w:val="true"/>
        </w:rPr>
        <w:t>כך מיקומו של הנאשם בתוך המתחם מושפע ממכלול נסיבות שאינן קשורות בנסיבות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הצטברה פסיקה רבה גם בבית משפט זה </w:t>
      </w:r>
      <w:r>
        <w:rPr>
          <w:rtl w:val="true"/>
        </w:rPr>
        <w:t>(</w:t>
      </w:r>
      <w:r>
        <w:rPr>
          <w:rtl w:val="true"/>
        </w:rPr>
        <w:t>וראו לדוגמה לאחרונה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אלקיעאן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אלהוזייל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25.8.2020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בשים לב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סוג הנשק </w:t>
      </w:r>
      <w:r>
        <w:rPr>
          <w:rtl w:val="true"/>
        </w:rPr>
        <w:t>–</w:t>
      </w:r>
      <w:r>
        <w:rPr>
          <w:rtl w:val="true"/>
        </w:rPr>
        <w:t xml:space="preserve"> נשק תקני ארוך ולמדיניות החמרת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נראה לי כי מתחם ענישה שהרף המינימלי שלו עומד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, </w:t>
      </w:r>
      <w:r>
        <w:rPr>
          <w:rtl w:val="true"/>
        </w:rPr>
        <w:t>נמוך יתר על המידה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גם העונש שהושת על המשיב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אף בהינתן העובדה שהיה נתון במעצר לתקופה של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אינו הולם את המעשים שבוצעו על ידו ומקל עמו באופן משמעותי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בהתחשב במכלול הנסיבות לקולא שמנה בית המשפט המחוזי ושצוינו לעיל</w:t>
      </w:r>
      <w:r>
        <w:rPr>
          <w:rtl w:val="true"/>
        </w:rPr>
        <w:t xml:space="preserve">. </w:t>
      </w:r>
      <w:r>
        <w:rPr>
          <w:rtl w:val="true"/>
        </w:rPr>
        <w:t>סטייה זו מהעונש המתאים בנסיבות העניין מצדיקה כאמור את התערבותו של בית משפט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ובהתחשב בכך שגם במקרה שערכאת הערעור מתערבת בעונש</w:t>
      </w:r>
      <w:r>
        <w:rPr>
          <w:rtl w:val="true"/>
        </w:rPr>
        <w:t xml:space="preserve">, </w:t>
      </w:r>
      <w:r>
        <w:rPr>
          <w:rtl w:val="true"/>
        </w:rPr>
        <w:t xml:space="preserve">אין היא עושה כן תוך מיצוי הדין עם הנאשם </w:t>
      </w:r>
      <w:r>
        <w:rPr>
          <w:rtl w:val="true"/>
        </w:rPr>
        <w:t>(</w:t>
      </w:r>
      <w:r>
        <w:rPr>
          <w:rtl w:val="true"/>
        </w:rPr>
        <w:t>וראו לאחרונה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8.11.2021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גולאני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28.11.2021</w:t>
      </w:r>
      <w:r>
        <w:rPr>
          <w:rtl w:val="true"/>
        </w:rPr>
        <w:t xml:space="preserve">)), </w:t>
      </w:r>
      <w:r>
        <w:rPr>
          <w:rtl w:val="true"/>
        </w:rPr>
        <w:t xml:space="preserve">אמליץ לחבריי לקבל את הערעור ולהעמיד את עונש המאסר בפועל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 בניכוי ימי מעצרו ולהותיר את המאסר על תנאי שהושת על מכונו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28.12.2021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21083200</w:t>
      </w:r>
      <w:r>
        <w:rPr>
          <w:sz w:val="16"/>
          <w:rtl w:val="true"/>
        </w:rPr>
        <w:t>_</w:t>
      </w:r>
      <w:r>
        <w:rPr>
          <w:sz w:val="16"/>
        </w:rPr>
        <w:t>N01.docx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54678313-8320/21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8320/21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בסילה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9872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39872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7513376" TargetMode="External"/><Relationship Id="rId10" Type="http://schemas.openxmlformats.org/officeDocument/2006/relationships/hyperlink" Target="http://www.nevo.co.il/case/27708542" TargetMode="External"/><Relationship Id="rId11" Type="http://schemas.openxmlformats.org/officeDocument/2006/relationships/hyperlink" Target="http://www.nevo.co.il/case/27603872" TargetMode="External"/><Relationship Id="rId12" Type="http://schemas.openxmlformats.org/officeDocument/2006/relationships/hyperlink" Target="http://www.nevo.co.il/case/26528299" TargetMode="External"/><Relationship Id="rId13" Type="http://schemas.openxmlformats.org/officeDocument/2006/relationships/hyperlink" Target="http://www.nevo.co.il/case/26986954" TargetMode="External"/><Relationship Id="rId14" Type="http://schemas.openxmlformats.org/officeDocument/2006/relationships/hyperlink" Target="http://www.nevo.co.il/case/26789718" TargetMode="External"/><Relationship Id="rId15" Type="http://schemas.openxmlformats.org/officeDocument/2006/relationships/hyperlink" Target="http://www.nevo.co.il/case/27115374" TargetMode="External"/><Relationship Id="rId16" Type="http://schemas.openxmlformats.org/officeDocument/2006/relationships/hyperlink" Target="http://www.nevo.co.il/case/27907602" TargetMode="External"/><Relationship Id="rId17" Type="http://schemas.openxmlformats.org/officeDocument/2006/relationships/hyperlink" Target="http://www.nevo.co.il/case/2720740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7491153" TargetMode="External"/><Relationship Id="rId20" Type="http://schemas.openxmlformats.org/officeDocument/2006/relationships/hyperlink" Target="http://www.nevo.co.il/case/26986974" TargetMode="External"/><Relationship Id="rId21" Type="http://schemas.openxmlformats.org/officeDocument/2006/relationships/hyperlink" Target="http://www.nevo.co.il/case/26913995" TargetMode="External"/><Relationship Id="rId22" Type="http://schemas.openxmlformats.org/officeDocument/2006/relationships/hyperlink" Target="http://www.nevo.co.il/case/25528737" TargetMode="External"/><Relationship Id="rId23" Type="http://schemas.openxmlformats.org/officeDocument/2006/relationships/hyperlink" Target="http://www.nevo.co.il/case/27513365" TargetMode="External"/><Relationship Id="rId24" Type="http://schemas.openxmlformats.org/officeDocument/2006/relationships/hyperlink" Target="http://www.nevo.co.il/case/26978020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2023-04-23T10:11:00Z</dcterms:created>
  <dc:creator>h4</dc:creator>
  <dc:description/>
  <cp:keywords/>
  <dc:language>en-IL</dc:language>
  <cp:lastModifiedBy>hofit</cp:lastModifiedBy>
  <cp:lastPrinted>2021-12-28T09:03:00Z</cp:lastPrinted>
  <dcterms:modified xsi:type="dcterms:W3CDTF">2023-04-23T10:11:00Z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בסילה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27398726:2;27513376;27708542;27603872;26528299;26986954;26789718;27115374;27907602;27207408;27491153;26986974;26913995;25528737;27513365;26978020</vt:lpwstr>
  </property>
  <property fmtid="{D5CDD505-2E9C-101B-9397-08002B2CF9AE}" pid="9" name="CITY">
    <vt:lpwstr/>
  </property>
  <property fmtid="{D5CDD505-2E9C-101B-9397-08002B2CF9AE}" pid="10" name="DATE">
    <vt:lpwstr>20211228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קרא;ד' מינץ</vt:lpwstr>
  </property>
  <property fmtid="{D5CDD505-2E9C-101B-9397-08002B2CF9AE}" pid="14" name="LAWLISTTMP1">
    <vt:lpwstr>70301/144.a</vt:lpwstr>
  </property>
  <property fmtid="{D5CDD505-2E9C-101B-9397-08002B2CF9AE}" pid="15" name="LAWYER">
    <vt:lpwstr>יוסי זילברברג;רוני זלושינסקי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</vt:lpwstr>
  </property>
  <property fmtid="{D5CDD505-2E9C-101B-9397-08002B2CF9AE}" pid="59" name="PADIDATE">
    <vt:lpwstr>20211229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8320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410120211228</vt:lpwstr>
  </property>
  <property fmtid="{D5CDD505-2E9C-101B-9397-08002B2CF9AE}" pid="69" name="TYPE_N_DATE">
    <vt:lpwstr>41020211228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