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8328/18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רז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עמיצור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35048-04-17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5.11.2018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30.05.2019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זהבי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  <w:r>
              <w:rPr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144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334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379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380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5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נדחה ערעור על גז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ד שבמסגרתו הושתו על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בעקבות הרשעתו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בסיס הודאתו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בעבירות אלימות מתוך מניע גזעני כלפי גברים ממוצא ערבי אשר קיימו מפגשים רומנטיים עם נשים יהודיות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מעשים חמורים אלו מחייבים הטלת עונש חמור ומרתיע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לאחר התחשבות בנסיבותיו האישיות של המערער ובחרטתו הכנה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אלימות על רקע לאומני‏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ערעור על גזר דין שבמסגרתו הושתו על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בניכוי ימי מעצרו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וכן מאסר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בעקבות הרשעתו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בסיס הודאתו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בעבירות אלימות מתוך מניע גזעני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העבירות בוצעו על רקע התנגדותו של המערער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שהיה באותה העת בין הגילאים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למפגשים רומנטיים בין גברים ערביים ונשים יהודיות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תקף גברים אלה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ביחד עם חבריו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באמצעות סכין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אלות וכלי תקיפה אחרים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ובכך הסב להם חבלות ופציעות חמורות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גם נזק למכוניותיהם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שטיין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בהסכמת השופטים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מזוז וג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,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ערכאת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תתערב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בעונש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שהוטל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הערכאה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חריגים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סטייה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קיצונית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ממדיניות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הענישה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הנוהגת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נפלה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טעות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מהותית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המקרה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דכאן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איננו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בגדר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אותם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מקרים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חריגים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בגזרו את עונשו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העמיד לנגד עיניו את כל השיקולים הרלבנטיים לעניין העונש והחליט נכון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באשר לטענתו המשפטית של המערער הנוגעת לגישה האינדיווידואלית בענישה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מציין כי </w:t>
      </w:r>
      <w:hyperlink r:id="rId16"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>-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יסוד</w:t>
        </w:r>
        <w:r>
          <w:rPr>
            <w:rStyle w:val="Hyperlink"/>
            <w:rFonts w:cs="Times New Roman;Times New Roman" w:ascii="Times New Roman;Times New Roman" w:hAnsi="Times New Roman;Times New Roman"/>
            <w:spacing w:val="0"/>
            <w:szCs w:val="26"/>
            <w:rtl w:val="true"/>
          </w:rPr>
          <w:t xml:space="preserve">: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כבוד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האדם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spacing w:val="0"/>
            <w:szCs w:val="26"/>
            <w:rtl w:val="true"/>
          </w:rPr>
          <w:t>וחירותו</w:t>
        </w:r>
      </w:hyperlink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איננו בא להגן רק על כבודם וחירותם של עבריינים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חוק יסוד זה בא להגן גם על כבודם של קורבנות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שלעתים קרובות ואף קרובות מדי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נרמס ברגל גסה על ידי העבריינים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המניע הלאומני והגזעני שמתוכו פעל המערער משווה נופך נוסף של חומרה למעשיו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ברי הוא כי מעשים חמורים אלו מחייבים הטלת עונש חמור ומרתיע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לאחר התחשבות בנסיבותיו האישיות של המערער ובחרטתו הכנה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עיקרון ההלימה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אליו הפנה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הוא עצמו מעמיד בפני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מחסום מפני הקלה בעונשו מעבר לזו שכבר ניתנה לו על ידי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תולדותינו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בתפוצות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בתוכנו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55/06</w:t>
        </w:r>
      </w:hyperlink>
      <w:r>
        <w:rPr>
          <w:rtl w:val="true"/>
        </w:rPr>
        <w:t xml:space="preserve">, </w:t>
      </w:r>
      <w:r>
        <w:rPr/>
        <w:t>877/06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זלינגר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 שלפנינו מופנה נגד גזר הדין שבמסגרתו הושתו על המערער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וכן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בעקבות הרשעתו בעבירות אלימות מתוך מניע גזעני בגדרי 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35048-04-17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בית המשפט המחוזי באר שבע</w:t>
      </w:r>
      <w:r>
        <w:rPr>
          <w:rtl w:val="true"/>
        </w:rPr>
        <w:t xml:space="preserve">;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עבירות האלימות אשר יוחסו למערער בוצעו במסגרת ארבעה אירועים נפרדים שהתרחשו בעיר באר שבע בחודשים פברואר</w:t>
      </w:r>
      <w:r>
        <w:rPr>
          <w:rtl w:val="true"/>
        </w:rPr>
        <w:t>-</w:t>
      </w:r>
      <w:r>
        <w:rPr>
          <w:rtl w:val="true"/>
        </w:rPr>
        <w:t xml:space="preserve">מרץ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אירועים אלה פורטו על ידי המדינה בארבעה פרטי אישום מושא 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המערער הודה במסגרת הסדר טיעון</w:t>
      </w:r>
      <w:r>
        <w:rPr>
          <w:rtl w:val="true"/>
        </w:rPr>
        <w:t xml:space="preserve">. </w:t>
      </w:r>
      <w:r>
        <w:rPr>
          <w:rtl w:val="true"/>
        </w:rPr>
        <w:t xml:space="preserve">מעשי אלימות אלו בוצעו על רקע התנגדותו של המערער </w:t>
      </w:r>
      <w:r>
        <w:rPr>
          <w:rtl w:val="true"/>
        </w:rPr>
        <w:t>–</w:t>
      </w:r>
      <w:r>
        <w:rPr>
          <w:rtl w:val="true"/>
        </w:rPr>
        <w:t xml:space="preserve"> שהיה באותה העת בין הגילאים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למפגשים רומנטיים בין גברים ערביים ונשים יהודיות</w:t>
      </w:r>
      <w:r>
        <w:rPr>
          <w:rtl w:val="true"/>
        </w:rPr>
        <w:t xml:space="preserve">. </w:t>
      </w:r>
      <w:r>
        <w:rPr>
          <w:rtl w:val="true"/>
        </w:rPr>
        <w:t>המערער תקף גברים אלה</w:t>
      </w:r>
      <w:r>
        <w:rPr>
          <w:rtl w:val="true"/>
        </w:rPr>
        <w:t xml:space="preserve">, </w:t>
      </w:r>
      <w:r>
        <w:rPr>
          <w:rtl w:val="true"/>
        </w:rPr>
        <w:t>ביחד עם חבריו</w:t>
      </w:r>
      <w:r>
        <w:rPr>
          <w:rtl w:val="true"/>
        </w:rPr>
        <w:t xml:space="preserve">, </w:t>
      </w:r>
      <w:r>
        <w:rPr>
          <w:rtl w:val="true"/>
        </w:rPr>
        <w:t>באמצעות סכין</w:t>
      </w:r>
      <w:r>
        <w:rPr>
          <w:rtl w:val="true"/>
        </w:rPr>
        <w:t xml:space="preserve">, </w:t>
      </w:r>
      <w:r>
        <w:rPr>
          <w:rtl w:val="true"/>
        </w:rPr>
        <w:t>אלות וכלי תקיפה אחרים</w:t>
      </w:r>
      <w:r>
        <w:rPr>
          <w:rtl w:val="true"/>
        </w:rPr>
        <w:t xml:space="preserve">, </w:t>
      </w:r>
      <w:r>
        <w:rPr>
          <w:rtl w:val="true"/>
        </w:rPr>
        <w:t>ובכך הסב להם חבלות ופציעות חמורות</w:t>
      </w:r>
      <w:r>
        <w:rPr>
          <w:rtl w:val="true"/>
        </w:rPr>
        <w:t xml:space="preserve">, </w:t>
      </w:r>
      <w:r>
        <w:rPr>
          <w:rtl w:val="true"/>
        </w:rPr>
        <w:t>כמו גם נזק למכוניותיהם</w:t>
      </w:r>
      <w:r>
        <w:rPr>
          <w:rtl w:val="true"/>
        </w:rPr>
        <w:t xml:space="preserve">. </w:t>
      </w:r>
      <w:r>
        <w:rPr>
          <w:rtl w:val="true"/>
        </w:rPr>
        <w:t>בגין מעשים אלו יוחסו למערער עבירות כדלקמן</w:t>
      </w:r>
      <w:r>
        <w:rPr>
          <w:rtl w:val="true"/>
        </w:rPr>
        <w:t xml:space="preserve">: </w:t>
      </w:r>
      <w:r>
        <w:rPr>
          <w:rtl w:val="true"/>
        </w:rPr>
        <w:t>גרימת חבלה חמורה בנסיבות מחמירות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תקיפה בנסיבות מחמירות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שתי עבירות</w:t>
      </w:r>
      <w:r>
        <w:rPr>
          <w:rtl w:val="true"/>
        </w:rPr>
        <w:t xml:space="preserve">, </w:t>
      </w:r>
      <w:r>
        <w:rPr>
          <w:rtl w:val="true"/>
        </w:rPr>
        <w:t>שאחת מהן בוצעה בנסיבות מחשידות בכוונת פריצה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תקיפה הגורמת חבלה של ממש בנסיבות מחמירות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פציעה בנסיבות מחמירות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וכן היזק לרכוש מתוך 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הרשיע את המערער בעבירות הנ</w:t>
      </w:r>
      <w:r>
        <w:rPr>
          <w:rtl w:val="true"/>
        </w:rPr>
        <w:t>"</w:t>
      </w:r>
      <w:r>
        <w:rPr>
          <w:rtl w:val="true"/>
        </w:rPr>
        <w:t>ל על בסיס הודאתו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שמע בית המשפט את טיעוני הצדדים לעונש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 xml:space="preserve">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 xml:space="preserve">החליט בית המשפט לקבל כראיה לעניין העונש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פרטיהם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הסדרי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 </w:t>
      </w:r>
      <w:r>
        <w:rPr>
          <w:rtl w:val="true"/>
        </w:rPr>
        <w:t>במעשי</w:t>
      </w:r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5.11.2018</w:t>
      </w:r>
      <w:r>
        <w:rPr>
          <w:rtl w:val="true"/>
        </w:rPr>
        <w:t xml:space="preserve"> </w:t>
      </w:r>
      <w:r>
        <w:rPr>
          <w:rtl w:val="true"/>
        </w:rPr>
        <w:t>גזר בית 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סקר בית המשפט את הפסיקה הרלבנטית</w:t>
      </w:r>
      <w:r>
        <w:rPr>
          <w:rtl w:val="true"/>
        </w:rPr>
        <w:t xml:space="preserve">, </w:t>
      </w:r>
      <w:r>
        <w:rPr>
          <w:rtl w:val="true"/>
        </w:rPr>
        <w:t>הדוגלת במדיניות ענישה מחמירה ביחס לעבירות אלימות הנעברות מתוך מניע גזעני</w:t>
      </w:r>
      <w:r>
        <w:rPr>
          <w:rtl w:val="true"/>
        </w:rPr>
        <w:t xml:space="preserve">; </w:t>
      </w:r>
      <w:r>
        <w:rPr>
          <w:rtl w:val="true"/>
        </w:rPr>
        <w:t>ועמד על נסיבותיהם של מעשי האלימות דכאן</w:t>
      </w:r>
      <w:r>
        <w:rPr>
          <w:rtl w:val="true"/>
        </w:rPr>
        <w:t xml:space="preserve">. </w:t>
      </w:r>
      <w:r>
        <w:rPr>
          <w:rtl w:val="true"/>
        </w:rPr>
        <w:t>בשים לב לכל אלה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מתחם הענישה ההולם בעניינו של המערער נע בין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בתוספת של מאסר על תנאי</w:t>
      </w:r>
      <w:r>
        <w:rPr>
          <w:rtl w:val="true"/>
        </w:rPr>
        <w:t xml:space="preserve">. </w:t>
      </w:r>
      <w:r>
        <w:rPr>
          <w:rtl w:val="true"/>
        </w:rPr>
        <w:t>בבוחנו את הנסיבות שאינן קשורות לביצוע העבירות</w:t>
      </w:r>
      <w:r>
        <w:rPr>
          <w:rtl w:val="true"/>
        </w:rPr>
        <w:t xml:space="preserve">, </w:t>
      </w:r>
      <w:r>
        <w:rPr>
          <w:rtl w:val="true"/>
        </w:rPr>
        <w:t>נתן בית המשפט דעתו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להיות המערער נטול עבר פלילי</w:t>
      </w:r>
      <w:r>
        <w:rPr>
          <w:rtl w:val="true"/>
        </w:rPr>
        <w:t xml:space="preserve">; </w:t>
      </w:r>
      <w:r>
        <w:rPr>
          <w:rtl w:val="true"/>
        </w:rPr>
        <w:t>להודאתו בעבירות אשר יוחסו לו</w:t>
      </w:r>
      <w:r>
        <w:rPr>
          <w:rtl w:val="true"/>
        </w:rPr>
        <w:t xml:space="preserve">, </w:t>
      </w:r>
      <w:r>
        <w:rPr>
          <w:rtl w:val="true"/>
        </w:rPr>
        <w:t>אשר חסכה שמיעת עדויות וזמן שיפוטי יקר</w:t>
      </w:r>
      <w:r>
        <w:rPr>
          <w:rtl w:val="true"/>
        </w:rPr>
        <w:t xml:space="preserve">; </w:t>
      </w:r>
      <w:r>
        <w:rPr>
          <w:rtl w:val="true"/>
        </w:rPr>
        <w:t>לכך שהמערער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חזר בו מתפיסותיו הגזעניות והביע חרטה כנה על ביצוע העבירות</w:t>
      </w:r>
      <w:r>
        <w:rPr>
          <w:rtl w:val="true"/>
        </w:rPr>
        <w:t xml:space="preserve">; </w:t>
      </w:r>
      <w:r>
        <w:rPr>
          <w:rtl w:val="true"/>
        </w:rPr>
        <w:t>להתרשמותו החיובית של שירות המבחן</w:t>
      </w:r>
      <w:r>
        <w:rPr>
          <w:rtl w:val="true"/>
        </w:rPr>
        <w:t xml:space="preserve">, </w:t>
      </w:r>
      <w:r>
        <w:rPr>
          <w:rtl w:val="true"/>
        </w:rPr>
        <w:t>אשר בא בהמלצה טיפולית</w:t>
      </w:r>
      <w:r>
        <w:rPr>
          <w:rtl w:val="true"/>
        </w:rPr>
        <w:t>-</w:t>
      </w:r>
      <w:r>
        <w:rPr>
          <w:rtl w:val="true"/>
        </w:rPr>
        <w:t>שיקומית בעניינו של המערער</w:t>
      </w:r>
      <w:r>
        <w:rPr>
          <w:rtl w:val="true"/>
        </w:rPr>
        <w:t xml:space="preserve">; </w:t>
      </w:r>
      <w:r>
        <w:rPr>
          <w:rtl w:val="true"/>
        </w:rPr>
        <w:t>וכן לגילו הצעיר של המערער ולנסיבות חייו הלא פשוטות</w:t>
      </w:r>
      <w:r>
        <w:rPr>
          <w:rtl w:val="true"/>
        </w:rPr>
        <w:t xml:space="preserve">, </w:t>
      </w:r>
      <w:r>
        <w:rPr>
          <w:rtl w:val="true"/>
        </w:rPr>
        <w:t>אשר כללו קשיים שחווה בסביבה המשפחתית שלו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 את מארג השיקולים דלעיל</w:t>
      </w:r>
      <w:r>
        <w:rPr>
          <w:rtl w:val="true"/>
        </w:rPr>
        <w:t xml:space="preserve">, </w:t>
      </w:r>
      <w:r>
        <w:rPr>
          <w:rtl w:val="true"/>
        </w:rPr>
        <w:t>ולאחר ששמע את דבריו של המערער עצמו</w:t>
      </w:r>
      <w:r>
        <w:rPr>
          <w:rtl w:val="true"/>
        </w:rPr>
        <w:t xml:space="preserve">, </w:t>
      </w:r>
      <w:r>
        <w:rPr>
          <w:rtl w:val="true"/>
        </w:rPr>
        <w:t>קבע בית המשפט כי במקרה דנן שיקולי השיקום נסוגים מפני שיקולי ענישה אחרים</w:t>
      </w:r>
      <w:r>
        <w:rPr>
          <w:rtl w:val="true"/>
        </w:rPr>
        <w:t xml:space="preserve">, </w:t>
      </w:r>
      <w:r>
        <w:rPr>
          <w:rtl w:val="true"/>
        </w:rPr>
        <w:t>בציינו את הדברים 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וחשובים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ולהפנות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ומכאיבה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שגובש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האמור</w:t>
      </w:r>
      <w:r>
        <w:rPr>
          <w:rtl w:val="true"/>
        </w:rPr>
        <w:t xml:space="preserve">, </w:t>
      </w:r>
      <w:r>
        <w:rPr>
          <w:rtl w:val="true"/>
        </w:rPr>
        <w:t>השית בית משפט קמא על המערער את העונשים שצויינו לעיל</w:t>
      </w:r>
      <w:r>
        <w:rPr>
          <w:rtl w:val="true"/>
        </w:rPr>
        <w:t xml:space="preserve">, </w:t>
      </w:r>
      <w:r>
        <w:rPr>
          <w:rtl w:val="true"/>
        </w:rPr>
        <w:t>ומכאן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ביקש מאתנו כי נקל בעונשו</w:t>
      </w:r>
      <w:r>
        <w:rPr>
          <w:rtl w:val="true"/>
        </w:rPr>
        <w:t xml:space="preserve">, </w:t>
      </w:r>
      <w:r>
        <w:rPr>
          <w:rtl w:val="true"/>
        </w:rPr>
        <w:t>בהתחשב בכל הנסיבות המקלות שפורטו בערעורו</w:t>
      </w:r>
      <w:r>
        <w:rPr>
          <w:rtl w:val="true"/>
        </w:rPr>
        <w:t xml:space="preserve">, </w:t>
      </w:r>
      <w:r>
        <w:rPr>
          <w:rtl w:val="true"/>
        </w:rPr>
        <w:t>ובפרט בכך שהוא למד את הלקח ועלה על דרך הישר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פירט המערער וטען כי העונש שהושת עליו איננו מידתי בחומרתו ואיננו תואם את הגישה האינדיווידואלית בענישה </w:t>
      </w:r>
      <w:r>
        <w:rPr>
          <w:rtl w:val="true"/>
        </w:rPr>
        <w:t>–</w:t>
      </w:r>
      <w:r>
        <w:rPr>
          <w:rtl w:val="true"/>
        </w:rPr>
        <w:t xml:space="preserve"> גישה שלשיטתו קנתה לה מעמד בכורה במשפט הישראלי לנוכח האמור ב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גישה זו מחייבת את בתי המשפט להעדיף במקרים כמו שלו את שיקולי שיקום העבריין על פני שיקולי ההרתעה לסוגיהם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מנגד סומכת את ידיה על גזר הדין קמא ומבקשת שנאשרוֹ מטעמיו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עמנו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28.1.2013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9.1.2019</w:t>
      </w:r>
      <w:r>
        <w:rPr>
          <w:rtl w:val="true"/>
        </w:rPr>
        <w:t xml:space="preserve">)).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החריגים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בגזרו את עונשו של המערער</w:t>
      </w:r>
      <w:r>
        <w:rPr>
          <w:rtl w:val="true"/>
        </w:rPr>
        <w:t xml:space="preserve">, </w:t>
      </w:r>
      <w:r>
        <w:rPr>
          <w:rtl w:val="true"/>
        </w:rPr>
        <w:t>בית משפט קמא העמיד לנגד עיניו את כל השיקולים הרלבנטיים לעניין העונש והחליט נכון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לטענתו המשפטית של המערער הנוגעת לגישה האינדיווידואלית בענישה</w:t>
      </w:r>
      <w:r>
        <w:rPr>
          <w:rtl w:val="true"/>
        </w:rPr>
        <w:t xml:space="preserve">, </w:t>
      </w:r>
      <w:r>
        <w:rPr>
          <w:rtl w:val="true"/>
        </w:rPr>
        <w:t>אומר רק זאת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איננו בא להגן רק על כבודם וחירותם של עבריינים</w:t>
      </w:r>
      <w:r>
        <w:rPr>
          <w:rtl w:val="true"/>
        </w:rPr>
        <w:t xml:space="preserve">. </w:t>
      </w:r>
      <w:r>
        <w:rPr>
          <w:rtl w:val="true"/>
        </w:rPr>
        <w:t>חוק יסוד זה בא להגן גם על כבודם של קורבנות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שלעתים קרובות </w:t>
      </w:r>
      <w:r>
        <w:rPr>
          <w:rtl w:val="true"/>
        </w:rPr>
        <w:t>–</w:t>
      </w:r>
      <w:r>
        <w:rPr>
          <w:rtl w:val="true"/>
        </w:rPr>
        <w:t xml:space="preserve"> ולדידי</w:t>
      </w:r>
      <w:r>
        <w:rPr>
          <w:rtl w:val="true"/>
        </w:rPr>
        <w:t xml:space="preserve">, </w:t>
      </w:r>
      <w:r>
        <w:rPr>
          <w:rtl w:val="true"/>
        </w:rPr>
        <w:t xml:space="preserve">אף לעתים קרובות מדי </w:t>
      </w:r>
      <w:r>
        <w:rPr>
          <w:rtl w:val="true"/>
        </w:rPr>
        <w:t>–</w:t>
      </w:r>
      <w:r>
        <w:rPr>
          <w:rtl w:val="true"/>
        </w:rPr>
        <w:t xml:space="preserve"> נרמס ברגל גסה על ידי העבריינים</w:t>
      </w:r>
      <w:r>
        <w:rPr>
          <w:rtl w:val="true"/>
        </w:rPr>
        <w:t xml:space="preserve">. </w:t>
      </w:r>
      <w:r>
        <w:rPr>
          <w:rtl w:val="true"/>
        </w:rPr>
        <w:t xml:space="preserve">כך לימדנו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ב</w:t>
      </w:r>
      <w:hyperlink r:id="rId4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2316/95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גנימאת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589</w:t>
      </w:r>
      <w:r>
        <w:rPr>
          <w:rtl w:val="true"/>
        </w:rPr>
        <w:t xml:space="preserve">, </w:t>
      </w:r>
      <w:r>
        <w:rPr/>
        <w:t>621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/>
        <w:t>1995</w:t>
      </w:r>
      <w:r>
        <w:rPr>
          <w:rtl w:val="true"/>
        </w:rPr>
        <w:t xml:space="preserve">), </w:t>
      </w:r>
      <w:r>
        <w:rPr>
          <w:rtl w:val="true"/>
        </w:rPr>
        <w:t>ואלו היו דבריו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.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>-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ולהשפלות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לחירותו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הקניית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האזרח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והגר</w:t>
      </w:r>
      <w:r>
        <w:rPr>
          <w:rtl w:val="true"/>
        </w:rPr>
        <w:t xml:space="preserve">, </w:t>
      </w:r>
      <w:r>
        <w:rPr>
          <w:rtl w:val="true"/>
        </w:rPr>
        <w:t>התושב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והמבקר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והקורבן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המערער תקף בפראות ובאכזריות אנשים תמימים</w:t>
      </w:r>
      <w:r>
        <w:rPr>
          <w:rtl w:val="true"/>
        </w:rPr>
        <w:t xml:space="preserve">, </w:t>
      </w:r>
      <w:r>
        <w:rPr>
          <w:rtl w:val="true"/>
        </w:rPr>
        <w:t>תוך השפלתם</w:t>
      </w:r>
      <w:r>
        <w:rPr>
          <w:rtl w:val="true"/>
        </w:rPr>
        <w:t xml:space="preserve">, </w:t>
      </w:r>
      <w:r>
        <w:rPr>
          <w:rtl w:val="true"/>
        </w:rPr>
        <w:t>רק בשל היותם גברים ממוצא ערבי אשר בילו עם נשים יהודיות</w:t>
      </w:r>
      <w:r>
        <w:rPr>
          <w:rtl w:val="true"/>
        </w:rPr>
        <w:t xml:space="preserve">. </w:t>
      </w:r>
      <w:r>
        <w:rPr>
          <w:rtl w:val="true"/>
        </w:rPr>
        <w:t>המניע הלאומני והגזעני שמתוכו פעל המערער משווה נופך נוסף של חומרה למעשיו</w:t>
      </w:r>
      <w:r>
        <w:rPr>
          <w:rtl w:val="true"/>
        </w:rPr>
        <w:t xml:space="preserve">. </w:t>
      </w:r>
      <w:r>
        <w:rPr>
          <w:rtl w:val="true"/>
        </w:rPr>
        <w:t xml:space="preserve">ברי הוא כי מעשים חמורים אלו מחייבים הטלת עונש חמור ומרתיע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גם לאחר התחשבות בנסיבותיו האישיות של המערער ובחרטתו הכנה</w:t>
      </w:r>
      <w:r>
        <w:rPr>
          <w:rtl w:val="true"/>
        </w:rPr>
        <w:t xml:space="preserve">. </w:t>
      </w:r>
      <w:r>
        <w:rPr>
          <w:rtl w:val="true"/>
        </w:rPr>
        <w:t xml:space="preserve">כך הורה לנו המחוקק לעשות </w:t>
      </w:r>
      <w:hyperlink r:id="rId4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 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ואת דברו נקיים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  <w:t>אציין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כי עיקרון ההלימה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אשר אליו הפנה אותנו המערער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הוא עצמו מעמיד בפנינו מחסום מפני הקלה בעונשו מעבר לזו שכבר ניתנה לו על ידי בית משפט קמא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וכפי שכבר הזדמן לי להעיר</w:t>
      </w:r>
      <w:r>
        <w:rPr>
          <w:rtl w:val="true"/>
          <w:lang w:val="en-GB"/>
        </w:rPr>
        <w:t>: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5"/>
        <w:ind w:end="1282"/>
        <w:jc w:val="both"/>
        <w:rPr/>
      </w:pPr>
      <w:r>
        <w:rPr>
          <w:rtl w:val="true"/>
          <w:lang w:val="en-GB"/>
        </w:rPr>
        <w:t>"</w:t>
      </w:r>
      <w:r>
        <w:rPr>
          <w:rtl w:val="true"/>
          <w:lang w:val="en-GB"/>
        </w:rPr>
        <w:t>תיקון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lang w:val="en-GB"/>
        </w:rPr>
        <w:t>113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ל</w:t>
      </w:r>
      <w:hyperlink r:id="rId47">
        <w:r>
          <w:rPr>
            <w:rStyle w:val="Hyperlink"/>
            <w:color w:val="0000FF"/>
            <w:u w:val="single"/>
            <w:rtl w:val="true"/>
            <w:lang w:val="en-GB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GB"/>
          </w:rPr>
          <w:t>העונשין</w:t>
        </w:r>
      </w:hyperlink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שנתן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לעיקרון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זה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מעמד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על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איננו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מדבר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על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הלימה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במובן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הצר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</w:t>
      </w:r>
      <w:r>
        <w:rPr>
          <w:rtl w:val="true"/>
          <w:lang w:val="en-GB"/>
        </w:rPr>
        <w:t>-</w:t>
      </w:r>
      <w:r>
        <w:rPr>
          <w:rFonts w:cs="Times New Roman;Times New Roman" w:ascii="Times New Roman;Times New Roman" w:hAnsi="Times New Roman;Times New Roman"/>
          <w:szCs w:val="24"/>
        </w:rPr>
        <w:t>lex talionis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מדובר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בתפיסה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רחבה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יותר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הלימה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אשר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רואה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בענישת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העבריין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אקט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שלטוני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המכונן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מחדש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את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שיווי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המשקל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המוסרי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שהופר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על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ידו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מדובר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בתיקון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כוללני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אשר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חייב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לשקם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את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[</w:t>
      </w:r>
      <w:r>
        <w:rPr>
          <w:rtl w:val="true"/>
          <w:lang w:val="en-GB"/>
        </w:rPr>
        <w:t>ערכו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הנפגע</w:t>
      </w:r>
      <w:r>
        <w:rPr>
          <w:rtl w:val="true"/>
          <w:lang w:val="en-GB"/>
        </w:rPr>
        <w:t xml:space="preserve">] </w:t>
      </w:r>
      <w:r>
        <w:rPr>
          <w:rtl w:val="true"/>
          <w:lang w:val="en-GB"/>
        </w:rPr>
        <w:t>מן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העבירה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כאדם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לאחר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שהעבריין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שלל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ערך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זה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[</w:t>
      </w:r>
      <w:r>
        <w:rPr>
          <w:rtl w:val="true"/>
          <w:lang w:val="en-GB"/>
        </w:rPr>
        <w:t>ממנו</w:t>
      </w:r>
      <w:r>
        <w:rPr>
          <w:rtl w:val="true"/>
          <w:lang w:val="en-GB"/>
        </w:rPr>
        <w:t xml:space="preserve">] </w:t>
      </w:r>
      <w:r>
        <w:rPr>
          <w:rtl w:val="true"/>
          <w:lang w:val="en-GB"/>
        </w:rPr>
        <w:t>או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הפחיתו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על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ידי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מעשה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כפייה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פוגעני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תיקון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זה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לא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ייעשה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אם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עונשו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העבריין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לא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יהיה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שקול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כנגד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מה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שעולל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לקורבנו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ראו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Fonts w:cs="Times New Roman;Times New Roman" w:ascii="Times New Roman;Times New Roman" w:hAnsi="Times New Roman;Times New Roman"/>
          <w:szCs w:val="24"/>
        </w:rPr>
        <w:t xml:space="preserve">Jean Hampton, </w:t>
      </w:r>
      <w:r>
        <w:rPr>
          <w:rFonts w:cs="Times New Roman;Times New Roman" w:ascii="Times New Roman;Times New Roman" w:hAnsi="Times New Roman;Times New Roman"/>
          <w:i/>
          <w:iCs/>
          <w:szCs w:val="24"/>
        </w:rPr>
        <w:t>The Retributive Idea</w:t>
      </w:r>
      <w:r>
        <w:rPr>
          <w:rFonts w:cs="Times New Roman;Times New Roman" w:ascii="Times New Roman;Times New Roman" w:hAnsi="Times New Roman;Times New Roman"/>
          <w:szCs w:val="24"/>
        </w:rPr>
        <w:t xml:space="preserve">, </w:t>
      </w:r>
      <w:r>
        <w:rPr>
          <w:rFonts w:cs="Times New Roman;Times New Roman" w:ascii="Times New Roman;Times New Roman" w:hAnsi="Times New Roman;Times New Roman"/>
          <w:i/>
          <w:iCs/>
          <w:szCs w:val="24"/>
        </w:rPr>
        <w:t>in</w:t>
      </w:r>
      <w:r>
        <w:rPr>
          <w:rFonts w:cs="Times New Roman;Times New Roman" w:ascii="Times New Roman;Times New Roman" w:hAnsi="Times New Roman;Times New Roman"/>
          <w:szCs w:val="24"/>
        </w:rPr>
        <w:t xml:space="preserve"> Jeffrie G. Murphy &amp; Jean Hampton, </w:t>
      </w:r>
      <w:r>
        <w:rPr>
          <w:rFonts w:cs="Times New Roman;Times New Roman" w:ascii="Times New Roman;Times New Roman" w:hAnsi="Times New Roman;Times New Roman"/>
          <w:smallCaps/>
          <w:szCs w:val="24"/>
        </w:rPr>
        <w:t>Forgiveness and Mercy</w:t>
      </w:r>
      <w:r>
        <w:rPr>
          <w:rFonts w:cs="Times New Roman;Times New Roman" w:ascii="Times New Roman;Times New Roman" w:hAnsi="Times New Roman;Times New Roman"/>
          <w:szCs w:val="24"/>
        </w:rPr>
        <w:t xml:space="preserve"> 111, 131 (1988)</w:t>
      </w:r>
      <w:r>
        <w:rPr>
          <w:rFonts w:cs="Times New Roman;Times New Roman" w:ascii="Times New Roman;Times New Roman" w:hAnsi="Times New Roman;Times New Roman"/>
          <w:szCs w:val="24"/>
          <w:rtl w:val="true"/>
        </w:rPr>
        <w:t>" 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דיני ב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3792/18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11.11.2018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;Times New Roman" w:hAnsi="Times New Roman;Times New Roman" w:cs="Times New Roman;Times New Roman"/>
          <w:szCs w:val="24"/>
        </w:rPr>
      </w:pPr>
      <w:r>
        <w:rPr>
          <w:rFonts w:cs="Times New Roman;Times New Roman" w:ascii="Times New Roman;Times New Roman" w:hAnsi="Times New Roman;Times New Roman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ובמלים אחרות</w:t>
      </w:r>
      <w:r>
        <w:rPr>
          <w:rtl w:val="true"/>
        </w:rPr>
        <w:t xml:space="preserve">: </w:t>
      </w:r>
      <w:r>
        <w:rPr>
          <w:rtl w:val="true"/>
        </w:rPr>
        <w:t xml:space="preserve">גזר הדין שנוציא מתחת ידינו צריך שיאמר </w:t>
      </w:r>
      <w:r>
        <w:rPr>
          <w:rtl w:val="true"/>
          <w:lang w:val="en-GB"/>
        </w:rPr>
        <w:t>לנפגעי העבירות אשר סבלו מנחת זרועו של המערער רק בשל היותם ערבים כי זעקתם היא זעקתנו</w:t>
      </w:r>
      <w:r>
        <w:rPr>
          <w:rtl w:val="true"/>
          <w:lang w:val="en-GB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מציע אפוא לחבריי כי נדחה את הערעור</w:t>
      </w:r>
      <w:r>
        <w:rPr>
          <w:rtl w:val="true"/>
        </w:rPr>
        <w:t xml:space="preserve">, </w:t>
      </w:r>
      <w:r>
        <w:rPr>
          <w:rtl w:val="true"/>
        </w:rPr>
        <w:t>לצד הבעת משאלה כי המערער אכן יחזור למוטב ויפתח דף חדש בחייו עוד בטרם ישוחרר מן הכלא</w:t>
      </w:r>
      <w:r>
        <w:rPr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end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8.9.2019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18083280</w:t>
      </w:r>
      <w:r>
        <w:rPr>
          <w:sz w:val="16"/>
          <w:rtl w:val="true"/>
        </w:rPr>
        <w:t>_</w:t>
      </w:r>
      <w:r>
        <w:rPr>
          <w:sz w:val="16"/>
        </w:rPr>
        <w:t>F06.docx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54678313-8328/18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8328/18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רז עמיצור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8468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144f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2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/410.3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yperlink" Target="http://www.nevo.co.il/law/70320" TargetMode="External"/><Relationship Id="rId16" Type="http://schemas.openxmlformats.org/officeDocument/2006/relationships/hyperlink" Target="http://www.nevo.co.il/law/70320" TargetMode="External"/><Relationship Id="rId17" Type="http://schemas.openxmlformats.org/officeDocument/2006/relationships/hyperlink" Target="http://www.nevo.co.il/case/5673698" TargetMode="External"/><Relationship Id="rId18" Type="http://schemas.openxmlformats.org/officeDocument/2006/relationships/hyperlink" Target="http://www.nevo.co.il/case/22684688" TargetMode="External"/><Relationship Id="rId19" Type="http://schemas.openxmlformats.org/officeDocument/2006/relationships/hyperlink" Target="http://www.nevo.co.il/law/70301/333" TargetMode="External"/><Relationship Id="rId20" Type="http://schemas.openxmlformats.org/officeDocument/2006/relationships/hyperlink" Target="http://www.nevo.co.il/law/70301/335.a.1" TargetMode="External"/><Relationship Id="rId21" Type="http://schemas.openxmlformats.org/officeDocument/2006/relationships/hyperlink" Target="http://www.nevo.co.il/law/70301/144f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law/70301/382.a" TargetMode="External"/><Relationship Id="rId25" Type="http://schemas.openxmlformats.org/officeDocument/2006/relationships/hyperlink" Target="http://www.nevo.co.il/law/70301/144f.a" TargetMode="External"/><Relationship Id="rId26" Type="http://schemas.openxmlformats.org/officeDocument/2006/relationships/hyperlink" Target="http://www.nevo.co.il/law/70301/410.3" TargetMode="External"/><Relationship Id="rId27" Type="http://schemas.openxmlformats.org/officeDocument/2006/relationships/hyperlink" Target="http://www.nevo.co.il/law/70301/144f.a" TargetMode="External"/><Relationship Id="rId28" Type="http://schemas.openxmlformats.org/officeDocument/2006/relationships/hyperlink" Target="http://www.nevo.co.il/law/70301/380" TargetMode="External"/><Relationship Id="rId29" Type="http://schemas.openxmlformats.org/officeDocument/2006/relationships/hyperlink" Target="http://www.nevo.co.il/law/70301/382.a" TargetMode="External"/><Relationship Id="rId30" Type="http://schemas.openxmlformats.org/officeDocument/2006/relationships/hyperlink" Target="http://www.nevo.co.il/law/70301/144f.a" TargetMode="External"/><Relationship Id="rId31" Type="http://schemas.openxmlformats.org/officeDocument/2006/relationships/hyperlink" Target="http://www.nevo.co.il/law/70301/334" TargetMode="External"/><Relationship Id="rId32" Type="http://schemas.openxmlformats.org/officeDocument/2006/relationships/hyperlink" Target="http://www.nevo.co.il/law/70301/335.a.1" TargetMode="External"/><Relationship Id="rId33" Type="http://schemas.openxmlformats.org/officeDocument/2006/relationships/hyperlink" Target="http://www.nevo.co.il/law/70301/335.a.2" TargetMode="External"/><Relationship Id="rId34" Type="http://schemas.openxmlformats.org/officeDocument/2006/relationships/hyperlink" Target="http://www.nevo.co.il/law/70301/144f.a" TargetMode="External"/><Relationship Id="rId35" Type="http://schemas.openxmlformats.org/officeDocument/2006/relationships/hyperlink" Target="http://www.nevo.co.il/law/70301/413" TargetMode="External"/><Relationship Id="rId36" Type="http://schemas.openxmlformats.org/officeDocument/2006/relationships/hyperlink" Target="http://www.nevo.co.il/law/70301/144f.a" TargetMode="External"/><Relationship Id="rId37" Type="http://schemas.openxmlformats.org/officeDocument/2006/relationships/hyperlink" Target="http://www.nevo.co.il/law/70320" TargetMode="External"/><Relationship Id="rId38" Type="http://schemas.openxmlformats.org/officeDocument/2006/relationships/hyperlink" Target="http://www.nevo.co.il/case/5875466" TargetMode="External"/><Relationship Id="rId39" Type="http://schemas.openxmlformats.org/officeDocument/2006/relationships/hyperlink" Target="http://www.nevo.co.il/case/6247428" TargetMode="External"/><Relationship Id="rId40" Type="http://schemas.openxmlformats.org/officeDocument/2006/relationships/hyperlink" Target="http://www.nevo.co.il/case/6247208" TargetMode="External"/><Relationship Id="rId41" Type="http://schemas.openxmlformats.org/officeDocument/2006/relationships/hyperlink" Target="http://www.nevo.co.il/case/24156669" TargetMode="External"/><Relationship Id="rId42" Type="http://schemas.openxmlformats.org/officeDocument/2006/relationships/hyperlink" Target="http://www.nevo.co.il/law/70320" TargetMode="External"/><Relationship Id="rId43" Type="http://schemas.openxmlformats.org/officeDocument/2006/relationships/hyperlink" Target="http://www.nevo.co.il/case/17915466" TargetMode="External"/><Relationship Id="rId44" Type="http://schemas.openxmlformats.org/officeDocument/2006/relationships/hyperlink" Target="http://www.nevo.co.il/law/70320" TargetMode="External"/><Relationship Id="rId45" Type="http://schemas.openxmlformats.org/officeDocument/2006/relationships/hyperlink" Target="http://www.nevo.co.il/law/70301/40g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4263089" TargetMode="External"/><Relationship Id="rId49" Type="http://schemas.openxmlformats.org/officeDocument/2006/relationships/hyperlink" Target="http://supreme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2019-09-11T07:26:00Z</dcterms:created>
  <dc:creator>h4</dc:creator>
  <dc:description/>
  <cp:keywords/>
  <dc:language>en-IL</dc:language>
  <cp:lastModifiedBy>orly</cp:lastModifiedBy>
  <cp:lastPrinted>2019-09-08T13:02:00Z</cp:lastPrinted>
  <dcterms:modified xsi:type="dcterms:W3CDTF">2019-09-11T07:26:00Z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רז עמיצור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22684688:2;5673698;5875466;6247428;6247208;24156669;17915466;24263089</vt:lpwstr>
  </property>
  <property fmtid="{D5CDD505-2E9C-101B-9397-08002B2CF9AE}" pid="9" name="CITY">
    <vt:lpwstr/>
  </property>
  <property fmtid="{D5CDD505-2E9C-101B-9397-08002B2CF9AE}" pid="10" name="DATE">
    <vt:lpwstr>20190908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מזוז;ג' קרא;א' שטיין</vt:lpwstr>
  </property>
  <property fmtid="{D5CDD505-2E9C-101B-9397-08002B2CF9AE}" pid="14" name="LAWLISTTMP1">
    <vt:lpwstr>70301/333;335.a.1:2;144f.a:6;379;382.a:2;410.3;380;334;335.a.2;413;040g</vt:lpwstr>
  </property>
  <property fmtid="{D5CDD505-2E9C-101B-9397-08002B2CF9AE}" pid="15" name="LAWLISTTMP2">
    <vt:lpwstr>70320:3</vt:lpwstr>
  </property>
  <property fmtid="{D5CDD505-2E9C-101B-9397-08002B2CF9AE}" pid="16" name="LAWYER">
    <vt:lpwstr>מירי קולומבוס;גיא זהבי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אלימות על רקע לאומני‏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16899;8982</vt:lpwstr>
  </property>
  <property fmtid="{D5CDD505-2E9C-101B-9397-08002B2CF9AE}" pid="60" name="PADIDATE">
    <vt:lpwstr>20190911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8328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410120190908</vt:lpwstr>
  </property>
  <property fmtid="{D5CDD505-2E9C-101B-9397-08002B2CF9AE}" pid="70" name="TYPE_N_DATE">
    <vt:lpwstr>41020190908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