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8347/19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8355/19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8347/19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מיהרט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8355/19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קייומוב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31.10.2019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19982-12-17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8.3.2020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ב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8347/19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סיבוני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8355/19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סיגל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בלום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448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9" w:name="ABSTRACT_START"/>
      <w:bookmarkEnd w:id="9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נדחו ערעורי המערערים על גזר הדין בו הושת על כל אחד מהם בגין הרשעתם בעבירת הצתה 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28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חומרת עבירות ההצתה המצדיקה ענישה חמורה ומרתיעה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כי לא נמצא חריגה ממתחם הענישה ההולם שנקבע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שיקולי שיקום לא הצדיקו חריגה הימנו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לא ממדיניות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הצתה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מתחם הענישה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על גזר הדין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בגדרו נגזרו על כל אחד מן המערערים בגין הרשעתם בעבירת הצתה של חנות בגדים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עונשים של </w:t>
      </w:r>
      <w:r>
        <w:rPr>
          <w:rFonts w:cs="Times New Roman" w:ascii="Times New Roman" w:hAnsi="Times New Roman"/>
          <w:spacing w:val="0"/>
          <w:sz w:val="24"/>
          <w:szCs w:val="26"/>
        </w:rPr>
        <w:t>28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 חויב כל אחד מהמערערים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בתשלום פיצוי כספי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5,000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סולברג ובהסכמת המשנה לנשיאה מלצר והשופט 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 הערעור אינה מתערבת בקביעת העונש שנגזר בערכאה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מצבים חריגים שבהם נפלה טעות מהותית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חלה סטייה קיצונית ממדיניות הענישה המקובלת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המקרה דנן אינו בא בקהל אותם מצבים חריגים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אודות חומרתן של עבירות ההצתה כאשר מעשה הצתה ראשיתו ידועה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ואחריתו מי ישורנה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בכדי קבע המחוקק עונש חמור בצדה של עבירת ההצתה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ובהתאם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שבה הפסיקה והדגישה את חשיבותה של ענישה מרתיעה בעבירות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 היה ער לנסיבות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יִחס להן משקל כפי הראוי בעיניו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וקבע את מתחם העונש ההולם בהסתמך על מדיניות הענישה הנהוגה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כי יש מקום להתערב בהכרעתו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טיעוני המערערים מופנים בעיקר כלפי המשקל שייחס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לכל אחת מן הנסיבות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בכך נטיית ערכאת הערעור היא שלא להתערב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לטענות בדבר מדיניות הענישה הנהוגה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פני הדברים לא נמצאה חריגה במתחם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כבר נפסק כי קביעת מתחם העונש ההולם איננה עניין אריתמטי וכי לבימ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נתון בהקשר זה מרחב מסוים של גמישות שאין להתערב בו בייחוד אם העונש שנגזר בסופו של יום אינו חורג מן הראוי וההולם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בגזירת העונש המתאים לא נפל פגם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 שיקום לא הצדיקו חריגה ממתחם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לצד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שיווה לנגד עיניו את מצוות המחוקק להתחשב בנסיבות שאינן קשורות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ובענייננו הרקע הקשה שעליו צמחו שני המערערים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 העמיד את עונשיהם בסמוך לתחתית מתחם העונש ההולם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10" w:name="ABSTRACT_END"/>
      <w:bookmarkStart w:id="11" w:name="ABSTRACT_END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/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Start_Write"/>
      <w:bookmarkStart w:id="17" w:name="Start_Write"/>
      <w:bookmarkEnd w:id="17"/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31.10.2019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19982-12-17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 xml:space="preserve">: </w:t>
      </w:r>
      <w:r>
        <w:rPr>
          <w:rFonts w:cs="Miriam"/>
          <w:sz w:val="24"/>
          <w:sz w:val="24"/>
          <w:szCs w:val="24"/>
          <w:rtl w:val="true"/>
        </w:rPr>
        <w:t>מיהרט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Miriam"/>
          <w:sz w:val="24"/>
          <w:sz w:val="24"/>
          <w:szCs w:val="24"/>
          <w:rtl w:val="true"/>
        </w:rPr>
        <w:t>קייומוב</w:t>
      </w:r>
      <w:r>
        <w:rPr>
          <w:rtl w:val="true"/>
        </w:rPr>
        <w:t xml:space="preserve">)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,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28.11.2017</w:t>
      </w:r>
      <w:r>
        <w:rPr>
          <w:rtl w:val="true"/>
        </w:rPr>
        <w:t xml:space="preserve">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באשדוד</w:t>
      </w:r>
      <w:r>
        <w:rPr>
          <w:rtl w:val="true"/>
        </w:rPr>
        <w:t xml:space="preserve">, </w:t>
      </w:r>
      <w:r>
        <w:rPr>
          <w:rtl w:val="true"/>
        </w:rPr>
        <w:t>ומושכרת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zCs w:val="24"/>
          <w:rtl w:val="true"/>
        </w:rPr>
        <w:t>המתלוננת</w:t>
      </w:r>
      <w:r>
        <w:rPr>
          <w:rtl w:val="true"/>
        </w:rPr>
        <w:t xml:space="preserve">).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02:45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בבנזין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שפכו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הבנזין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והציתו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מצת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והחלה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מתפשטת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הגלריה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התפשטה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השריפה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החשמל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ושרפה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מדרגות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העץ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לחנות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מכניסתם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ראשוני</w:t>
      </w:r>
      <w:r>
        <w:rPr>
          <w:rtl w:val="true"/>
        </w:rPr>
        <w:t xml:space="preserve">,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16.5.2018</w:t>
      </w:r>
      <w:r>
        <w:rPr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הודאתם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וחודשיים</w:t>
      </w:r>
      <w:r>
        <w:rPr>
          <w:rtl w:val="true"/>
        </w:rPr>
        <w:t xml:space="preserve">, </w:t>
      </w:r>
      <w:r>
        <w:rPr>
          <w:rtl w:val="true"/>
        </w:rPr>
        <w:t>ולחובתו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2012</w:t>
      </w:r>
      <w:r>
        <w:rPr>
          <w:rtl w:val="true"/>
        </w:rPr>
        <w:t xml:space="preserve">. </w:t>
      </w:r>
      <w:r>
        <w:rPr>
          <w:rtl w:val="true"/>
        </w:rPr>
        <w:t>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יולי</w:t>
      </w:r>
      <w:r>
        <w:rPr>
          <w:rFonts w:eastAsia="Arial TUR;Arial" w:cs="Arial TUR;Arial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עייפותו</w:t>
      </w:r>
      <w:r>
        <w:rPr>
          <w:rtl w:val="true"/>
        </w:rPr>
        <w:t xml:space="preserve">' </w:t>
      </w:r>
      <w:r>
        <w:rPr>
          <w:rtl w:val="true"/>
        </w:rPr>
        <w:t>מהימשכות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ולתוצאותיו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זהותו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והתנהגותיים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;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שצבר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כשלחובתו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.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שהבטיח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שלישי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משדל</w:t>
      </w:r>
      <w:r>
        <w:rPr>
          <w:rtl w:val="true"/>
        </w:rPr>
        <w:t xml:space="preserve">'.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אינטנסיבי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תיקצב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30.5.2019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ורכושו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, </w:t>
      </w:r>
      <w:r>
        <w:rPr>
          <w:rtl w:val="true"/>
        </w:rPr>
        <w:t>וללא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Century" w:ascii="Century" w:hAnsi="Century"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לרקע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tl w:val="true"/>
        </w:rPr>
        <w:t xml:space="preserve">,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יבצעו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בערעורים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בהעמידו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יִחס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tl w:val="true"/>
        </w:rPr>
        <w:t xml:space="preserve">, </w:t>
      </w:r>
      <w:r>
        <w:rPr>
          <w:rtl w:val="true"/>
        </w:rPr>
        <w:t>לרקע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והתעלם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יִחס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tl w:val="true"/>
        </w:rPr>
        <w:t xml:space="preserve">; </w:t>
      </w:r>
      <w:r>
        <w:rPr>
          <w:rtl w:val="true"/>
        </w:rPr>
        <w:t>לשהותו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 xml:space="preserve">;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הורית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וקשת</w:t>
      </w:r>
      <w:r>
        <w:rPr>
          <w:rtl w:val="true"/>
        </w:rPr>
        <w:t>-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בכיסה</w:t>
      </w:r>
      <w:r>
        <w:rPr>
          <w:rtl w:val="true"/>
        </w:rPr>
        <w:t xml:space="preserve">;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; </w:t>
      </w:r>
      <w:r>
        <w:rPr>
          <w:rtl w:val="true"/>
        </w:rPr>
        <w:t>לחרטה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; </w:t>
      </w:r>
      <w:r>
        <w:rPr>
          <w:rtl w:val="true"/>
        </w:rPr>
        <w:t>לשיתוף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;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; </w:t>
      </w:r>
      <w:r>
        <w:rPr>
          <w:rtl w:val="true"/>
        </w:rPr>
        <w:t>ולהמלצותיו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;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יִחס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; </w:t>
      </w:r>
      <w:r>
        <w:rPr>
          <w:rtl w:val="true"/>
        </w:rPr>
        <w:t>למצבם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לחלופין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שמצבם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4.3.2020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לקייומוב</w:t>
      </w:r>
      <w:r>
        <w:rPr>
          <w:rtl w:val="true"/>
        </w:rPr>
        <w:t xml:space="preserve">,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בהשתתפותו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קבוצתיים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ופרטניים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בתסקירים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ושקייומוב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מיהרט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טענותיה</w:t>
      </w:r>
      <w:r>
        <w:rPr>
          <w:rtl w:val="true"/>
        </w:rPr>
        <w:t xml:space="preserve">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הוזכר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סוציו</w:t>
      </w:r>
      <w:r>
        <w:rPr>
          <w:rtl w:val="true"/>
        </w:rPr>
        <w:t>-</w:t>
      </w:r>
      <w:r>
        <w:rPr>
          <w:rtl w:val="true"/>
        </w:rPr>
        <w:t>אקונומי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לעמלו</w:t>
      </w:r>
      <w:r>
        <w:rPr>
          <w:rtl w:val="true"/>
        </w:rPr>
        <w:t xml:space="preserve">'.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רלבנטיים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קייומוב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 xml:space="preserve">, </w:t>
      </w:r>
      <w:r>
        <w:rPr>
          <w:rtl w:val="true"/>
        </w:rPr>
        <w:t>והמלצת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למיהרט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בסירובו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לאחר שעיינתי בגזר הדין של בית המשפט המחוזי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ונתתי דעתי על טענות 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אלו שבכתב ואלו שבעל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פה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באתי לכלל מסקנה כי דין הערעורים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כידוע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ערכאת הערעור אינה מתערבת בקביעת העונש שנגזר בערכאה הדיונית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זולת מצבים חריגים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שבהם נפלה טעות מהותית בגזר הדין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או חלה סטייה קיצונית ממדיניות הענישה המקובלת </w:t>
      </w:r>
      <w:r>
        <w:rPr>
          <w:rFonts w:cs="Century" w:ascii="Century" w:hAnsi="Century"/>
          <w:rtl w:val="true"/>
        </w:rPr>
        <w:t>(</w:t>
      </w:r>
      <w:hyperlink r:id="rId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1474/14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15.12.2015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; </w:t>
      </w:r>
      <w:hyperlink r:id="rId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5316/13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תאופיק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מסאלחה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09.12.2013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המקרה שלפנינו אינו בא בקהל אותם מצבים חריגים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13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על חומרתן של עבירות ההצתה עמד בית משפט זה פעמים רבות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ראשיתו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ידועה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ואחריתו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ישורנה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ההצתה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ובהתאם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הפסיקה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והדגישה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מרתיעה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6466/18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ראגאבי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01.05.2019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חומרתן של עבירות ההצתה נעוצה בכך שתחילתן אמנם בידי אדם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סופן ש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בבלי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בבא קמא ג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ולפיכך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ולהזיק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14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בית המשפט המחוזי היה ער לנסיבות 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שפורטו בטיעוני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יִחס להן משקל כפי הראוי בעיניו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וקבע את מתחם העונש ההולם בהסתמך על מדיניות הענישה הנהוגה במקרים דומים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לא מצאתי כי יש מקום להתערב בהכרעתו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טיעוני המערערים מופנים בעיקר כלפי המשקל שייחס בית המשפט לכל אחת מן הנסיבות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בכגון דא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נטיית ערכאת הערעור היא שלא להתערב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1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5581/17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26.03.2019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אשר לטענות בדבר מדיניות הענישה הנהוגה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הדברים לא נמצאה חריגה במתחם שקבעה הערכאה הדיונית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 יש לזכור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אריתמטי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מרחב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גמישות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להתערב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בייחוד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בסופו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וההולם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3877/16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פאדי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פס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17.11.2016</w:t>
      </w:r>
      <w:r>
        <w:rPr>
          <w:rFonts w:cs="Century" w:ascii="Century" w:hAnsi="Century"/>
          <w:rtl w:val="true"/>
        </w:rPr>
        <w:t>)</w:t>
      </w:r>
      <w:r>
        <w:rPr>
          <w:rFonts w:cs="Century" w:ascii="Century" w:hAnsi="Century"/>
          <w:rtl w:val="true"/>
        </w:rPr>
        <w:t>).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15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גם בגזירת העונש המתאים לא נפל פגם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שיקולי שיקום לא הצדיקו חריגה ממתחם העונש ההולם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עמד על כך בית המשפט המחוזי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לצד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שיווה לנגד עיניו את מצוות המחוקק להתחשב בנסיבות אשר אינן קשורות בביצוע העבירה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ובענייננו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הרקע הקשה שעליו צמחו שני המערערים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ולפיכך העמיד את עונשיהם בסמוך לתחתית מתחם העונש ההולם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16</w:t>
      </w:r>
      <w:r>
        <w:rPr>
          <w:rFonts w:cs="Century" w:ascii="Century" w:hAnsi="Century"/>
          <w:rtl w:val="true"/>
        </w:rPr>
        <w:t xml:space="preserve">. 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נוכח האמור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אציע לחברַי לדחות את הערעורים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17</w:t>
      </w:r>
      <w:r>
        <w:rPr>
          <w:rFonts w:cs="Century" w:ascii="Century" w:hAnsi="Century"/>
          <w:rtl w:val="true"/>
        </w:rPr>
        <w:t xml:space="preserve">. </w:t>
        <w:tab/>
      </w:r>
      <w:r>
        <w:rPr>
          <w:rFonts w:ascii="Century" w:hAnsi="Century" w:cs="Century"/>
          <w:rtl w:val="true"/>
        </w:rPr>
        <w:t>בשולי הדברים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הירתמותם של שני המערערים להליכים טיפוליים ידעה עליות ומורדות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בתחילה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מיהרט שיתף פעולה באופן מלא עם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ואילו קייומוב התקשה להשתלב באפיק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חלף זמן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והיוצרות התהפכו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נכון למועד הדיון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קייומוב מתמיד בהליכי הטיפול וצובר הישגים בשל כך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מיהרט לעומתו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מגלה נכונות דומה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אביע תקווה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בפרק הזמן שנותר למיהרט עד תום תקופת מאסרו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יעלה גם הוא על דרך המלך ויירתם להליך הטיפולי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הרשות נתונה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המשנה לנשיאה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8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17.3.2020</w:t>
      </w:r>
      <w:r>
        <w:rPr>
          <w:rtl w:val="true"/>
        </w:rPr>
        <w:t xml:space="preserve">). </w:t>
      </w:r>
      <w:bookmarkEnd w:id="18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19083470</w:t>
      </w:r>
      <w:r>
        <w:rPr>
          <w:sz w:val="16"/>
          <w:rtl w:val="true"/>
        </w:rPr>
        <w:t>_</w:t>
      </w:r>
      <w:r>
        <w:rPr>
          <w:sz w:val="16"/>
        </w:rPr>
        <w:t>O02.docx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 w:val="22"/>
          <w:szCs w:val="22"/>
        </w:rPr>
        <w:t>54678313-8347/19</w:t>
      </w:r>
    </w:p>
    <w:p>
      <w:pPr>
        <w:pStyle w:val="Normal"/>
        <w:ind w:end="0"/>
        <w:jc w:val="start"/>
        <w:rPr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p>
      <w:pPr>
        <w:pStyle w:val="Normal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8347/19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נתי מיהרט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qFormat/>
    <w:pPr>
      <w:overflowPunct w:val="true"/>
      <w:autoSpaceDE w:val="true"/>
      <w:spacing w:lineRule="auto" w:line="257" w:before="0" w:after="160"/>
      <w:ind w:hanging="0" w:start="720" w:end="0"/>
      <w:contextualSpacing/>
      <w:textAlignment w:val="auto"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38785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48.a" TargetMode="External"/><Relationship Id="rId5" Type="http://schemas.openxmlformats.org/officeDocument/2006/relationships/hyperlink" Target="http://www.nevo.co.il/case/23387851" TargetMode="External"/><Relationship Id="rId6" Type="http://schemas.openxmlformats.org/officeDocument/2006/relationships/hyperlink" Target="http://www.nevo.co.il/law/70301/448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3070531" TargetMode="External"/><Relationship Id="rId9" Type="http://schemas.openxmlformats.org/officeDocument/2006/relationships/hyperlink" Target="http://www.nevo.co.il/case/7812324" TargetMode="External"/><Relationship Id="rId10" Type="http://schemas.openxmlformats.org/officeDocument/2006/relationships/hyperlink" Target="http://www.nevo.co.il/case/24975721" TargetMode="External"/><Relationship Id="rId11" Type="http://schemas.openxmlformats.org/officeDocument/2006/relationships/hyperlink" Target="http://www.nevo.co.il/case/22849834" TargetMode="External"/><Relationship Id="rId12" Type="http://schemas.openxmlformats.org/officeDocument/2006/relationships/hyperlink" Target="http://www.nevo.co.il/case/21474168" TargetMode="External"/><Relationship Id="rId13" Type="http://schemas.openxmlformats.org/officeDocument/2006/relationships/hyperlink" Target="http://supreme.court.gov.il/" TargetMode="External"/><Relationship Id="rId14" Type="http://schemas.openxmlformats.org/officeDocument/2006/relationships/hyperlink" Target="http://www.nevo.co.il/advertisements/nevo-100.doc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2020-03-18T10:36:00Z</dcterms:created>
  <dc:creator>h4</dc:creator>
  <dc:description/>
  <cp:keywords/>
  <dc:language>en-IL</dc:language>
  <cp:lastModifiedBy>orly</cp:lastModifiedBy>
  <cp:lastPrinted>2020-03-17T12:21:00Z</cp:lastPrinted>
  <dcterms:modified xsi:type="dcterms:W3CDTF">2020-03-18T10:36:00Z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נתי מיהרט;אלי קייומוב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23387851:2;13070531;7812324;24975721;22849834;21474168</vt:lpwstr>
  </property>
  <property fmtid="{D5CDD505-2E9C-101B-9397-08002B2CF9AE}" pid="9" name="CITY">
    <vt:lpwstr/>
  </property>
  <property fmtid="{D5CDD505-2E9C-101B-9397-08002B2CF9AE}" pid="10" name="DATE">
    <vt:lpwstr>20200317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סולברג;א' שטיין;ח' מלצר</vt:lpwstr>
  </property>
  <property fmtid="{D5CDD505-2E9C-101B-9397-08002B2CF9AE}" pid="14" name="LAWLISTTMP1">
    <vt:lpwstr>70301/448.a</vt:lpwstr>
  </property>
  <property fmtid="{D5CDD505-2E9C-101B-9397-08002B2CF9AE}" pid="15" name="LAWYER">
    <vt:lpwstr>סיגל בלום;עופרה סיבוני;אסף שלם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הצתה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שיקום</vt:lpwstr>
  </property>
  <property fmtid="{D5CDD505-2E9C-101B-9397-08002B2CF9AE}" pid="52" name="NOSE34">
    <vt:lpwstr>התערבות ערכאת הערעור</vt:lpwstr>
  </property>
  <property fmtid="{D5CDD505-2E9C-101B-9397-08002B2CF9AE}" pid="53" name="NOSE35">
    <vt:lpwstr>מתחם הענישה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;8995;14346;8978;14985</vt:lpwstr>
  </property>
  <property fmtid="{D5CDD505-2E9C-101B-9397-08002B2CF9AE}" pid="59" name="PADIDATE">
    <vt:lpwstr>20200318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8347;8355</vt:lpwstr>
  </property>
  <property fmtid="{D5CDD505-2E9C-101B-9397-08002B2CF9AE}" pid="65" name="PROCYEAR">
    <vt:lpwstr>19;19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410120200317</vt:lpwstr>
  </property>
  <property fmtid="{D5CDD505-2E9C-101B-9397-08002B2CF9AE}" pid="69" name="TYPE_N_DATE">
    <vt:lpwstr>41020200317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