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8348/19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יפרח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37918-03-19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תמיר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8.6.2020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הושתו על המערער – נהג הסעות של אוכלוסיה בעלת צרכים מיוחדים שהורשע במסגרת הסדר טיעון בעבירות מין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אינוס ומעשה מגונה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ניצול לקות שכלית –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תשלום פיצוי לקורבן העבירות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כלפי חסר ישע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לשלם לקורבן העבירות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פיצוי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הרשעתו במסגרת הסדר טיעון בעבירת אינוס תוך ניצול לקות שכלית ובעבירות מעשה מגונה תוך ניצול לקות שכלית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 את שימש כנהג הסעות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ובמסגרת תפקידו הסיע אוכלוסייה של בעלי מוגבלות שכלית למסגרות עבודה שיקומיות בהם פלונית – ילידת </w:t>
      </w:r>
      <w:r>
        <w:rPr>
          <w:rFonts w:cs="Times New Roman" w:ascii="Times New Roman" w:hAnsi="Times New Roman"/>
          <w:spacing w:val="0"/>
          <w:sz w:val="24"/>
          <w:szCs w:val="26"/>
        </w:rPr>
        <w:t>1993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לוקה במוגבלות שכלית התפתחותית קלה ובשיתוק מוחין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נעם סולברג בהסכמת הנשיאה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חיות והשופטת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התערבותה של ערכאת הערעור בגזר דין שמורה למצבים חריגים שבהם נפלה טעות מהותית בהחלטת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שהעונש שנגזר חורג באופן קיצוני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אינו בא בגדרם של מצבים חריגים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גזרי הדין שאליהם הפנה המערער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ובערעור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 מבססים את המסקנה כי העונש שנגזר חורג ממדיניות הענישה הנוהגת נוכח ההבדלים בין אותם מקרים לענייננו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למצוא בפסיקה מקרים שנסיבותיהם זהות באופן מוחלט לאלו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 מגזרי הדין שאליהם הפנה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בהתייחסו למדיניות הענישה הנוהגת חמורים מזה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חלקם קלים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למקרא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עיון בפסיקה שאליה הפנו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ובפסיקה שאליה הפנה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מיוזמתו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לא נפל פגם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– חריגה קיצונית ממדיניות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במערער ניתן אמון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כנהג הסעות של אוכלוסיה בעלת צרכים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כחמישה חודשים הוא הופקד על הבאתה של פלונית מדי יום למסגרת התעסוקה השיקומית שבה שולבה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מודע למוגבלותה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לחולשתה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למד להכירהּ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האמון שניתן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גמל המערער באכזריות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אשר למד וידע על פלונית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ניצל המערער לצורך סיפוק יצריו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טרף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ראה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שלום גופה ונפשה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 חמל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המערער אינו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ואבוי לנו אם היה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 שעלינו לשוות לנגד עינינו 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אחרים פוטנציאליים שכמותו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למען יִראו ויִרָאו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תואם את חומרת מעשיו של המערער ואת תוצאותיהם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3.11.2019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37918-03-19</w:t>
      </w:r>
      <w:r>
        <w:rPr>
          <w:rtl w:val="true"/>
        </w:rPr>
        <w:t xml:space="preserve"> (</w:t>
      </w:r>
      <w:r>
        <w:rPr>
          <w:rtl w:val="true"/>
        </w:rPr>
        <w:t>סגנית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בגדרו נגזר על המערער עונש של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המערער לשלם לקורבן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פיצוי בסך של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1959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שיקומיות</w:t>
      </w:r>
      <w:r>
        <w:rPr>
          <w:rtl w:val="true"/>
        </w:rPr>
        <w:t xml:space="preserve">. </w:t>
      </w:r>
      <w:r>
        <w:rPr>
          <w:rtl w:val="true"/>
        </w:rPr>
        <w:t>מתוקף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18.2.2019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צווארה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לעשות אהבה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הוא השכיב אותה על כסאות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הסיר את מכנסיה ואת מכנסיו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מישש בחוזקה את 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הסיר את תחתוניה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ושפשף את איבר מינו באיבר מינה עד שהגיע לסיפוק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המערער ופלונית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הסיר את בגדיה ואת בגדיו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והשכיבה על המיטה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בעודה שוכבת על גבה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מרח המערער קרם על 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והחדירו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במקצת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כן בביתו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 הנאשם את פלונית בחוזקה וניסה להפשיטה מחולצתה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חדל ממעשיו לאחר שסירבה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כל התקופה הרלוונטית לכתב האישום הורה המערער לפלונית לא לספר על מעשיו לאמהּ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בהזהירו אותה כי האם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תכעס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ותצעק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Century"/>
          <w:rtl w:val="true"/>
        </w:rPr>
        <w:t>עליה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תחילת פרשת ההוכחות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וב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הגיעו להסדר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הסכמה לגבי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הודה בעובדות 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המערער בעבירת אינוס תוך ניצול לקות שכלית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ובעבירות מעשה מגונה תוך ניצול לקות שכלית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העונשין בנסיבות </w:t>
      </w:r>
      <w:hyperlink r:id="rId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ויחסיו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למוגבלויותיה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מכן פנה בית המשפט לגזור את עונשו של המערער בתוך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לזכותו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את גילו המבוגר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כבן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ההשפעה הקשה שתהיה למאסר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הקושי הצפוי לו בשיקום חייו לאחר שחרורו מהכלא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מבחינה כלכלית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נשקלה השפעת העונש על משפחתו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אשתו ושני ילדיו הקטנים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שעבורם הוא המפרנס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משקל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יחס בית המשפט לכך שהמערער הודה ולקח אחריות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הודאתו ניתנה באוזני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חסכה את העדתה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וסייעה לה להבין שהיא הקורבן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אינה אשמה במה שקרה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בתחילת הדרך התקשה המערער לקחת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ומתסקיר שירות המבחן עולה שייחס אשמה לפלונית וטען כי מקור התלונה בנקמנות שלה ושל אמה כלפיו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פרק זמן מסוים חזר בו המערער מהדברים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ובסוף המשפט הבהיר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מתחרט ומתנצל על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התרשם לחיוב מכנות דבריו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לחובתו של המערער נזקפה העובדה שחרף לקיחת האחריות הוא לא החל בטיפול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בדיון האחרון הודיע שהוא חפץ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עמד בית המשפט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שמהתסקיר עולה צורך מובהק בהרתעתו של המערער ובהצבת גבולות ברורים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במכלול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יש למקם את העניין בשליש התחתון של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וגזר על המערער עונש מאסר בפועל למשך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 למשך 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שיופעל אם יעבור עבירת מין מסוג פשע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שהושת עליו חורג באופן משמעותי 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מפנה המערער לשלושה גזרי דין שניתנו בנסיבות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התעלם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מהם לטענתו </w:t>
      </w:r>
      <w:r>
        <w:rPr>
          <w:rFonts w:cs="Century" w:ascii="Century" w:hAnsi="Century"/>
          <w:rtl w:val="true"/>
        </w:rPr>
        <w:t>(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5246/15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חקשוריאן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1.2.2016</w:t>
      </w:r>
      <w:r>
        <w:rPr>
          <w:rFonts w:cs="Century" w:ascii="Century" w:hAnsi="Century"/>
          <w:rtl w:val="true"/>
        </w:rPr>
        <w:t xml:space="preserve">);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9392/12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יגודאב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1.10.2013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</w:t>
      </w:r>
      <w:hyperlink r:id="rId11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1274/00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20.7.2000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עוד גורס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יוחס משקל מספיק לכך שהודאתו ניתנה לאחר תיקון משמעותי שנעשה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ונראה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עובר לדיון בערעור הונחו לפנינו חוות דעת מטעם המרכז להערכת מסוכנות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ותסקיר משלים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בהערכת המסוכנות מתואר יחס אמביוולנטי למעשי העבירה מצד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מחד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עומת עם כתב האישום המתוקן 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וכשנשאל האם לקח את פלונית אליו הביתה ופגע בה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שזה מעולם לא 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מציין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ההערכה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רמת המסוכנות המינית הנשקפת מן המערער היא נמוכה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 המשלים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סמך אינפורמציה שהתקבלה מהשירות הסוציאלי בבית הסוהר שבו נמצא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הוא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פיתוי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ויוזמה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8.6.2020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 על טענותיו וציין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בהתחשב בהודאתו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שנחסכה העדתה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מקום לגזור את עונשו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הגבוה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חומרת המעשים מצדיקה את העונש שנגזר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העונש מתיישב עם 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הדגישה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לא שילם את הפיצוי הכספי שבו חויב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שעולה מהערכת המסוכנות ומהתסקיר המשלים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אינו לוקח אחריות על המעשים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  <w:t xml:space="preserve"> </w:t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התערבותה של ערכאת הערעור בגזר דין שמורה למצבים חריגים שבהם נפלה טעות מהותית בהחלטת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שהעונש שנגזר חורג באופן קיצוני ממדיניות הענישה הנוהגת </w:t>
      </w:r>
      <w:r>
        <w:rPr>
          <w:rFonts w:cs="Century" w:ascii="Century" w:hAnsi="Century"/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1242/97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3.2.1998</w:t>
      </w:r>
      <w:r>
        <w:rPr>
          <w:rFonts w:cs="Century" w:ascii="Century" w:hAnsi="Century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3091/08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הנדון דידן אינו בא בגדרם של מצבים חריגים אלו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אינני סבור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גזרי הדין שאליהם הפנה המערער בבית המשפט המחוזי ובערעור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מבססים את המסקנה כי העונש שנגזר חורג ממדיניות הענישה הנוהגת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אחד מהנאשמים בתיקים שאליהם הפנה המערער לא ניצל את מעמדו ותפקידו המקצועי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ואת הקשר שנוצר מתוקף תפקיד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כפי שעשה המערער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מבין שלושת התיקים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היחיד שעסק בניצול יחסי קרבה הוא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היה הנאשם 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זוגה של אחותה של קורבן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חקשוריאן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הנאשם בעבירות של 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הסדר טיעון שבו הסכימו הצדדים כי התביעה תעתור לעונש של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אין הנדון דומה לראיה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בענייננו הורשע לא רק בעבירות 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גם בעבירת אינוס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הסדר הטיעון בינו לבין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כלל הסכמה לגבי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חקשוריאן</w:t>
      </w:r>
      <w:r>
        <w:rPr>
          <w:rFonts w:ascii="Century" w:hAnsi="Century" w:cs="Century"/>
          <w:rtl w:val="true"/>
        </w:rPr>
        <w:t xml:space="preserve"> נשקלו לקולא גילו המבוגר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שהיה כבן 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ומצבו הרפואי הירוד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להשוואה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יגודאב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היא אינה חפה מקשיים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נוכח מוגבלותו הקוגניטיבית של המערער באותו 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והאופק השיקומי שאליו התייחס בית המשפט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עיקר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כידוע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למשנהו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32/14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17.9.2015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למצוא בפסיקה מקרים שנסיבותיהם זהות באופן מוחלט לאלו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חלק מגזרי הדין שאליהם הפנה בית המשפט המחוזי בהתייחסו למדיניות הענישה הנוהגת חמורים מזה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חלקם קלים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למקרא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עיון בפסיקה שאליה הפנו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ובפסיקה שאליה הפנה בית המשפט המחוזי מיוזמתו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לא נפל פגם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כל שכן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חריגה קיצונית ממדיניות הענישה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במערער ניתן 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כנהג הסעות של אוכלוסיה בעלת צרכים מיוחדים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במשך כחמישה חודשים הוא הופקד על הבאתה של פלונית מדי יום למסגרת התעסוקה השיקומית שבה שולבה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היה מודע למוגבלותה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לחולשתה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למד להכירהּ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האמון שניתן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גמל המערער באכזריות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אשר למד וידע על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ניצל המערער לצורך סיפוק יצריו</w:t>
      </w:r>
      <w:r>
        <w:rPr>
          <w:rFonts w:cs="Century" w:ascii="Century" w:hAnsi="Century"/>
          <w:rtl w:val="true"/>
        </w:rPr>
        <w:t>. '</w:t>
      </w:r>
      <w:r>
        <w:rPr>
          <w:rFonts w:ascii="Century" w:hAnsi="Century" w:cs="Century"/>
          <w:rtl w:val="true"/>
        </w:rPr>
        <w:t>טרף קל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ראה 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על שלום גופה ונפשה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חמל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העונש שנגזר על המערער אינו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ואבוי לנו אם היה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שעלינו לשוות לנגד עינינו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אחרים פוטנציאליים שכמותו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למען יִראו ויִרָאו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העונש 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תואם את חומרת מעשיו של המערער ואת תוצאותיהם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אציע אפוא לחברותי לדחות את הערעור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18.6.2020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19083480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54678313-8348/19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8348/19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יהודה יפרח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5" TargetMode="External"/><Relationship Id="rId4" Type="http://schemas.openxmlformats.org/officeDocument/2006/relationships/hyperlink" Target="http://www.nevo.co.il/law/70301/348.a" TargetMode="External"/><Relationship Id="rId5" Type="http://schemas.openxmlformats.org/officeDocument/2006/relationships/hyperlink" Target="http://www.nevo.co.il/law/70301/345.a.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45.a.5" TargetMode="External"/><Relationship Id="rId9" Type="http://schemas.openxmlformats.org/officeDocument/2006/relationships/hyperlink" Target="http://www.nevo.co.il/case/20470685" TargetMode="External"/><Relationship Id="rId10" Type="http://schemas.openxmlformats.org/officeDocument/2006/relationships/hyperlink" Target="http://www.nevo.co.il/case/6249131" TargetMode="External"/><Relationship Id="rId11" Type="http://schemas.openxmlformats.org/officeDocument/2006/relationships/hyperlink" Target="http://www.nevo.co.il/case/5758217" TargetMode="External"/><Relationship Id="rId12" Type="http://schemas.openxmlformats.org/officeDocument/2006/relationships/hyperlink" Target="http://www.nevo.co.il/case/5755866" TargetMode="External"/><Relationship Id="rId13" Type="http://schemas.openxmlformats.org/officeDocument/2006/relationships/hyperlink" Target="http://www.nevo.co.il/case/5875466" TargetMode="External"/><Relationship Id="rId14" Type="http://schemas.openxmlformats.org/officeDocument/2006/relationships/hyperlink" Target="http://www.nevo.co.il/case/20291305" TargetMode="External"/><Relationship Id="rId15" Type="http://schemas.openxmlformats.org/officeDocument/2006/relationships/hyperlink" Target="http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2020-07-06T08:43:00Z</dcterms:created>
  <dc:creator>h4</dc:creator>
  <dc:description/>
  <cp:keywords/>
  <dc:language>en-IL</dc:language>
  <cp:lastModifiedBy>hofit</cp:lastModifiedBy>
  <cp:lastPrinted>2020-06-18T18:07:00Z</cp:lastPrinted>
  <dcterms:modified xsi:type="dcterms:W3CDTF">2020-07-06T08:43:00Z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יהודה יפרח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20470685;6249131;5758217;5755866;5875466;20291305</vt:lpwstr>
  </property>
  <property fmtid="{D5CDD505-2E9C-101B-9397-08002B2CF9AE}" pid="9" name="CITY">
    <vt:lpwstr/>
  </property>
  <property fmtid="{D5CDD505-2E9C-101B-9397-08002B2CF9AE}" pid="10" name="DATE">
    <vt:lpwstr>20200618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וילנר;א' חיות</vt:lpwstr>
  </property>
  <property fmtid="{D5CDD505-2E9C-101B-9397-08002B2CF9AE}" pid="14" name="LAWLISTTMP1">
    <vt:lpwstr>70301/345.a.5:2;348.a</vt:lpwstr>
  </property>
  <property fmtid="{D5CDD505-2E9C-101B-9397-08002B2CF9AE}" pid="15" name="LAWYER">
    <vt:lpwstr>עדי שגב;איתי בן נון;ברכה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התערבות ערכאת ערעור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עבירות מין</vt:lpwstr>
  </property>
  <property fmtid="{D5CDD505-2E9C-101B-9397-08002B2CF9AE}" pid="52" name="NOSE34">
    <vt:lpwstr>מדיניות ענישה: עבירות כלפי חסר ישע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8982;8995;8988;18011</vt:lpwstr>
  </property>
  <property fmtid="{D5CDD505-2E9C-101B-9397-08002B2CF9AE}" pid="59" name="PADIDATE">
    <vt:lpwstr>20200622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8348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410120200618</vt:lpwstr>
  </property>
  <property fmtid="{D5CDD505-2E9C-101B-9397-08002B2CF9AE}" pid="69" name="TYPE_N_DATE">
    <vt:lpwstr>41020200618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