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/>
            </w:pP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 המשפט העליון בשבתו כבית משפט לערעורים פליליים</w:t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/>
            </w:pPr>
            <w:bookmarkStart w:id="0" w:name="casename_body"/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  </w:t>
            </w:r>
            <w:r>
              <w:rPr>
                <w:rFonts w:cs="David" w:ascii="David" w:hAnsi="David"/>
                <w:b/>
                <w:bCs/>
                <w:sz w:val="28"/>
                <w:szCs w:val="28"/>
              </w:rPr>
              <w:t>8358/14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/>
      </w:pPr>
      <w:r>
        <w:rPr>
          <w:rFonts w:eastAsia="Miriam" w:cs="Miriam" w:ascii="Miriam" w:hAnsi="Miriam"/>
          <w:b/>
          <w:bCs/>
          <w:sz w:val="24"/>
          <w:szCs w:val="24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 ח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 צ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1" w:name="LastJudge"/>
            <w:bookmarkEnd w:id="1"/>
            <w:r>
              <w:rPr>
                <w:rFonts w:eastAsia="David" w:cs="David" w:ascii="David" w:hAnsi="David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כבוד השופט נ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ascii="Miriam" w:hAnsi="Miriam" w:eastAsia="Miriam" w:cs="Miriam"/>
          <w:b/>
          <w:bCs/>
          <w:sz w:val="28"/>
          <w:szCs w:val="28"/>
        </w:rPr>
      </w:pPr>
      <w:r>
        <w:rPr>
          <w:rFonts w:eastAsia="Miriam" w:cs="Miriam" w:ascii="Miriam" w:hAnsi="Miriam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מדינת 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 xml:space="preserve">ערעור על הכרעת הדין מיום </w:t>
            </w:r>
            <w:r>
              <w:rPr>
                <w:rFonts w:cs="David" w:ascii="David" w:hAnsi="David"/>
                <w:sz w:val="24"/>
                <w:szCs w:val="24"/>
              </w:rPr>
              <w:t>21.5.2014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 xml:space="preserve">ועל גזר הדין מיום </w:t>
            </w:r>
            <w:r>
              <w:rPr>
                <w:rFonts w:cs="David" w:ascii="David" w:hAnsi="David"/>
                <w:sz w:val="24"/>
                <w:szCs w:val="24"/>
              </w:rPr>
              <w:t>22.10.2014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של בית המשפט המחוזי מרכז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לוד ב</w:t>
            </w:r>
            <w:hyperlink r:id="rId2">
              <w:r>
                <w:rPr>
                  <w:rStyle w:val="Hyperlink"/>
                  <w:rFonts w:ascii="David" w:hAnsi="David"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 w:ascii="David" w:hAnsi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David" w:hAnsi="David"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ח   </w:t>
              </w:r>
              <w:r>
                <w:rPr>
                  <w:rStyle w:val="Hyperlink"/>
                  <w:rFonts w:cs="David" w:ascii="David" w:hAnsi="David"/>
                  <w:color w:val="0000FF"/>
                  <w:sz w:val="24"/>
                  <w:szCs w:val="24"/>
                  <w:u w:val="single"/>
                </w:rPr>
                <w:t>4112-03-13</w:t>
              </w:r>
            </w:hyperlink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שניתנו על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ידי סגנית הנשיא ר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,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והשופטים צ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דותן וע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וינברג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-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נוטוביץ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תאריך הישיבה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בכסלו התשע</w:t>
            </w:r>
            <w:r>
              <w:rPr>
                <w:rFonts w:cs="David" w:ascii="David" w:hAnsi="David"/>
                <w:sz w:val="24"/>
                <w:szCs w:val="24"/>
                <w:rtl w:val="true"/>
              </w:rPr>
              <w:t>"</w:t>
            </w:r>
            <w:r>
              <w:rPr>
                <w:rFonts w:ascii="David" w:hAnsi="David"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07.12.2016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בשם המערער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 יאיר נדשי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בשם המשיב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"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ד נעימה חינאווי</w:t>
            </w:r>
            <w:r>
              <w:rPr>
                <w:rFonts w:cs="David" w:ascii="David" w:hAnsi="David"/>
                <w:sz w:val="28"/>
                <w:szCs w:val="28"/>
                <w:rtl w:val="true"/>
              </w:rPr>
              <w:t>-</w:t>
            </w:r>
            <w:r>
              <w:rPr>
                <w:rFonts w:ascii="David" w:hAnsi="David" w:cs="David"/>
                <w:sz w:val="28"/>
                <w:sz w:val="28"/>
                <w:szCs w:val="28"/>
                <w:rtl w:val="true"/>
              </w:rPr>
              <w:t>כראם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bookmarkStart w:id="4" w:name="Links_Start"/>
      <w:bookmarkEnd w:id="4"/>
      <w:r>
        <w:rPr>
          <w:rFonts w:ascii="FrankRuehl" w:hAnsi="FrankRuehl" w:cs="FrankRuehl"/>
          <w:sz w:val="24"/>
          <w:sz w:val="24"/>
          <w:szCs w:val="24"/>
          <w:rtl w:val="true"/>
        </w:rPr>
        <w:t>ספרות</w:t>
      </w:r>
      <w:r>
        <w:rPr>
          <w:rFonts w:cs="FrankRuehl" w:ascii="FrankRuehl" w:hAnsi="FrankRuehl"/>
          <w:sz w:val="24"/>
          <w:szCs w:val="24"/>
          <w:rtl w:val="true"/>
        </w:rPr>
        <w:t>: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  <w:rFonts w:ascii="FrankRuehl" w:hAnsi="FrankRuehl" w:cs="FrankRuehl"/>
          <w:sz w:val="24"/>
          <w:szCs w:val="24"/>
          <w:u w:val="non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יעקב קדמי 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u w:val="non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על הראיות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חלק ראשון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  <w:u w:val="none"/>
            <w:rtl w:val="true"/>
          </w:rPr>
          <w:t xml:space="preserve">- </w:t>
        </w:r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u w:val="none"/>
            <w:rtl w:val="true"/>
          </w:rPr>
          <w:t xml:space="preserve">הדין בראי הפסיקה 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hyperlink r:id="rId4">
        <w:r>
          <w:rPr>
            <w:rtl w:val="true"/>
          </w:rPr>
        </w:r>
      </w:hyperlink>
      <w:bookmarkStart w:id="5" w:name="LawTable"/>
      <w:bookmarkStart w:id="6" w:name="Links_End"/>
      <w:bookmarkStart w:id="7" w:name="LawTable"/>
      <w:bookmarkStart w:id="8" w:name="Links_End"/>
      <w:bookmarkEnd w:id="7"/>
      <w:bookmarkEnd w:id="8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ascii="FrankRuehl" w:hAnsi="FrankRuehl" w:cs="FrankRuehl"/>
          <w:color w:val="0000FF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color w:val="0000FF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1971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</w:rPr>
      </w:pPr>
      <w:r>
        <w:rPr>
          <w:rFonts w:cs="FrankRuehl" w:ascii="FrankRuehl" w:hAnsi="FrankRuehl"/>
          <w:color w:val="0000FF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11" w:name="ABSTRACT_START"/>
      <w:bookmarkEnd w:id="11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מתחזקים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בהתרשמותה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במשפחה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ארוכה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החורגת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קטינה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ותשלום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פיצויים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100,000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במצבים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טעמי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וידועים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מתחזקים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כשבהתרשמותה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עסקינן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כזה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מעצם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טיבו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עוסקת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טראומטי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ואינטימי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ולפיכך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מתעורר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ורהוטה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הדיבור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הגוף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התוכן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ממצאי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המהימנות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ולחובת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נימוקי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נכוחים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ומשכנעים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הרשעת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היטב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מעיקר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להוראת</w:t>
      </w:r>
      <w:r>
        <w:rPr>
          <w:sz w:val="24"/>
          <w:sz w:val="24"/>
          <w:szCs w:val="26"/>
          <w:rtl w:val="true"/>
        </w:rPr>
        <w:t xml:space="preserve"> </w:t>
      </w:r>
      <w:hyperlink r:id="rId13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54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4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הראיות</w:t>
        </w:r>
      </w:hyperlink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ובלבד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ינמק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להסתפק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שנעשה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עומדת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הראייתי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לעדותה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מצטרפות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המאמתות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ומחזקות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בגרסתה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וראיות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אחרות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התלונות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ממסע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נקמה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ולשיטתו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ביסוס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ראייתי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עדותה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בקטינה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שבוצעו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תופעה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שכיחה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ומוכרת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והבהיר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בכבישת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קורבנות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ממושך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במהימנותם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הכבישה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ולסיבת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הגילוי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המניח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מדרכה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סטייה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והראויה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שנועדה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מוּגנת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ושמוּרה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בהיותה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11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כחפצו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כשלוש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ולפגיעתן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הכרח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להוקיע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מבצעי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ולנקוט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>.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המתלוננת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נפגעה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קשות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הצריכים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האינדיבידואליים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והכלליים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איזן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וחיקר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כהלכה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וראוי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12" w:name="ABSTRACT_END"/>
      <w:bookmarkStart w:id="13" w:name="ABSTRACT_END"/>
      <w:bookmarkEnd w:id="13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4" w:name="PsakDin"/>
            <w:bookmarkStart w:id="15" w:name="secretary"/>
            <w:bookmarkStart w:id="16" w:name="BeginProtocol"/>
            <w:bookmarkEnd w:id="14"/>
            <w:bookmarkEnd w:id="15"/>
            <w:bookmarkEnd w:id="16"/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פסק</w:t>
            </w:r>
            <w:r>
              <w:rPr>
                <w:rFonts w:cs="David" w:ascii="David" w:hAnsi="David"/>
                <w:b/>
                <w:bCs/>
                <w:sz w:val="28"/>
                <w:szCs w:val="28"/>
                <w:u w:val="none"/>
                <w:rtl w:val="true"/>
              </w:rPr>
              <w:t>-</w:t>
            </w:r>
            <w:r>
              <w:rPr>
                <w:rFonts w:ascii="David" w:hAnsi="David" w:cs="David"/>
                <w:b/>
                <w:b/>
                <w:bCs/>
                <w:sz w:val="28"/>
                <w:sz w:val="28"/>
                <w:szCs w:val="28"/>
                <w:u w:val="none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7" w:name="Writer_Name"/>
      <w:bookmarkEnd w:id="17"/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השופט נ</w:t>
      </w:r>
      <w:r>
        <w:rPr>
          <w:rFonts w:cs="Miriam" w:ascii="Miriam" w:hAnsi="Miriam"/>
          <w:sz w:val="24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u w:val="single"/>
          <w:rtl w:val="true"/>
        </w:rPr>
        <w:t>סולברג</w:t>
      </w:r>
      <w:r>
        <w:rPr>
          <w:rFonts w:cs="Miriam" w:ascii="Miriam" w:hAnsi="Miriam"/>
          <w:sz w:val="24"/>
          <w:szCs w:val="24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bookmarkStart w:id="18" w:name="Start_Write"/>
      <w:bookmarkEnd w:id="18"/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ערעור על הכרעת הדין מיום </w:t>
      </w:r>
      <w:r>
        <w:rPr>
          <w:rFonts w:cs="FrankRuehl" w:ascii="FrankRuehl" w:hAnsi="FrankRuehl"/>
          <w:spacing w:val="10"/>
          <w:sz w:val="28"/>
          <w:szCs w:val="28"/>
        </w:rPr>
        <w:t>21.5.2014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ועל גזר הדין מיום </w:t>
      </w:r>
      <w:r>
        <w:rPr>
          <w:rFonts w:cs="FrankRuehl" w:ascii="FrankRuehl" w:hAnsi="FrankRuehl"/>
          <w:spacing w:val="10"/>
          <w:sz w:val="28"/>
          <w:szCs w:val="28"/>
        </w:rPr>
        <w:t>22.10.2014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שניתנו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ידי בית המשפט המחוזי מרכז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לוד ב</w:t>
      </w:r>
      <w:hyperlink r:id="rId1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4112-03-13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סגנית הנשיא </w:t>
      </w:r>
      <w:r>
        <w:rPr>
          <w:rFonts w:ascii="Miriam" w:hAnsi="Miriam" w:cs="Miriam"/>
          <w:sz w:val="24"/>
          <w:sz w:val="24"/>
          <w:szCs w:val="24"/>
          <w:rtl w:val="true"/>
        </w:rPr>
        <w:t>ר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לורך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והשופטים </w:t>
      </w:r>
      <w:r>
        <w:rPr>
          <w:rFonts w:ascii="Miriam" w:hAnsi="Miriam" w:cs="Miriam"/>
          <w:sz w:val="24"/>
          <w:sz w:val="24"/>
          <w:szCs w:val="24"/>
          <w:rtl w:val="true"/>
        </w:rPr>
        <w:t>צ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דותן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ו</w:t>
      </w:r>
      <w:r>
        <w:rPr>
          <w:rFonts w:ascii="Miriam" w:hAnsi="Miriam" w:cs="Miriam"/>
          <w:sz w:val="24"/>
          <w:sz w:val="24"/>
          <w:szCs w:val="24"/>
          <w:rtl w:val="true"/>
        </w:rPr>
        <w:t>ע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וינברג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נוטוביץ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במסגרתם הורשע המערער בביצוע שורה ארוכה של עבירות מין בבתו החורגת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ילידת שנת </w:t>
      </w:r>
      <w:r>
        <w:rPr>
          <w:rFonts w:cs="FrankRuehl" w:ascii="FrankRuehl" w:hAnsi="FrankRuehl"/>
          <w:spacing w:val="10"/>
          <w:sz w:val="28"/>
          <w:szCs w:val="28"/>
        </w:rPr>
        <w:t>1998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בהיותה קטינה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והושת עליו עונש מאסר בפועל למשך </w:t>
      </w:r>
      <w:r>
        <w:rPr>
          <w:rFonts w:cs="FrankRuehl" w:ascii="FrankRuehl" w:hAnsi="FrankRuehl"/>
          <w:spacing w:val="10"/>
          <w:sz w:val="28"/>
          <w:szCs w:val="28"/>
        </w:rPr>
        <w:t>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בניכוי ימי מעצרו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חודשי מאסר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תנאי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כמו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חויב המערער בתשלום פיצויים למתלוננת בסך של </w:t>
      </w:r>
      <w:r>
        <w:rPr>
          <w:rFonts w:cs="FrankRuehl" w:ascii="FrankRuehl" w:hAnsi="FrankRuehl"/>
          <w:spacing w:val="10"/>
          <w:sz w:val="28"/>
          <w:szCs w:val="28"/>
        </w:rPr>
        <w:t>100,000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עיקרי כתב האישום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כתב האישום מפרט מסכת קשה של 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מין שביצע המערער בבתו החורגת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ילידת שנת </w:t>
      </w:r>
      <w:r>
        <w:rPr>
          <w:rFonts w:cs="FrankRuehl" w:ascii="FrankRuehl" w:hAnsi="FrankRuehl"/>
          <w:spacing w:val="10"/>
          <w:sz w:val="28"/>
          <w:szCs w:val="28"/>
        </w:rPr>
        <w:t>1998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במשך 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החל משנת </w:t>
      </w:r>
      <w:r>
        <w:rPr>
          <w:rFonts w:cs="FrankRuehl" w:ascii="FrankRuehl" w:hAnsi="FrankRuehl"/>
          <w:spacing w:val="10"/>
          <w:sz w:val="28"/>
          <w:szCs w:val="28"/>
        </w:rPr>
        <w:t>2009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חשף את איבר מינו בפניה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ביצע בה מעשים מגונים ומעשי אונס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בביתם ובבית הורי אִמהּ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נהג ללטף את המתלוננת בכל חלקי גופה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מעל ומתחת לבגדיה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להחדיר את אצבעותיו לאיבר מינה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ולחכך את איבר מינו בחלקי גופה כשהם חשופים ומעל לבגדיה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הכריחהּ לגעת באיבר מינו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לעיתים ניסתה המתלוננת להתנגד למעשיו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אך לא יכלה לו – המערער אחז בה בכוח והמשיך לבצע בה את זממו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בגין מעשים 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הואשם המערער במספר עבירות מין במשפחה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לפי </w:t>
      </w:r>
      <w:hyperlink r:id="rId1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סעיפים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hyperlink r:id="rId17"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hyperlink r:id="rId18"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19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חוק העונשין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1977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החוק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בנסיבות הקבועות </w:t>
      </w:r>
      <w:hyperlink r:id="rId20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בסעיפים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hyperlink r:id="rId21"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בכך שאנס קטינה בת משפחתו שטרם מלאו לה </w:t>
      </w:r>
      <w:r>
        <w:rPr>
          <w:rFonts w:cs="FrankRuehl" w:ascii="FrankRuehl" w:hAnsi="FrankRuehl"/>
          <w:spacing w:val="10"/>
          <w:sz w:val="28"/>
          <w:szCs w:val="28"/>
        </w:rPr>
        <w:t>14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אנסהּ בעת שמלאו לה </w:t>
      </w:r>
      <w:r>
        <w:rPr>
          <w:rFonts w:cs="FrankRuehl" w:ascii="FrankRuehl" w:hAnsi="FrankRuehl"/>
          <w:spacing w:val="10"/>
          <w:sz w:val="28"/>
          <w:szCs w:val="28"/>
        </w:rPr>
        <w:t>14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שנים וטרם מלאו לה </w:t>
      </w:r>
      <w:r>
        <w:rPr>
          <w:rFonts w:cs="FrankRuehl" w:ascii="FrankRuehl" w:hAnsi="FrankRuehl"/>
          <w:spacing w:val="10"/>
          <w:sz w:val="28"/>
          <w:szCs w:val="28"/>
        </w:rPr>
        <w:t>21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וכמו כן ביצע בה מעשה מגונה בעת שטרם מלאו לה </w:t>
      </w:r>
      <w:r>
        <w:rPr>
          <w:rFonts w:cs="FrankRuehl" w:ascii="FrankRuehl" w:hAnsi="FrankRuehl"/>
          <w:spacing w:val="10"/>
          <w:sz w:val="28"/>
          <w:szCs w:val="28"/>
        </w:rPr>
        <w:t>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שלא בהסכמתה החופשית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 xml:space="preserve">תשובת המערער לכתב האישום וגרסאותיו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בתשובתו לכתב האישום כפר המערער במיוחס 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בדתה את המעשים הללו מלִבּהּ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מחמת רצונה לנקום בו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וכי הוסתה לכך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ידי אמה והוריה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בשלב מסוים במהלך חקירותיו במשטרה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שינה המערער את גרסתו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וטען כי יתכן שהמתלוננת ביצעה בו חלק מהמעשים המיוחסים 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ומכיוון 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לא היה מודע לכך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שורה </w:t>
      </w:r>
      <w:r>
        <w:rPr>
          <w:rFonts w:cs="FrankRuehl" w:ascii="FrankRuehl" w:hAnsi="FrankRuehl"/>
          <w:spacing w:val="10"/>
          <w:sz w:val="28"/>
          <w:szCs w:val="28"/>
        </w:rPr>
        <w:t>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שורות </w:t>
      </w:r>
      <w:r>
        <w:rPr>
          <w:rFonts w:cs="FrankRuehl" w:ascii="FrankRuehl" w:hAnsi="FrankRuehl"/>
          <w:spacing w:val="10"/>
          <w:sz w:val="28"/>
          <w:szCs w:val="28"/>
        </w:rPr>
        <w:t>160-159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345-340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354-350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420-419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שורות </w:t>
      </w:r>
      <w:r>
        <w:rPr>
          <w:rFonts w:cs="FrankRuehl" w:ascii="FrankRuehl" w:hAnsi="FrankRuehl"/>
          <w:spacing w:val="10"/>
          <w:sz w:val="28"/>
          <w:szCs w:val="28"/>
        </w:rPr>
        <w:t>405-396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450-441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457-456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שורות </w:t>
      </w:r>
      <w:r>
        <w:rPr>
          <w:rFonts w:cs="FrankRuehl" w:ascii="FrankRuehl" w:hAnsi="FrankRuehl"/>
          <w:spacing w:val="10"/>
          <w:sz w:val="28"/>
          <w:szCs w:val="28"/>
        </w:rPr>
        <w:t>264-263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במסגרת הדיון בבקשה להארכת מעצרו בבית המשפט המחוזי ולאחר מכן גם במהלך עדותו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עדכן המערער את גרסתו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וציין כי במהלך שנת </w:t>
      </w:r>
      <w:r>
        <w:rPr>
          <w:rFonts w:cs="FrankRuehl" w:ascii="FrankRuehl" w:hAnsi="FrankRuehl"/>
          <w:spacing w:val="10"/>
          <w:sz w:val="28"/>
          <w:szCs w:val="28"/>
        </w:rPr>
        <w:t>2012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בתשעה מקרים שונים הזכורים 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הגיעה המתלוננת לחדרו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נשכבה לצדו וניצלה אותו לסיפוקה המיני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הדיון בבית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118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עיקרי פסק הדין של בית המשפט המחוזי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 של בית המשפט המחוזי מקיפה ומנומקת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ומבוססת על עדותה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בצירוף עדויותיהם של בני משפחתה וגורמי הרווחה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עדויות התומכות בגרסתה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ומנגד שוללות את גרסתו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אשר בית המשפט המחוזי קבע כי היא כבושה ומתפתחת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ואין ליתן בה אֵמון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המחוזי מצא את עדותה של המתלוננת אמינה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בקובעו 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:</w:t>
      </w:r>
    </w:p>
    <w:p>
      <w:pPr>
        <w:pStyle w:val="Normal"/>
        <w:ind w:start="1644" w:end="1276"/>
        <w:jc w:val="both"/>
        <w:rPr/>
      </w:pPr>
      <w:r>
        <w:rPr>
          <w:rFonts w:eastAsia="Miriam" w:cs="Miriam" w:ascii="Miriam" w:hAnsi="Miriam"/>
          <w:sz w:val="24"/>
          <w:szCs w:val="24"/>
          <w:rtl w:val="true"/>
        </w:rPr>
        <w:t xml:space="preserve"> </w:t>
      </w:r>
    </w:p>
    <w:p>
      <w:pPr>
        <w:pStyle w:val="Normal"/>
        <w:ind w:start="1644" w:end="1276"/>
        <w:jc w:val="both"/>
        <w:rPr/>
      </w:pP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ההתרשמות הינה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כי מדובר במתלוננת מהימנה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עדותה אמינה ביותר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על פיה ניתן לקבוע ממצאים מעבר לספק סביר </w:t>
      </w:r>
      <w:r>
        <w:rPr>
          <w:rFonts w:cs="Miriam" w:ascii="Miriam" w:hAnsi="Miriam"/>
          <w:sz w:val="24"/>
          <w:szCs w:val="24"/>
          <w:rtl w:val="true"/>
        </w:rPr>
        <w:t xml:space="preserve">[...] </w:t>
      </w:r>
    </w:p>
    <w:p>
      <w:pPr>
        <w:pStyle w:val="Normal"/>
        <w:ind w:start="1644" w:end="1276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עדותה היתה מלווה בפירוט רב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בהדגמות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היא לא השחירה את דמותו של הנאשם והקפידה לדייק בפרטי אירועי המין </w:t>
      </w:r>
      <w:r>
        <w:rPr>
          <w:rFonts w:cs="Miriam" w:ascii="Miriam" w:hAnsi="Miriam"/>
          <w:sz w:val="24"/>
          <w:szCs w:val="24"/>
          <w:rtl w:val="true"/>
        </w:rPr>
        <w:t xml:space="preserve">[...] </w:t>
      </w:r>
    </w:p>
    <w:p>
      <w:pPr>
        <w:pStyle w:val="Normal"/>
        <w:ind w:start="1644" w:end="1276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סגנונה של המתלוננת הינו פשוט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כן ואמיתי ונעדר תחכום </w:t>
      </w:r>
      <w:r>
        <w:rPr>
          <w:rFonts w:cs="Miriam" w:ascii="Miriam" w:hAnsi="Miriam"/>
          <w:sz w:val="24"/>
          <w:szCs w:val="24"/>
          <w:rtl w:val="true"/>
        </w:rPr>
        <w:t xml:space="preserve">[...] </w:t>
      </w:r>
    </w:p>
    <w:p>
      <w:pPr>
        <w:pStyle w:val="Normal"/>
        <w:ind w:start="1644" w:end="1276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גם שאלות רבות שנשאלה במהלך החקירה הנגדית לא ערערו את ביטחונה של המתלוננת והיא סיפקה הסברים סבירים והגיוניים לשאלות הסנגור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 של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23-22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המחוזי קבע כי עדויותיהם של בני משפחת המתלוננת – אמה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אחיותיה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הוגשו בהסכמה מבלי להעיד את חוקרת הילדים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אחיה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סבתהּ וסבהּ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גם עדויות גורמי הרווחה אשר ביקרו בבית המשפחה בתקופה בה בוצעו המעשים המיניים במתלוננת – הן אמינות ומשכנעות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נקבע כי עדויות אלה מאמתות את גרסת המתלוננת במספר נושאים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השליט בבית אווירת פחד והשתקה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זכתה ליחס מועדף מצדו של המערער על פני יתר בני המשפחה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נצפה שוכב לצד המתלוננת במיטתה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במיטתו שבחדרו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ובמיטה שבחדר בבית הורי אמה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כאשר עיניו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שלו עצומות ועיניה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שלה פקוחות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ושמיכה מכסה את גופם של השניים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כאשר אחד מבני המשפחה היה מתקרב לחדר בו שהו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היה המערער מגרשם משם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במספר מקרים הורה המערער למתלוננת להיכנס לחדרו כדי שתעשה לו מסאג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במספר מקרים המערער ישן לילה שלם יחד עם המתלוננת בחדרהּ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ובנסיבות חשיפת התלונה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כאשר מספר שבועות לאחר שאֵם המתלוננת והמערער נפרדו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חשפה המתלוננת באופן הדרגתי את המעשים שביצע בה המערער באוזני סבתהּ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אחיה ואמה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37-27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54-44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62-56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65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69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72-71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74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78-76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84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אל מול האמון המלא שניתן בעדותה של המתלוננת ובעדויות בני משפחתה בהכרעת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הרי שביחס לעדות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קבע בית המשפט המחוזי כי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עדותו של הנאשם שהינה כבושה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מתפתחת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פתלתלה ומשתנה והותירה רושם כבלתי אמינה </w:t>
      </w:r>
      <w:r>
        <w:rPr>
          <w:rFonts w:cs="Miriam" w:ascii="Miriam" w:hAnsi="Miriam"/>
          <w:sz w:val="24"/>
          <w:szCs w:val="24"/>
          <w:rtl w:val="true"/>
        </w:rPr>
        <w:t xml:space="preserve">[...] </w:t>
      </w:r>
      <w:r>
        <w:rPr>
          <w:rFonts w:ascii="Miriam" w:hAnsi="Miriam" w:cs="Miriam"/>
          <w:sz w:val="24"/>
          <w:sz w:val="24"/>
          <w:szCs w:val="24"/>
          <w:rtl w:val="true"/>
        </w:rPr>
        <w:t>ההתרשמות הבלתי אמצעית מהנאשם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כאדם ערמומי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פתלתל שלא מהסס לשנות עובדות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להפוך השערות לעובדות ומסקנות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מתיישבת היטב עם טענת המתלוננת שהנאשם הוא שהקפיד לעשות עצמו ישן על מנת שיכין את קו הגנתו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כפי שאכן קרה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92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99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המחוזי דחה את גרסאותיו של המערער מכל וכל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משום שאינן מתיישבות עם מכלול הראיות והעדויות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ונוגדות את השכל הישר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עוד נקבע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כי ניכר שלמערער ישנם עיוותי חשיבה מיניים כלפי המתלוננת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100-98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המחוזי נדרש לטענת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לפיה העדר התייחסות מצִדהּ של המתלוננת בעדותה לכך שעל איבר מינו ישנן יבלות כתוצאה ממחלת המין ממנה הוא סובל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יש בה כדי לקעקע את אמינות עדותה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שכן היתה צריכה להבחין בכך או לחוש בדבר הזה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דחה טענה זו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בהסתמך על עדות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בה ציינה כי לא הביטה על איבר מינו של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39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הדיון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45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וכן כיוון שנגעה בו בעל כורחה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רק מעל לבגדים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31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34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38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הדיון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47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נוסף לכך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המחוזי הסתמך גם על עדות אִמהּ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 ציינה כי היבלות על איבר המינו של המערער אינן קבועות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וכי לא תמיד ניתן להבחין בהן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83-81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בחומר הראיות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לבד מן העדויות הנ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ישנן גם שלוש תמונות בעלות אופי פדופילי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27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שנמצאו במחשבו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ובית המשפט דחה את טענתו בענין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לפיה תמונות אלה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'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נשתלו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כביכול במחשבו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100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23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עמודים </w:t>
      </w:r>
      <w:r>
        <w:rPr>
          <w:rFonts w:cs="FrankRuehl" w:ascii="FrankRuehl" w:hAnsi="FrankRuehl"/>
          <w:spacing w:val="10"/>
          <w:sz w:val="28"/>
          <w:szCs w:val="28"/>
        </w:rPr>
        <w:t>3-2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הדיון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133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אֵלו הן עיקרי הראיות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שעל סמכן החליט בית המשפט המחוזי פה אחד להרשיע את המערער בעבירות המין הנ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 שבהן הואשם בכתב האישום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בגזר הדין נדרש בית המשפט המחוזי לטענות הצדדים לגבי מתחם העונש ולמכלול השיקולים הצריכים לעניין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תוך התייחסות גם לתסקיר קורבן העבירה ולאמות המידה הקבועות בחוק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וקבע כי מתחם העונש ההולם נע בין </w:t>
      </w:r>
      <w:r>
        <w:rPr>
          <w:rFonts w:cs="FrankRuehl" w:ascii="FrankRuehl" w:hAnsi="FrankRuehl"/>
          <w:spacing w:val="10"/>
          <w:sz w:val="28"/>
          <w:szCs w:val="28"/>
        </w:rPr>
        <w:t>15-9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שנות מאסר בפועל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מכאן פנה בית המשפט לגזור את עונשו של המערער בתוך המתחם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והחליט להשית עליו </w:t>
      </w:r>
      <w:r>
        <w:rPr>
          <w:rFonts w:cs="FrankRuehl" w:ascii="FrankRuehl" w:hAnsi="FrankRuehl"/>
          <w:spacing w:val="10"/>
          <w:sz w:val="28"/>
          <w:szCs w:val="28"/>
        </w:rPr>
        <w:t>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שנים מאסר לריצוי בפועל בניכוי ימי מעצרו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מאסר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תנאי ותשלום פיצויים למתלוננת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מכאן הערעור שלפנינו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עיקרי טענות הצדדים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חזר לפנינו בנימוקי הערעור שבכתב ובטיעון שבעל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פה על טענותיו שנדונו בפני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עדותה של המתלוננת רצופה סתירות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ותלונתה נובעת מיצר נקם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עוד טוען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לבד מעדותה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אין כל עדות ישירה לכך שביצע את המעשים שבביצועם הורשע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טענה נוספת בפי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בית המשפט המחוזי התעלם מכך שהמתלוננת לא ציינה בעדותה דבר בנוגע ליבלות שעל איבר מינו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שנגרמו כאמור כתוצאה ממחלת המין ממנה הוא סובל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בנוסף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היות והמתלוננת לא נדבקה במחלת מין זו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ומכיוון שהמחלה מועברת במגע ישיר ושיעור ההידבקות בה גבוה – כ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70%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50%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לטענת המערער – יש ללמוד מכך שלא ביצע את עבירות המין הנ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באשר לעונש שהושת על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לשיטתו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מתחם הענישה שנקבע הריהו חמור ומהווה סטיה מהותית ממדיניות הענישה הנוהגת בנסיבות דומות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לטענתו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ברוב העבירות שבביצוען הורשע מדובר במעשים מגונים ולא במעשי אינוס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ונוכח הספק שעולה באשר למספר המדויק של המעשים שביצע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הרי שהדבר צריך לשמש כשיקול לקולא בתחימת מתחם הענישה ההולם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המדינה מצִדה סומכת ידיה על הכרעת הדין של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ומוסיפה כי המערער לא הצביע על טעם כלשהו שיש בו כדי להצדיק התערבות ערכאת הערעור בממצאי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שנקבעו על סמך עדות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עדויות שאר העדים וראיות נוספות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המחוזי התרשם באופן ישיר מן העדים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נימק את הטעמים שבעטיים ראה לדחות כבלתי מהימנה את גרסת המערער אל מול האמון הבלתי מסויג שניתן לגרסת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נפגעת עבירות המין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באשר למחלתו של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לטענת המדינה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נוסף לנימוקי דחיית טענתו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ידי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לא תמך את טענתו בעניין זה בחוות דעת מומחה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הן לדרכי ההידבקות האפשריות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הן לגבי הפן הסטטיסטי לגבי סיכויי ההידבקות במחלה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באשר לגזר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הריהו מנומק כדבעי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הולם את המערער ואת מעשיו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ועולה בקנה אחד עם הענישה המקובלת והראויה בכגון דא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Miriam" w:hAnsi="Miriam" w:cs="Miriam"/>
          <w:sz w:val="24"/>
          <w:sz w:val="24"/>
          <w:szCs w:val="24"/>
          <w:rtl w:val="true"/>
        </w:rPr>
        <w:t>דיון והכרעה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למקרא הכרעת הדין וגזר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ולאחר שקילת טענותיהם של 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 הצדדים מזה ומזה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הגעתי לכלל מסקנה כי הכרעת הדין מבוססת והענישה מוצדקת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דין הערעור להידחות אפוא לדעתי על שני חלקיו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שיבואר 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כלל נקוט בידינו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ערכאת הערעור אינה נוטה להתערב בממצאי עובדה שנקבעו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ידי הערכאה הדיונית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למעט במצבים חריגים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2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993/00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נור נ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 נו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8"/>
          <w:szCs w:val="28"/>
        </w:rPr>
        <w:t>205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18-17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לפסק דינה של השופטת </w:t>
      </w:r>
      <w:r>
        <w:rPr>
          <w:rFonts w:ascii="Miriam" w:hAnsi="Miriam" w:cs="Miriam"/>
          <w:sz w:val="24"/>
          <w:sz w:val="24"/>
          <w:szCs w:val="24"/>
          <w:rtl w:val="true"/>
        </w:rPr>
        <w:t>ט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שטרסברג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כהן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2000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hyperlink r:id="rId2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8146/09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אבשלום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21-18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לפסק דינו של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י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עמית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8.9.2011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טעמיו של כלל זה ברורים וידועים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ואף מתחזקים כשבהתרשמותה הישירה של הערכאה הדיונית מעדות של קורבן עבירת מין עסקינן –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>במקרה כזה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מעצם טיבו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עוסקת העדות בנושא שהוא טראומטי ואינטימי כאחד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ולפיכך מתעורר לעתים קושי במתן עדות ברורה ורהוטה</w:t>
      </w:r>
      <w:r>
        <w:rPr>
          <w:rFonts w:cs="Miriam" w:ascii="Miriam" w:hAnsi="Miriam"/>
          <w:sz w:val="24"/>
          <w:szCs w:val="24"/>
          <w:rtl w:val="true"/>
        </w:rPr>
        <w:t xml:space="preserve">. </w:t>
      </w:r>
      <w:r>
        <w:rPr>
          <w:rFonts w:ascii="Miriam" w:hAnsi="Miriam" w:cs="Miriam"/>
          <w:sz w:val="24"/>
          <w:sz w:val="24"/>
          <w:szCs w:val="24"/>
          <w:rtl w:val="true"/>
        </w:rPr>
        <w:t>בנסיבות כאלה הטון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אופן הדיבור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שפת הגוף וכל אותם גורמים שאינם שייכים ישירות לעולם התוכן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–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כל אלה מקבלים משקל חשוב עוד יותר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hyperlink r:id="rId2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6375/02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בבקוב נ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 נח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8"/>
          <w:szCs w:val="28"/>
        </w:rPr>
        <w:t>419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לפסק דינה של השופטת </w:t>
      </w:r>
      <w:r>
        <w:rPr>
          <w:rFonts w:ascii="Miriam" w:hAnsi="Miriam" w:cs="Miriam"/>
          <w:sz w:val="24"/>
          <w:sz w:val="24"/>
          <w:szCs w:val="24"/>
          <w:rtl w:val="true"/>
        </w:rPr>
        <w:t>א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חיות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2004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ממצאי המהימנות מדברים בעד עצמם ולחובת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תיארה את מעשיו של המערער באופן כּן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משכנע ועקבי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ללא הפרזה ומתוך רצון לדייק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מתיאורה הצטיירה תמונה של החמרה הדרגתית במעשיו של המערער – בביצוע המעשים ובנסיבות ביצועם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תיארה את תחושותיה – הפיסיות והנפשיות – בשעת ביצוע המעשים ולאחריהם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הסבירה את הסיבות שבעטיין נמנעה מלספר על מעשיו של המערער בזמן אמת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תיארה כיצד בכל הפעמים שבהן ביצע בה המערער את המעשים המיניים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עצם את עיניו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זהו פרט יחודי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שקבע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שאומת גם בעדויות נוספות של בני משפחה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המחזק את המסקנה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בצירוף כמה וכמה פרטים נוספים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אין מדובר בעלילת שווא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הדעת נותנת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גם נוכח גרסאותיו של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לעיל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עצם את עיניו בעורמה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מתוך הכנת הקרקע בזמן אמת ובמבט צופה עתיד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למעין טענת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'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אליבי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לטענה כי ישן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27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36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53-52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92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עמודים </w:t>
      </w:r>
      <w:r>
        <w:rPr>
          <w:rFonts w:cs="FrankRuehl" w:ascii="FrankRuehl" w:hAnsi="FrankRuehl"/>
          <w:spacing w:val="10"/>
          <w:sz w:val="28"/>
          <w:szCs w:val="28"/>
        </w:rPr>
        <w:t>8-5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13-12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17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השוו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ח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22557-04-13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135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לפסק דינו של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צ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דותן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 פורסם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>]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12.4.2015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ערעור על פסק הדין נדחה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ראו – </w:t>
      </w:r>
      <w:hyperlink r:id="rId2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6255/15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,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17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לחוות דעתי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11.8.2016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)).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19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נימוקי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אלה שנזכרו לעיל ושאר נימוקיו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נכוחים ומשכנעים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הרשעתו של המערער מבוססת היטב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מעיקר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בהתאם להוראת </w:t>
      </w:r>
      <w:hyperlink r:id="rId27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סעיף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)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</w:t>
      </w:r>
      <w:hyperlink r:id="rId2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פקודת הראיות</w:t>
        </w:r>
      </w:hyperlink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נוסח חדש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],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התשל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cs="FrankRuehl" w:ascii="FrankRuehl" w:hAnsi="FrankRuehl"/>
          <w:spacing w:val="10"/>
          <w:sz w:val="28"/>
          <w:szCs w:val="28"/>
        </w:rPr>
        <w:t>1971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דיינו בעדות יחידה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בהיותה קורבן עבירות מין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ובלבד שבית המשפט המחוזי ינמק מדוע ניתן להסתפק בעדות זו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כפי שנעשה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29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288/88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גנדור נ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 מב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8"/>
          <w:szCs w:val="28"/>
        </w:rPr>
        <w:t>45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1988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יעקב </w:t>
      </w:r>
      <w:hyperlink r:id="rId30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קדמי על הראיות חלק</w:t>
        </w:r>
      </w:hyperlink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ראשון </w:t>
      </w:r>
      <w:r>
        <w:rPr>
          <w:rFonts w:cs="FrankRuehl" w:ascii="FrankRuehl" w:hAnsi="FrankRuehl"/>
          <w:spacing w:val="10"/>
          <w:sz w:val="28"/>
          <w:szCs w:val="28"/>
        </w:rPr>
        <w:t>226-224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2009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>קדמי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על הראיות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כל פנים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עדותה של המתלוננת אינה עומדת לבדה במארג הראייתי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לעדותה מצטרפות עדויות בני משפחתה המאמתות ומחזקות נקודות מהותיות בגרסתה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זוהי רשימה חלקית בלבד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אווירת הפחד וההשתקה שהשליט המערער בבית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היחס המועדף שהעניק למתלוננת על פני אחיותיה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הימצאותו בצמוד למתלוננת בשעות ששניהם שכבו בצוותא במיטה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עיניו עצומות ושמיכה מכסה את גופו ואת גופה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וכזאת ארע פעמים רבות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בכמה וכמה לילות לן המערער עם המתלוננת בחדרה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גם נסיבות חשיפת התלונה לראשונה על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ידי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שאדרש אליהן כעת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מחזקות את גרסתה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לטענת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התלונות מושא ערעור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הן חלק ממסע נקמה שביצעו נגדו בני המשפחה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ולשיטתו יש לראות את כבישת עדותה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משום הוכחה לכך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נתתי דעתי על טענותיו של המערער בעניין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ומצאתי כי דינן להידחות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משום שאין כל ביסוס ראייתי לטענות הללו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 לא הביא בדל ראיה לתמיכה בטענתו החמורה הזאת לפני בית המשפט המחוזי ולא לפנינו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טענותיו גם אינן מתיישבות עם יתר העדויות שבהן נמצאו חיזוקים לעדותה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ומהן גם ניתן ללמוד על כך שאין יחסי איבה בין בני המשפחה לבין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וחלקם אף שמר עמו על קשר תקופה מסוימת לאחר חשיפת הפרשה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בני משפחה גם ביקשו את רחמי בית המשפט בגזירת עונשו של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50-48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70-69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הדיון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עמודים </w:t>
      </w:r>
      <w:r>
        <w:rPr>
          <w:rFonts w:cs="FrankRuehl" w:ascii="FrankRuehl" w:hAnsi="FrankRuehl"/>
          <w:spacing w:val="10"/>
          <w:sz w:val="28"/>
          <w:szCs w:val="28"/>
        </w:rPr>
        <w:t>84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93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97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100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יתרה מכך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הלכה פסוקה היא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כבישת עדותה של קורבן עבירת מין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ובפרט כשמדובר בקטינה ובעבירות שבוצעו בתוך המשפחה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תופעה שכיחה ומוכרת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משפט זה שב והבהיר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 אין בכבישת העדות של קורבנות אלה במשך זמן ממושך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כדי לפגום במהימנותם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מקום בו ניתן לסיבת הכבישה ולסיבת הגילוי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הסבר המניח את הדעת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31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2485/00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פלוני נ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מדינת ישראל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ד נה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spacing w:val="10"/>
          <w:sz w:val="28"/>
          <w:szCs w:val="28"/>
        </w:rPr>
        <w:t>918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spacing w:val="10"/>
          <w:sz w:val="28"/>
          <w:szCs w:val="28"/>
        </w:rPr>
        <w:t>2001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9902/04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16.7.2007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hyperlink r:id="rId3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150/09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6.5.2010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); </w:t>
      </w:r>
      <w:r>
        <w:rPr>
          <w:rFonts w:ascii="Miriam" w:hAnsi="Miriam" w:cs="Miriam"/>
          <w:sz w:val="24"/>
          <w:sz w:val="24"/>
          <w:szCs w:val="24"/>
          <w:rtl w:val="true"/>
        </w:rPr>
        <w:t>קדמי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על הראיות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257-256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שקבע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המתלוננת פחדה מפני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הדיון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45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26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וכבישת תלונתה נעוצה גם בכך שחששה פן תואשם בהתרת הקשר בין המערער לבין אִמהּ ובפירוק התא המשפחתי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ולכן רק לאחר שבועות מספר מעת פרידתם ובעקבות ההפרדה הפיסית בינה לבין המערער פתחה את סגור לבה ותיארה את אשר ביצע בה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שורות </w:t>
      </w:r>
      <w:r>
        <w:rPr>
          <w:rFonts w:cs="FrankRuehl" w:ascii="FrankRuehl" w:hAnsi="FrankRuehl"/>
          <w:spacing w:val="10"/>
          <w:sz w:val="28"/>
          <w:szCs w:val="28"/>
        </w:rPr>
        <w:t>39-37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/</w:t>
      </w:r>
      <w:r>
        <w:rPr>
          <w:rFonts w:cs="FrankRuehl" w:ascii="FrankRuehl" w:hAnsi="FrankRuehl"/>
          <w:spacing w:val="10"/>
          <w:sz w:val="28"/>
          <w:szCs w:val="28"/>
        </w:rPr>
        <w:t>30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כך העידה בעדות כנה ומשכנעת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לא חשבתי שזה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[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פרידת המערער ואמה – נ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ס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']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סופי</w:t>
      </w:r>
      <w:r>
        <w:rPr>
          <w:rFonts w:cs="Miriam" w:ascii="Miriam" w:hAnsi="Miriam"/>
          <w:sz w:val="24"/>
          <w:szCs w:val="24"/>
          <w:rtl w:val="true"/>
        </w:rPr>
        <w:t xml:space="preserve">, </w:t>
      </w:r>
      <w:r>
        <w:rPr>
          <w:rFonts w:ascii="Miriam" w:hAnsi="Miriam" w:cs="Miriam"/>
          <w:sz w:val="24"/>
          <w:sz w:val="24"/>
          <w:szCs w:val="24"/>
          <w:rtl w:val="true"/>
        </w:rPr>
        <w:t>כנראה שהגוף שלי היה מוכן לספר את זה או מוכן שידעו</w:t>
      </w:r>
      <w:r>
        <w:rPr>
          <w:rFonts w:cs="Miriam" w:ascii="Miriam" w:hAnsi="Miriam"/>
          <w:sz w:val="24"/>
          <w:szCs w:val="24"/>
          <w:rtl w:val="true"/>
        </w:rPr>
        <w:t>"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 </w:t>
      </w:r>
      <w:r>
        <w:rPr>
          <w:rFonts w:cs="FrankRuehl" w:ascii="FrankRuehl" w:hAnsi="FrankRuehl"/>
          <w:spacing w:val="10"/>
          <w:sz w:val="28"/>
          <w:szCs w:val="28"/>
        </w:rPr>
        <w:t>48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באופן שאינו מתוכנן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חשפה המתלוננת ברמזים לאחיה ולסבתהּ פרטים על אשר אירע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ורק לאחר שאלה פנו לאמהּ וזו דרשה כי תספר 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תיארה המתלוננת בקושי רב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באופן כוללני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ברעד ובבכי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את המעשים שביצע בה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42-40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54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61-60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34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6352/10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לפסק דינה של השופטת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15.10.2012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23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באשר לטענת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לפיה עצם השיח בין בני המשפחה על אודות הפרשה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היה בו כדי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'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לזהם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 עדויותיהם – הרי אך טבעי הוא כי לאחר שהמתלוננת חשפה את המעשים שביצע בה 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תשוחח על כך עם בני משפחתה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ותמצא אצלם נחמה וחיזוק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14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לפסק דינה של השופטת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זאת ועוד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כפי שקבע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אין בעדויותיהם של בני המשפחה תיאור מדויק של המעשים שביצע המערער במתלוננת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89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הדיון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עמודים </w:t>
      </w:r>
      <w:r>
        <w:rPr>
          <w:rFonts w:cs="FrankRuehl" w:ascii="FrankRuehl" w:hAnsi="FrankRuehl"/>
          <w:spacing w:val="10"/>
          <w:sz w:val="28"/>
          <w:szCs w:val="28"/>
        </w:rPr>
        <w:t>57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87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97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101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מסקנותיו של בית המשפט המחוזי בהקשר זה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מקובלות עלי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יסוד נימוקיו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ולא מצאתי עילה להתערב בהן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24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באשר לטענותיו של המערער בנושא מחלת המין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אף הן דינן להידחות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המחוזי ביסס את דחייתן על דברי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עדותה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לפיה לא נגעה באיבר מינו של המערער כשהוא חשוף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וכמו כן נמנעה מלהביט בו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פרוטוקול הדיון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עמודים </w:t>
      </w:r>
      <w:r>
        <w:rPr>
          <w:rFonts w:cs="FrankRuehl" w:ascii="FrankRuehl" w:hAnsi="FrankRuehl"/>
          <w:spacing w:val="10"/>
          <w:sz w:val="28"/>
          <w:szCs w:val="28"/>
        </w:rPr>
        <w:t>77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spacing w:val="10"/>
          <w:sz w:val="28"/>
          <w:szCs w:val="28"/>
        </w:rPr>
        <w:t>79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לכך יש להוסיף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כי מעדותה של המתלוננת ובהתאם לגילה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בת </w:t>
      </w:r>
      <w:r>
        <w:rPr>
          <w:rFonts w:cs="FrankRuehl" w:ascii="FrankRuehl" w:hAnsi="FrankRuehl"/>
          <w:spacing w:val="10"/>
          <w:sz w:val="28"/>
          <w:szCs w:val="28"/>
        </w:rPr>
        <w:t>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כשהעידה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עלה חוסר ניסיונה בתחום המיני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וכפי שציין בית המשפט המחוזי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המתלוננת לא ידעה ולא יכולה היתה להבחין בדבר חריג באיבר מינו של המערער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ראו והשוו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35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2080/14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לפסק דינו של 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הנדל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9.12.2015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זאת ועוד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אין ראיה לכך שהמתלוננת נדבקה במחלת המין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פסקאות </w:t>
      </w:r>
      <w:r>
        <w:rPr>
          <w:rFonts w:cs="FrankRuehl" w:ascii="FrankRuehl" w:hAnsi="FrankRuehl"/>
          <w:spacing w:val="10"/>
          <w:sz w:val="28"/>
          <w:szCs w:val="28"/>
        </w:rPr>
        <w:t>83-81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והמערער מצדו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כאמור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 תמך את טענותיו לגבי אפשרות ההידבקות במחלת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-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מין ובהסתברות הסטטיסטית לכך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בחוות דעת מומחה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25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הנה כי כן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הכרעת הדין של בית המשפט נומקה כדבעי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בהתבסס על עדות המתלוננת שנמצאה בבירור מהימנה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עליה נוספו עדויות בני המשפחה וראיות אחרות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תימוכין ראייתיים שאימתו פרטים עיקריים בגרסתה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הרשעת המערער הוּכחה כנדרש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מעבר לספק סביר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לא נמצא טעם טוב לשנות מקביעות בית המשפט המחוזי וממסקנותיו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ואין עילה להתערב בהכרעת הדין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באשר לערעור על חומרת העונש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כידוע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אין זה מדרכה של ערכאת הערעור להתערב בגזר הדין של הערכאה הדיונית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אלא אך במקרים שבהם ניכרת סטייה של ממש מן הענישה המקובלת והראויה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או כשנפלה שגגה בגזר הדין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hyperlink r:id="rId36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8487/15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פסקה </w:t>
      </w:r>
      <w:r>
        <w:rPr>
          <w:rFonts w:cs="FrankRuehl" w:ascii="FrankRuehl" w:hAnsi="FrankRuehl"/>
          <w:spacing w:val="10"/>
          <w:sz w:val="28"/>
          <w:szCs w:val="28"/>
        </w:rPr>
        <w:t>10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לפסק דינו של חברי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השופט </w:t>
      </w:r>
      <w:r>
        <w:rPr>
          <w:rFonts w:ascii="Miriam" w:hAnsi="Miriam" w:cs="Miriam"/>
          <w:sz w:val="24"/>
          <w:sz w:val="24"/>
          <w:szCs w:val="24"/>
          <w:rtl w:val="true"/>
        </w:rPr>
        <w:t>צ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זילברטל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והאסמכתאות שם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8.11.2016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)).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ענייננו אינו נמנה עם מקרים אלה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המערער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אביה החורג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החל בביצוע המעשים הנדונים בבית המשפחה – המקום שנועדה להיות מוּגנת בו  ושמוּרה – בהיותה כבת </w:t>
      </w:r>
      <w:r>
        <w:rPr>
          <w:rFonts w:cs="FrankRuehl" w:ascii="FrankRuehl" w:hAnsi="FrankRuehl"/>
          <w:spacing w:val="10"/>
          <w:sz w:val="28"/>
          <w:szCs w:val="28"/>
        </w:rPr>
        <w:t>11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שוב ושוב עשה בה כחפצו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במשך כשלוש שנים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ובתקופות מסוימות עשה זאת מדי יום ביומו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אין ערוך לחומרתן של העבירות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ולפגיעתן הרעה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הכרח להוקיע את מבצעי העבירות הללו ולנקוט כלפיהם במדיניות של ענישה מחמירה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ראו למשל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: </w:t>
      </w:r>
      <w:hyperlink r:id="rId37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5691/06</w:t>
        </w:r>
      </w:hyperlink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פלוני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David"/>
          <w:sz w:val="22"/>
          <w:szCs w:val="24"/>
          <w:rtl w:val="true"/>
        </w:rPr>
        <w:t>[</w:t>
      </w:r>
      <w:r>
        <w:rPr>
          <w:rFonts w:cs="David"/>
          <w:sz w:val="22"/>
          <w:sz w:val="22"/>
          <w:szCs w:val="24"/>
          <w:rtl w:val="true"/>
        </w:rPr>
        <w:t>פורסם</w:t>
      </w:r>
      <w:r>
        <w:rPr>
          <w:sz w:val="22"/>
          <w:sz w:val="22"/>
          <w:szCs w:val="24"/>
          <w:rtl w:val="true"/>
        </w:rPr>
        <w:t xml:space="preserve"> </w:t>
      </w:r>
      <w:r>
        <w:rPr>
          <w:rFonts w:cs="David"/>
          <w:sz w:val="22"/>
          <w:sz w:val="22"/>
          <w:szCs w:val="24"/>
          <w:rtl w:val="true"/>
        </w:rPr>
        <w:t>בנבו</w:t>
      </w:r>
      <w:r>
        <w:rPr>
          <w:rFonts w:cs="David"/>
          <w:sz w:val="22"/>
          <w:szCs w:val="24"/>
          <w:rtl w:val="true"/>
        </w:rPr>
        <w:t xml:space="preserve">] 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spacing w:val="10"/>
          <w:sz w:val="28"/>
          <w:szCs w:val="28"/>
        </w:rPr>
        <w:t>3.2.2009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>)).</w:t>
      </w:r>
      <w:r>
        <w:rPr>
          <w:rFonts w:cs="Arial TUR" w:ascii="Arial TUR" w:hAnsi="Arial TUR"/>
          <w:spacing w:val="10"/>
          <w:sz w:val="22"/>
          <w:szCs w:val="22"/>
          <w:rtl w:val="true"/>
        </w:rPr>
        <w:t xml:space="preserve">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המתלוננת נפגעה קשות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מנת לכבד את בקשתה לא ארחיב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אציין אך זאת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את הניצול שניצל המערער את מצבה של המתלוננת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שאביה הביולוגי נטש אותה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היא ראתה את המערער כאביה לכל דבר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והוא ניצל אותה לסיפוק יצריו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בית המשפט המחוזי שקל את כל שיקולי הענישה הצריכים לעניין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האידיבידואליים והכלליים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איזן וחיקר כהלכה והשית עונש הולם וראוי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FrankRuehl" w:cs="FrankRuehl" w:ascii="FrankRuehl" w:hAnsi="FrankRuehl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FrankRuehl" w:ascii="FrankRuehl" w:hAnsi="FrankRuehl"/>
          <w:spacing w:val="10"/>
          <w:sz w:val="28"/>
          <w:szCs w:val="28"/>
        </w:rPr>
        <w:t>27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    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אציע אפוא לחברי לדחות את הערעור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spacing w:val="10"/>
          <w:sz w:val="28"/>
          <w:sz w:val="28"/>
          <w:szCs w:val="28"/>
          <w:rtl w:val="true"/>
        </w:rPr>
        <w:t>על הכרעת הדין ועל גזר הדין כאחד</w:t>
      </w:r>
      <w:r>
        <w:rPr>
          <w:rFonts w:cs="FrankRuehl" w:ascii="FrankRuehl" w:hAnsi="FrankRuehl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eastAsia="Arial TUR" w:cs="Arial TUR" w:ascii="Arial TUR" w:hAnsi="Arial TUR"/>
          <w:spacing w:val="10"/>
          <w:sz w:val="22"/>
          <w:szCs w:val="22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u w:val="single"/>
          <w:rtl w:val="true"/>
        </w:rPr>
        <w:t>השופט ח</w:t>
      </w:r>
      <w:r>
        <w:rPr>
          <w:rFonts w:cs="Miriam" w:ascii="Miriam" w:hAnsi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u w:val="single"/>
          <w:rtl w:val="true"/>
        </w:rPr>
        <w:t>מלצר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ascii="Miriam" w:hAnsi="Miriam" w:cs="Miriam"/>
          <w:spacing w:val="0"/>
          <w:sz w:val="24"/>
          <w:sz w:val="24"/>
          <w:szCs w:val="24"/>
          <w:u w:val="single"/>
          <w:rtl w:val="true"/>
        </w:rPr>
        <w:t>השופט צ</w:t>
      </w:r>
      <w:r>
        <w:rPr>
          <w:rFonts w:cs="Miriam" w:ascii="Miriam" w:hAnsi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ascii="Miriam" w:hAnsi="Miriam" w:cs="Miriam"/>
          <w:spacing w:val="0"/>
          <w:sz w:val="24"/>
          <w:sz w:val="24"/>
          <w:szCs w:val="24"/>
          <w:u w:val="single"/>
          <w:rtl w:val="true"/>
        </w:rPr>
        <w:t>זילברטל</w:t>
      </w:r>
      <w:r>
        <w:rPr>
          <w:rFonts w:cs="FrankRuehl" w:ascii="FrankRuehl" w:hAnsi="FrankRuehl"/>
          <w:sz w:val="28"/>
          <w:szCs w:val="28"/>
          <w:rtl w:val="true"/>
        </w:rPr>
        <w:t>:</w:t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אני מסכים</w:t>
      </w:r>
      <w:r>
        <w:rPr>
          <w:rFonts w:cs="FrankRuehl" w:ascii="FrankRuehl" w:hAnsi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ascii="FrankRuehl" w:hAnsi="FrankRuehl" w:eastAsia="FrankRuehl" w:cs="FrankRuehl"/>
          <w:sz w:val="28"/>
          <w:szCs w:val="28"/>
        </w:rPr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eastAsia="FrankRuehl" w:cs="FrankRuehl" w:ascii="FrankRuehl" w:hAnsi="FrankRuehl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הוחלט כאמור בפסק הדין של השופט </w:t>
      </w:r>
      <w:r>
        <w:rPr>
          <w:rFonts w:ascii="Miriam" w:hAnsi="Miriam" w:cs="Miriam"/>
          <w:spacing w:val="0"/>
          <w:sz w:val="24"/>
          <w:sz w:val="24"/>
          <w:szCs w:val="24"/>
          <w:rtl w:val="true"/>
        </w:rPr>
        <w:t>נֹעם סולברג</w:t>
      </w:r>
      <w:r>
        <w:rPr>
          <w:rFonts w:cs="FrankRuehl" w:ascii="FrankRuehl" w:hAnsi="FrankRuehl"/>
          <w:sz w:val="28"/>
          <w:szCs w:val="28"/>
          <w:rtl w:val="true"/>
        </w:rPr>
        <w:t>.</w:t>
      </w:r>
      <w:r>
        <w:rPr>
          <w:rFonts w:cs="Miriam" w:ascii="Miriam" w:hAnsi="Miriam"/>
          <w:spacing w:val="0"/>
          <w:sz w:val="24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         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ז</w:t>
      </w:r>
      <w:r>
        <w:rPr>
          <w:rFonts w:cs="FrankRuehl" w:ascii="FrankRuehl" w:hAnsi="FrankRuehl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>באדר התשע</w:t>
      </w:r>
      <w:r>
        <w:rPr>
          <w:rFonts w:cs="FrankRuehl" w:ascii="FrankRuehl" w:hAnsi="FrankRuehl"/>
          <w:sz w:val="28"/>
          <w:szCs w:val="28"/>
          <w:rtl w:val="true"/>
        </w:rPr>
        <w:t>"</w:t>
      </w:r>
      <w:r>
        <w:rPr>
          <w:rFonts w:ascii="FrankRuehl" w:hAnsi="FrankRuehl" w:cs="FrankRuehl"/>
          <w:sz w:val="28"/>
          <w:sz w:val="28"/>
          <w:szCs w:val="28"/>
          <w:rtl w:val="true"/>
        </w:rPr>
        <w:t xml:space="preserve">ז </w:t>
      </w:r>
      <w:r>
        <w:rPr>
          <w:rFonts w:cs="FrankRuehl" w:ascii="FrankRuehl" w:hAnsi="FrankRuehl"/>
          <w:sz w:val="28"/>
          <w:szCs w:val="28"/>
          <w:rtl w:val="true"/>
        </w:rPr>
        <w:t>(</w:t>
      </w:r>
      <w:r>
        <w:rPr>
          <w:rFonts w:cs="FrankRuehl" w:ascii="FrankRuehl" w:hAnsi="FrankRuehl"/>
          <w:sz w:val="28"/>
          <w:szCs w:val="28"/>
        </w:rPr>
        <w:t>5.3.2017</w:t>
      </w:r>
      <w:r>
        <w:rPr>
          <w:rFonts w:cs="FrankRuehl" w:ascii="FrankRuehl" w:hAnsi="FrankRuehl"/>
          <w:sz w:val="28"/>
          <w:szCs w:val="28"/>
          <w:rtl w:val="true"/>
        </w:rPr>
        <w:t xml:space="preserve">).  </w:t>
      </w:r>
    </w:p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FrankRuehl" w:hAnsi="FrankRuehl" w:cs="FrankRuehl"/>
          <w:color w:val="FFFFFF"/>
          <w:sz w:val="2"/>
          <w:szCs w:val="2"/>
        </w:rPr>
      </w:pPr>
      <w:r>
        <w:rPr>
          <w:rFonts w:cs="FrankRuehl" w:ascii="FrankRuehl" w:hAnsi="FrankRuehl"/>
          <w:color w:val="FFFFFF"/>
          <w:sz w:val="2"/>
          <w:szCs w:val="2"/>
        </w:rPr>
        <w:t>5129371</w:t>
      </w:r>
      <w:r>
        <w:rPr>
          <w:rFonts w:cs="FrankRuehl" w:ascii="FrankRuehl" w:hAnsi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Fonts w:cs="FrankRuehl" w:ascii="FrankRuehl" w:hAnsi="FrankRuehl"/>
                <w:color w:val="FFFFFF"/>
                <w:sz w:val="2"/>
                <w:szCs w:val="2"/>
              </w:rPr>
              <w:t>54678313</w:t>
            </w: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end"/>
              <w:rPr/>
            </w:pPr>
            <w:r>
              <w:rPr>
                <w:rFonts w:ascii="FrankRuehl" w:hAnsi="FrankRuehl" w:cs="FrankRuehl"/>
                <w:sz w:val="28"/>
                <w:sz w:val="28"/>
                <w:szCs w:val="28"/>
                <w:rtl w:val="true"/>
              </w:rPr>
              <w:t>ש ו פ 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FrankRuehl" w:cs="FrankRuehl" w:ascii="FrankRuehl" w:hAnsi="FrankRueh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eastAsia="David" w:cs="David" w:ascii="David" w:hAnsi="David"/>
          <w:sz w:val="16"/>
          <w:szCs w:val="16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 w:ascii="David" w:hAnsi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ascii="David" w:hAnsi="David" w:cs="David"/>
          <w:sz w:val="16"/>
          <w:sz w:val="16"/>
          <w:szCs w:val="16"/>
          <w:rtl w:val="true"/>
        </w:rPr>
        <w:t>העותק כפוף לשינויי עריכה וניסוח</w:t>
      </w:r>
      <w:r>
        <w:rPr>
          <w:rFonts w:cs="David" w:ascii="David" w:hAnsi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14083580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O08.doc</w:t>
      </w:r>
      <w:r>
        <w:rPr>
          <w:sz w:val="16"/>
          <w:szCs w:val="16"/>
          <w:rtl w:val="true"/>
        </w:rPr>
        <w:t xml:space="preserve">   </w:t>
      </w:r>
      <w:r>
        <w:rPr>
          <w:rFonts w:ascii="David" w:hAnsi="David" w:cs="David"/>
          <w:sz w:val="16"/>
          <w:sz w:val="16"/>
          <w:szCs w:val="16"/>
          <w:rtl w:val="true"/>
        </w:rPr>
        <w:t>עב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sz w:val="16"/>
          <w:sz w:val="16"/>
          <w:szCs w:val="16"/>
          <w:rtl w:val="true"/>
        </w:rPr>
        <w:t>מרכז מידע</w:t>
      </w:r>
      <w:r>
        <w:rPr>
          <w:rFonts w:cs="David" w:ascii="David" w:hAnsi="David"/>
          <w:sz w:val="16"/>
          <w:szCs w:val="16"/>
          <w:rtl w:val="true"/>
        </w:rPr>
        <w:t xml:space="preserve">, </w:t>
      </w:r>
      <w:r>
        <w:rPr>
          <w:rFonts w:ascii="David" w:hAnsi="David" w:cs="David"/>
          <w:sz w:val="16"/>
          <w:sz w:val="16"/>
          <w:szCs w:val="16"/>
          <w:rtl w:val="true"/>
        </w:rPr>
        <w:t>טל</w:t>
      </w:r>
      <w:r>
        <w:rPr>
          <w:rFonts w:cs="David" w:ascii="David" w:hAnsi="David"/>
          <w:sz w:val="16"/>
          <w:szCs w:val="16"/>
          <w:rtl w:val="true"/>
        </w:rPr>
        <w:t xml:space="preserve">' </w:t>
      </w:r>
      <w:r>
        <w:rPr>
          <w:rFonts w:cs="David" w:ascii="David" w:hAnsi="David"/>
          <w:sz w:val="16"/>
          <w:szCs w:val="16"/>
        </w:rPr>
        <w:t>077-2703333</w:t>
      </w:r>
      <w:r>
        <w:rPr>
          <w:rFonts w:cs="David" w:ascii="David" w:hAnsi="David"/>
          <w:sz w:val="16"/>
          <w:szCs w:val="16"/>
          <w:rtl w:val="true"/>
        </w:rPr>
        <w:t xml:space="preserve">  ; </w:t>
      </w:r>
      <w:r>
        <w:rPr>
          <w:rFonts w:ascii="David" w:hAnsi="David" w:cs="David"/>
          <w:sz w:val="16"/>
          <w:sz w:val="16"/>
          <w:szCs w:val="16"/>
          <w:rtl w:val="true"/>
        </w:rPr>
        <w:t>אתר אינטרנט</w:t>
      </w:r>
      <w:r>
        <w:rPr>
          <w:rFonts w:cs="David" w:ascii="David" w:hAnsi="David"/>
          <w:sz w:val="16"/>
          <w:szCs w:val="16"/>
          <w:rtl w:val="true"/>
        </w:rPr>
        <w:t xml:space="preserve">,  </w:t>
      </w:r>
      <w:hyperlink r:id="rId3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ח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מלצר </w:t>
      </w:r>
      <w:r>
        <w:rPr>
          <w:rFonts w:cs="David" w:ascii="David" w:hAnsi="David"/>
          <w:color w:val="000000"/>
        </w:rPr>
        <w:t>54678313-8358/14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charset w:val="00" w:characterSet="windows-1252"/>
    <w:family w:val="swiss"/>
    <w:pitch w:val="variable"/>
  </w:font>
  <w:font w:name="Guttman Yad">
    <w:charset w:val="b1" w:characterSet="windows-1255"/>
    <w:family w:val="auto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12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8358/14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CharChar1">
    <w:name w:val=" Char Char1"/>
    <w:qFormat/>
    <w:rPr>
      <w:rFonts w:eastAsia="Times New Roman"/>
    </w:rPr>
  </w:style>
  <w:style w:type="character" w:styleId="CharChar">
    <w:name w:val=" Char Char"/>
    <w:qFormat/>
    <w:rPr>
      <w:rFonts w:eastAsia="Times New Roman"/>
    </w:rPr>
  </w:style>
  <w:style w:type="character" w:styleId="Ruller4">
    <w:name w:val="Ruller4 תו"/>
    <w:qFormat/>
    <w:rPr>
      <w:rFonts w:ascii="Arial TUR" w:hAnsi="Arial TUR" w:cs="Arial TUR"/>
      <w:spacing w:val="10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ascii="Guttman Yad" w:hAnsi="Guttman Yad" w:cs="Guttman Yad"/>
    </w:rPr>
  </w:style>
  <w:style w:type="character" w:styleId="Ruller3">
    <w:name w:val="Ruller 3 תו"/>
    <w:qFormat/>
    <w:rPr>
      <w:rFonts w:ascii="FrankRuehl" w:hAnsi="FrankRuehl" w:cs="FrankRuehl"/>
    </w:rPr>
  </w:style>
  <w:style w:type="character" w:styleId="BodyRuller">
    <w:name w:val="Body Ruller תו"/>
    <w:qFormat/>
    <w:rPr>
      <w:rFonts w:ascii="David" w:hAnsi="David" w:cs="David"/>
    </w:rPr>
  </w:style>
  <w:style w:type="character" w:styleId="Ruller38">
    <w:name w:val="סגנון Ruller 3 + (מורכב) ‏8 נק תו"/>
    <w:qFormat/>
    <w:rPr>
      <w:rFonts w:ascii="David" w:hAnsi="David" w:cs="David"/>
    </w:rPr>
  </w:style>
  <w:style w:type="character" w:styleId="PageNumber">
    <w:name w:val="pag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" w:hAnsi="Arial TUR" w:cs="Arial TUR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Ruller43">
    <w:name w:val="Ruller4 אלפביתי"/>
    <w:basedOn w:val="Normal"/>
    <w:qFormat/>
    <w:pPr>
      <w:spacing w:lineRule="auto" w:line="360"/>
      <w:ind w:hanging="0" w:start="0" w:end="0"/>
      <w:jc w:val="both"/>
    </w:pPr>
    <w:rPr>
      <w:rFonts w:ascii="Arial TUR" w:hAnsi="Arial TUR" w:cs="Arial TUR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717096" TargetMode="External"/><Relationship Id="rId3" Type="http://schemas.openxmlformats.org/officeDocument/2006/relationships/hyperlink" Target="http://www.nevo.co.il/safrut/bookgroup/2156" TargetMode="External"/><Relationship Id="rId4" Type="http://schemas.openxmlformats.org/officeDocument/2006/relationships/hyperlink" Target="http://www.nevo.co.il/safrut/bookgroup/2156" TargetMode="External"/><Relationship Id="rId5" Type="http://schemas.openxmlformats.org/officeDocument/2006/relationships/hyperlink" Target="http://www.nevo.co.il/law/98569" TargetMode="External"/><Relationship Id="rId6" Type="http://schemas.openxmlformats.org/officeDocument/2006/relationships/hyperlink" Target="http://www.nevo.co.il/law/98569/54a.b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345.a.1" TargetMode="External"/><Relationship Id="rId9" Type="http://schemas.openxmlformats.org/officeDocument/2006/relationships/hyperlink" Target="http://www.nevo.co.il/law/70301/345.b.1" TargetMode="External"/><Relationship Id="rId10" Type="http://schemas.openxmlformats.org/officeDocument/2006/relationships/hyperlink" Target="http://www.nevo.co.il/law/70301/351.a" TargetMode="External"/><Relationship Id="rId11" Type="http://schemas.openxmlformats.org/officeDocument/2006/relationships/hyperlink" Target="http://www.nevo.co.il/law/70301/351.b" TargetMode="External"/><Relationship Id="rId12" Type="http://schemas.openxmlformats.org/officeDocument/2006/relationships/hyperlink" Target="http://www.nevo.co.il/law/70301/351.c.2" TargetMode="External"/><Relationship Id="rId13" Type="http://schemas.openxmlformats.org/officeDocument/2006/relationships/hyperlink" Target="http://www.nevo.co.il/law/98569/54a.b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case/6717096" TargetMode="External"/><Relationship Id="rId16" Type="http://schemas.openxmlformats.org/officeDocument/2006/relationships/hyperlink" Target="http://www.nevo.co.il/law/70301/351.a" TargetMode="External"/><Relationship Id="rId17" Type="http://schemas.openxmlformats.org/officeDocument/2006/relationships/hyperlink" Target="http://www.nevo.co.il/law/70301/351.b" TargetMode="External"/><Relationship Id="rId18" Type="http://schemas.openxmlformats.org/officeDocument/2006/relationships/hyperlink" Target="http://www.nevo.co.il/law/70301/351.c.2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5.a.1" TargetMode="External"/><Relationship Id="rId21" Type="http://schemas.openxmlformats.org/officeDocument/2006/relationships/hyperlink" Target="http://www.nevo.co.il/law/70301/345.b.1" TargetMode="External"/><Relationship Id="rId22" Type="http://schemas.openxmlformats.org/officeDocument/2006/relationships/hyperlink" Target="http://www.nevo.co.il/case/5739234" TargetMode="External"/><Relationship Id="rId23" Type="http://schemas.openxmlformats.org/officeDocument/2006/relationships/hyperlink" Target="http://www.nevo.co.il/case/5756128" TargetMode="External"/><Relationship Id="rId24" Type="http://schemas.openxmlformats.org/officeDocument/2006/relationships/hyperlink" Target="http://www.nevo.co.il/case/5758600" TargetMode="External"/><Relationship Id="rId25" Type="http://schemas.openxmlformats.org/officeDocument/2006/relationships/hyperlink" Target="http://www.nevo.co.il/case/6885165" TargetMode="External"/><Relationship Id="rId26" Type="http://schemas.openxmlformats.org/officeDocument/2006/relationships/hyperlink" Target="http://www.nevo.co.il/case/20622775" TargetMode="External"/><Relationship Id="rId27" Type="http://schemas.openxmlformats.org/officeDocument/2006/relationships/hyperlink" Target="http://www.nevo.co.il/law/98569/54a.b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case/17946334" TargetMode="External"/><Relationship Id="rId30" Type="http://schemas.openxmlformats.org/officeDocument/2006/relationships/hyperlink" Target="http://www.nevo.co.il/safrut/bookgroup/2156" TargetMode="External"/><Relationship Id="rId31" Type="http://schemas.openxmlformats.org/officeDocument/2006/relationships/hyperlink" Target="http://www.nevo.co.il/case/5816508" TargetMode="External"/><Relationship Id="rId32" Type="http://schemas.openxmlformats.org/officeDocument/2006/relationships/hyperlink" Target="http://www.nevo.co.il/case/6240898" TargetMode="External"/><Relationship Id="rId33" Type="http://schemas.openxmlformats.org/officeDocument/2006/relationships/hyperlink" Target="http://www.nevo.co.il/case/6243611" TargetMode="External"/><Relationship Id="rId34" Type="http://schemas.openxmlformats.org/officeDocument/2006/relationships/hyperlink" Target="http://www.nevo.co.il/case/6247045" TargetMode="External"/><Relationship Id="rId35" Type="http://schemas.openxmlformats.org/officeDocument/2006/relationships/hyperlink" Target="http://www.nevo.co.il/case/13063100" TargetMode="External"/><Relationship Id="rId36" Type="http://schemas.openxmlformats.org/officeDocument/2006/relationships/hyperlink" Target="http://www.nevo.co.il/case/20795238" TargetMode="External"/><Relationship Id="rId37" Type="http://schemas.openxmlformats.org/officeDocument/2006/relationships/hyperlink" Target="http://www.nevo.co.il/case/6229001" TargetMode="External"/><Relationship Id="rId38" Type="http://schemas.openxmlformats.org/officeDocument/2006/relationships/hyperlink" Target="http://www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fontTable" Target="fontTable.xml"/><Relationship Id="rId43" Type="http://schemas.openxmlformats.org/officeDocument/2006/relationships/settings" Target="settings.xml"/><Relationship Id="rId4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2022-08-31T13:06:00Z</dcterms:created>
  <dc:creator> </dc:creator>
  <dc:description/>
  <cp:keywords/>
  <dc:language>en-IL</dc:language>
  <cp:lastModifiedBy>h11</cp:lastModifiedBy>
  <dcterms:modified xsi:type="dcterms:W3CDTF">2022-08-31T13:06:00Z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EE">
    <vt:lpwstr>מדינת ישראל</vt:lpwstr>
  </property>
  <property fmtid="{D5CDD505-2E9C-101B-9397-08002B2CF9AE}" pid="4" name="BOOKGROUPTMP1">
    <vt:lpwstr>2156:2</vt:lpwstr>
  </property>
  <property fmtid="{D5CDD505-2E9C-101B-9397-08002B2CF9AE}" pid="5" name="CASESLISTTMP1">
    <vt:lpwstr>6717096:2;5739234;5756128;5758600;6885165;20622775;17946334;5816508;6240898;6243611;6247045;13063100;20795238;6229001</vt:lpwstr>
  </property>
  <property fmtid="{D5CDD505-2E9C-101B-9397-08002B2CF9AE}" pid="6" name="DATE">
    <vt:lpwstr>20170305</vt:lpwstr>
  </property>
  <property fmtid="{D5CDD505-2E9C-101B-9397-08002B2CF9AE}" pid="7" name="ISABSTRACT">
    <vt:lpwstr>Y</vt:lpwstr>
  </property>
  <property fmtid="{D5CDD505-2E9C-101B-9397-08002B2CF9AE}" pid="8" name="JUDGE">
    <vt:lpwstr>ח' מלצר;צ' זילברטל;נ' סולברג</vt:lpwstr>
  </property>
  <property fmtid="{D5CDD505-2E9C-101B-9397-08002B2CF9AE}" pid="9" name="LAWLISTTMP1">
    <vt:lpwstr>98569/054a.b</vt:lpwstr>
  </property>
  <property fmtid="{D5CDD505-2E9C-101B-9397-08002B2CF9AE}" pid="10" name="LAWLISTTMP2">
    <vt:lpwstr>70301/351.a;351.b;351.c.2;345.a.1;345.b.1</vt:lpwstr>
  </property>
  <property fmtid="{D5CDD505-2E9C-101B-9397-08002B2CF9AE}" pid="11" name="LAWYER">
    <vt:lpwstr>נעימה חינאווי כראם;יאיר נדשי</vt:lpwstr>
  </property>
  <property fmtid="{D5CDD505-2E9C-101B-9397-08002B2CF9AE}" pid="12" name="METAKZER">
    <vt:lpwstr>קרן</vt:lpwstr>
  </property>
  <property fmtid="{D5CDD505-2E9C-101B-9397-08002B2CF9AE}" pid="13" name="NOSE11">
    <vt:lpwstr>דיון פלילי</vt:lpwstr>
  </property>
  <property fmtid="{D5CDD505-2E9C-101B-9397-08002B2CF9AE}" pid="14" name="NOSE12">
    <vt:lpwstr>דיון פלילי</vt:lpwstr>
  </property>
  <property fmtid="{D5CDD505-2E9C-101B-9397-08002B2CF9AE}" pid="15" name="NOSE13">
    <vt:lpwstr>ראיות</vt:lpwstr>
  </property>
  <property fmtid="{D5CDD505-2E9C-101B-9397-08002B2CF9AE}" pid="16" name="NOSE14">
    <vt:lpwstr>ראיות</vt:lpwstr>
  </property>
  <property fmtid="{D5CDD505-2E9C-101B-9397-08002B2CF9AE}" pid="17" name="NOSE15">
    <vt:lpwstr>עונשין</vt:lpwstr>
  </property>
  <property fmtid="{D5CDD505-2E9C-101B-9397-08002B2CF9AE}" pid="18" name="NOSE1ID">
    <vt:lpwstr>18;18;89;89;77</vt:lpwstr>
  </property>
  <property fmtid="{D5CDD505-2E9C-101B-9397-08002B2CF9AE}" pid="19" name="NOSE21">
    <vt:lpwstr>ערעור</vt:lpwstr>
  </property>
  <property fmtid="{D5CDD505-2E9C-101B-9397-08002B2CF9AE}" pid="20" name="NOSE22">
    <vt:lpwstr>ערעור</vt:lpwstr>
  </property>
  <property fmtid="{D5CDD505-2E9C-101B-9397-08002B2CF9AE}" pid="21" name="NOSE23">
    <vt:lpwstr>עדות</vt:lpwstr>
  </property>
  <property fmtid="{D5CDD505-2E9C-101B-9397-08002B2CF9AE}" pid="22" name="NOSE24">
    <vt:lpwstr>עדות</vt:lpwstr>
  </property>
  <property fmtid="{D5CDD505-2E9C-101B-9397-08002B2CF9AE}" pid="23" name="NOSE25">
    <vt:lpwstr>ענישה</vt:lpwstr>
  </property>
  <property fmtid="{D5CDD505-2E9C-101B-9397-08002B2CF9AE}" pid="24" name="NOSE2ID">
    <vt:lpwstr>504;504;1654;1654;1446</vt:lpwstr>
  </property>
  <property fmtid="{D5CDD505-2E9C-101B-9397-08002B2CF9AE}" pid="25" name="NOSE31">
    <vt:lpwstr>אי-התערבות בממצאים עובדתיים</vt:lpwstr>
  </property>
  <property fmtid="{D5CDD505-2E9C-101B-9397-08002B2CF9AE}" pid="26" name="NOSE32">
    <vt:lpwstr>אי-התערבות במידת העונש</vt:lpwstr>
  </property>
  <property fmtid="{D5CDD505-2E9C-101B-9397-08002B2CF9AE}" pid="27" name="NOSE33">
    <vt:lpwstr>קורבן עבירת מין</vt:lpwstr>
  </property>
  <property fmtid="{D5CDD505-2E9C-101B-9397-08002B2CF9AE}" pid="28" name="NOSE34">
    <vt:lpwstr>עדות כבושה</vt:lpwstr>
  </property>
  <property fmtid="{D5CDD505-2E9C-101B-9397-08002B2CF9AE}" pid="29" name="NOSE35">
    <vt:lpwstr>מדיניות ענישה: עבירות מין במשפחה</vt:lpwstr>
  </property>
  <property fmtid="{D5CDD505-2E9C-101B-9397-08002B2CF9AE}" pid="30" name="NOSE3ID">
    <vt:lpwstr>3849;17039;12270;10410;16241</vt:lpwstr>
  </property>
  <property fmtid="{D5CDD505-2E9C-101B-9397-08002B2CF9AE}" pid="31" name="PADIDATE">
    <vt:lpwstr>20170306</vt:lpwstr>
  </property>
  <property fmtid="{D5CDD505-2E9C-101B-9397-08002B2CF9AE}" pid="32" name="PADIMAIL">
    <vt:lpwstr>YES</vt:lpwstr>
  </property>
  <property fmtid="{D5CDD505-2E9C-101B-9397-08002B2CF9AE}" pid="33" name="PROCESS">
    <vt:lpwstr>עפ</vt:lpwstr>
  </property>
  <property fmtid="{D5CDD505-2E9C-101B-9397-08002B2CF9AE}" pid="34" name="PROCNUM">
    <vt:lpwstr>8358</vt:lpwstr>
  </property>
  <property fmtid="{D5CDD505-2E9C-101B-9397-08002B2CF9AE}" pid="35" name="PROCYEAR">
    <vt:lpwstr>14</vt:lpwstr>
  </property>
  <property fmtid="{D5CDD505-2E9C-101B-9397-08002B2CF9AE}" pid="36" name="PSAKDIN">
    <vt:lpwstr>פסק-דין</vt:lpwstr>
  </property>
  <property fmtid="{D5CDD505-2E9C-101B-9397-08002B2CF9AE}" pid="37" name="TYPE">
    <vt:lpwstr>1</vt:lpwstr>
  </property>
  <property fmtid="{D5CDD505-2E9C-101B-9397-08002B2CF9AE}" pid="38" name="TYPE_ABS_DATE">
    <vt:lpwstr>410120170305</vt:lpwstr>
  </property>
  <property fmtid="{D5CDD505-2E9C-101B-9397-08002B2CF9AE}" pid="39" name="TYPE_N_DATE">
    <vt:lpwstr>41020170305</vt:lpwstr>
  </property>
  <property fmtid="{D5CDD505-2E9C-101B-9397-08002B2CF9AE}" pid="40" name="WORDNUMPAGES">
    <vt:lpwstr>11</vt:lpwstr>
  </property>
</Properties>
</file>