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8363/19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גרנות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06.11.2019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57564-12-15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highlight w:val="yellow"/>
              </w:rPr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highlight w:val="yellow"/>
              </w:rPr>
            </w:pP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02.07.20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highlight w:val="yellow"/>
              </w:rPr>
            </w:pPr>
            <w:r>
              <w:rPr>
                <w:highlight w:val="yellow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מוחמד עלי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סדרי דין וראיות בדוד לקביעת מתחם עונש הולם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30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התווה רשימה לא סגורה של סוגי מקרים העשויים להיכלל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לפיו מעשה ההמתה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נעשה באכזריות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תוך התעללות גופנית או נפשית בקורבן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 יש להרשיע את המערער בעבירה שבסעיף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העונש בצידה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עוד נפסק כי נסיבות המקרה אינן מצדיקות את הרשעת המערער בעבירת ההמתה בנסיבות של אחריות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אף אין מקום להחלת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אכזריות מיוחדת או תוך התעללות גופנית או נפשית בקורבן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עונש מופחת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קנטור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בו נמצא המערער אשם בעבירת רצח בכוונה תחילה של אשתו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ועל גזר הדין שהשית על המערער עונש מאסר עולם ותשלום פיצויים לנפגעי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מתמקד בהגדרת יסודות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 הישנה וזו החדשה בעקבות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האם המתת המנוחה בידי המערער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מגבשת את עבירת הרצח בכוונה תחילה כפי שהיא מוגדרת תחת הדין הישן ותחת החוק בגרסתו העדכנית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טענות המערער לפיהן האכסניה החוקית המתאימה לסיווג נסיבות המקרה היא עבירת ההמתה בנסיבות של אחריות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תיבחן האפשרות לייחס למעשי המערער את העבירה שבסעיף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הנדל ובהסכמת השופטים קרא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ביחס לאפשרות סיווג מעשיו תחת עבירת ההמתה באחריות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התקיימות אחת משלוש הנסיבות המנויות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התגרות הממתנת את אשמת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ליקוי בכושר השכלי המגביל את יכולתו להבין את אשר הוא עושה או להימנע מביצוע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עקב התעללות חמורה ומתמשכת בידי מי שהנאשם גרם למותו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להתגרות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קנטור אובייקטיבי וסובייקטיבי הוא אחד התנאים לביצוע עבירת רצח בכוונה תחילה תחת הדין הישן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החדש הנוגע להתגרות דומה למבחן הישן של 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שונה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המבחן החדש משלב בין יסודות סובייקטיביים לאובייקטיביים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הגם שמבחן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האדם הסביר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אינו עוד בגדר שיקול ותחתיו מופיע הביטוי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למתן את 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ההיבט האובייקטיבי של המבחן נשקל מנוקדת מבט חברתית ומוסרית חיצונית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לא מתקיימת הנסיבה הנוגעת להתגרות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נוכח קמצנותו יוצאת הדופן של המערער הוא צלח את מבחן הקנטור הסובייקטיבי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משמעות עניין זה כי הוא צולח את מבחן הקנטור הערכי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נורמטיבי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בנוגע למצבו הקוגניטיבי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 מאחר שלא הוכח כי בשעת מעשה ההמתה המערער היה נתון להשפעת פגיעה מוחית מכל סוג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ירידה זמנית בכושר השכלי או אובדן זיכרון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ונמצא כי מצבו הנפשי והשכלי תקין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החיים לצד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פרקים בהם סבלה ממחלת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מגבשים את נסיבות הסעיף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המקרה דנן לפרשות שהמחוקק שיווה לנגד עיניו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הנוגעות להמתה של מי שהתעללו במשך שנים ובאופן אלים וקשה ביותר בבני משפחותיהם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דמיון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ההמתה באחריות מופחתת איננה מתאימה לנסיבות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לאפשרות החלת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על 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הקובע כי נאשם יורשע ברצח בנסיבות מחמירות אם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נעשה לאחר תכנון או הליך ממשי של שקילה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כי יש לפרש את החוק החדש כך שכאשר אין מדובר במקרה של תכנון מראש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יהיה למצוא נסיבות מחמירות בהתאם לעוצמת כוונת הקטילה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שעוצמת כוונת הקטילה תתברר כמשמעותית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יתקיים במובהק יסוד הנסיבות המחמירות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כי נסיבות המקרה מתאימות גם להרשעה בעבירת רצח בנסיבות מחמירות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שעמדה זו מעוררת קושי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הסעיף מציג שתי חלופות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תכנון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לאחר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הליך ממשי של שקילה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החלופה השנייה בסיפא מעלה כי מדובר בתנאים 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 מאפשרים לעקוף את החובה להוכיח קיומו של הליך ממשי של שקילה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גיבוש ההחלטה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קיימת נסיבה מחמירה אחרת לעבירת הרצח –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הנוגע להמתה שנעשתה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באכזריות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תוך התעללות גופנית או נפשית בקורבן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לבחון את מעשה הרצח על פי החוויה שהקורבן 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ההבחנה בין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סתם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לרצח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באכזריות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נעוצה בדרך האכזרית בה בוצעה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סיווג רצח ככזה הנעשה בנסיבות מחמירות חייב לטמון בחובו מימד מיוחד שאיננו נחלת כל מקרי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מתפקידו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לייחד את עבירת הרצח שנעשית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באכזריות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הכוללים שימוש באלימות ברף גבוה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המקרים שיתאימו לסיווג תחת 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כוללים אלימות מתמשכת וחריגה המסבה סבל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ולעיתים בלתי נתפש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לקורבנה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לנסיבה שעניינה תוך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התעללות גופנית או נפשית בקורבן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לזהות את המקרים המתאימים שיחול עליהם 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 לתת את הדעת לעלילת הסיפור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לשאול אם זהו מקרה שביחס אליו יש לומר כי המבצע נהג באכזריות מיוחדת או תוך התעללות גופנית או נפשית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קורבן העבירה חווה אכזריות מיוחדת או התעללות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מידת האכזריות או ההתעללות חייבת להיות כזו שמצדיקה הבחנה בין מקרים אחרים של רצח אשר גם בהם קיים מימד מסוים של אכזריות או התעללות נוכח טיב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ומגלה כי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מעשה ההמתה שביצע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המונה מספר שלבים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חוסה תחת חלופת ההתעללות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כללי האצבע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מגבשים רשימה לא סגורה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עבור סוגי המקרים אשר עשויים להיכלל בסעיף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 בסעיף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מחייבת השתת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מונח בפניי ערעור על פסק דינו של בית המשפט המחוזי בתל אביב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>יפו ב</w:t>
      </w:r>
      <w:hyperlink r:id="rId31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</w:rPr>
          <w:t>57564-12-15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sz w:val="28"/>
          <w:sz w:val="28"/>
          <w:rtl w:val="true"/>
        </w:rPr>
        <w:t xml:space="preserve">מפי </w:t>
      </w:r>
      <w:r>
        <w:rPr>
          <w:rFonts w:ascii="Century" w:hAnsi="Century" w:cs="Century"/>
          <w:sz w:val="28"/>
          <w:sz w:val="28"/>
          <w:rtl w:val="true"/>
        </w:rPr>
        <w:t>כב</w:t>
      </w:r>
      <w:r>
        <w:rPr>
          <w:rFonts w:cs="Century" w:ascii="Century" w:hAnsi="Century"/>
          <w:sz w:val="28"/>
          <w:rtl w:val="true"/>
        </w:rPr>
        <w:t xml:space="preserve">' </w:t>
      </w:r>
      <w:r>
        <w:rPr>
          <w:rFonts w:ascii="Century" w:hAnsi="Century" w:cs="Century"/>
          <w:sz w:val="28"/>
          <w:sz w:val="28"/>
          <w:rtl w:val="true"/>
        </w:rPr>
        <w:t>השופט</w:t>
      </w:r>
      <w:r>
        <w:rPr>
          <w:rFonts w:ascii="Century" w:hAnsi="Century" w:cs="Century"/>
          <w:sz w:val="28"/>
          <w:sz w:val="28"/>
          <w:rtl w:val="true"/>
        </w:rPr>
        <w:t>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אב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ד</w:t>
      </w:r>
      <w:r>
        <w:rPr>
          <w:rFonts w:cs="Century" w:ascii="Century" w:hAnsi="Century"/>
          <w:sz w:val="28"/>
          <w:rtl w:val="true"/>
        </w:rPr>
        <w:t>)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הערעור נסוב על הכרעת הדין לאחר שמיעת ראיות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שבמסגרתה נמצא המערער אשם בעבירת רצח בכוונה תחילה </w:t>
      </w:r>
      <w:r>
        <w:rPr>
          <w:rFonts w:cs="Century" w:ascii="Century" w:hAnsi="Century"/>
          <w:sz w:val="28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2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התשל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ז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1977</w:t>
      </w:r>
      <w:r>
        <w:rPr>
          <w:rFonts w:cs="Century" w:ascii="Century" w:hAnsi="Century"/>
          <w:sz w:val="28"/>
          <w:rtl w:val="true"/>
        </w:rPr>
        <w:t xml:space="preserve"> (</w:t>
      </w:r>
      <w:r>
        <w:rPr>
          <w:rFonts w:ascii="Century" w:hAnsi="Century" w:cs="Century"/>
          <w:sz w:val="28"/>
          <w:sz w:val="28"/>
          <w:rtl w:val="true"/>
        </w:rPr>
        <w:t>להלן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sz w:val="28"/>
          <w:rtl w:val="true"/>
        </w:rPr>
        <w:t xml:space="preserve">)); </w:t>
      </w:r>
      <w:r>
        <w:rPr>
          <w:rFonts w:ascii="Century" w:hAnsi="Century" w:cs="Century"/>
          <w:sz w:val="28"/>
          <w:sz w:val="28"/>
          <w:rtl w:val="true"/>
        </w:rPr>
        <w:t xml:space="preserve">וגם על גזר הדין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אשר השית על המערער עונש מאסר עולם ותשלום פיצויים לנפגעי העבירה על סך </w:t>
      </w:r>
      <w:r>
        <w:rPr>
          <w:rFonts w:cs="Century" w:ascii="Century" w:hAnsi="Century"/>
          <w:sz w:val="28"/>
        </w:rPr>
        <w:t>258,000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ח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חוק העונשין</w:t>
        </w:r>
      </w:hyperlink>
      <w:r>
        <w:rPr>
          <w:rFonts w:ascii="FrankRuehl" w:hAnsi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>תיקון מס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cs="FrankRuehl" w:ascii="FrankRuehl" w:hAnsi="FrankRuehl"/>
        </w:rPr>
        <w:t>137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/>
          <w:rtl w:val="true"/>
        </w:rPr>
        <w:t>התשע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ט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2019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ascii="FrankRuehl" w:hAnsi="FrankRuehl"/>
          <w:rtl w:val="true"/>
        </w:rPr>
        <w:t>להלן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הרפורמה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בעבירות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ההמתה</w:t>
      </w:r>
      <w:r>
        <w:rPr>
          <w:rFonts w:eastAsia="Arial TUR" w:cs="Arial TUR"/>
          <w:b/>
          <w:b/>
          <w:spacing w:val="0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b/>
          <w:b/>
          <w:spacing w:val="0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הרפורמה</w:t>
      </w:r>
      <w:r>
        <w:rPr>
          <w:rFonts w:cs="FrankRuehl" w:ascii="FrankRuehl" w:hAnsi="FrankRuehl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מולנו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מגבשת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העדכנית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האכסניה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: "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".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ובהשלכותיה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cs="Century" w:ascii="Century" w:hAnsi="Century"/>
          <w:sz w:val="28"/>
        </w:rPr>
        <w:t>2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וזהו סיפור המעשה כפי שעולה מהכרעת הדין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יליד שנת </w:t>
      </w:r>
      <w:r>
        <w:rPr>
          <w:rFonts w:cs="Century" w:ascii="Century" w:hAnsi="Century"/>
          <w:sz w:val="28"/>
        </w:rPr>
        <w:t>1936</w:t>
      </w:r>
      <w:r>
        <w:rPr>
          <w:rFonts w:cs="Century" w:ascii="Century" w:hAnsi="Century"/>
          <w:sz w:val="28"/>
          <w:rtl w:val="true"/>
        </w:rPr>
        <w:t>,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וגב</w:t>
      </w:r>
      <w:r>
        <w:rPr>
          <w:rFonts w:cs="Century" w:ascii="Century" w:hAnsi="Century"/>
          <w:sz w:val="28"/>
          <w:rtl w:val="true"/>
        </w:rPr>
        <w:t xml:space="preserve">' </w:t>
      </w:r>
      <w:r>
        <w:rPr>
          <w:rFonts w:ascii="Century" w:hAnsi="Century" w:cs="Century"/>
          <w:sz w:val="28"/>
          <w:sz w:val="28"/>
          <w:rtl w:val="true"/>
        </w:rPr>
        <w:t>סימה גאולה גרנות ז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להלן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cs="Century" w:ascii="Century" w:hAnsi="Century"/>
          <w:sz w:val="28"/>
          <w:rtl w:val="true"/>
        </w:rPr>
        <w:t xml:space="preserve">), </w:t>
      </w:r>
      <w:r>
        <w:rPr>
          <w:rFonts w:ascii="Century" w:hAnsi="Century" w:cs="Century"/>
          <w:sz w:val="28"/>
          <w:sz w:val="28"/>
          <w:rtl w:val="true"/>
        </w:rPr>
        <w:t>היו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נשואים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מעל ל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45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שנים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ולהם שלושה בנים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בשנת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</w:rPr>
        <w:t>2015</w:t>
      </w:r>
      <w:r>
        <w:rPr>
          <w:rFonts w:cs="Century" w:ascii="Century" w:hAnsi="Century"/>
          <w:sz w:val="28"/>
          <w:rtl w:val="true"/>
        </w:rPr>
        <w:t>,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חודשיים לפני המאורע מושא כתב האישום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ביקשה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המנוחה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להביא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הנישואין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לסיום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פתחה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גירושין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חודש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מאורע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ואיומים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הוצאת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להוצאת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גג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בחדרים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נפרדים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בתאריך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</w:rPr>
        <w:t>8.12.2015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המערער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המית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אשתו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לאחר שהתגלע ביניהם ריב על רקע הליך הגירושין בו היו מצויים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תרחיש הדמים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כפי שג</w:t>
      </w:r>
      <w:r>
        <w:rPr>
          <w:sz w:val="28"/>
          <w:sz w:val="28"/>
          <w:rtl w:val="true"/>
        </w:rPr>
        <w:t>וּ</w:t>
      </w:r>
      <w:r>
        <w:rPr>
          <w:rFonts w:ascii="Century" w:hAnsi="Century" w:cs="Century"/>
          <w:sz w:val="28"/>
          <w:sz w:val="28"/>
          <w:rtl w:val="true"/>
        </w:rPr>
        <w:t xml:space="preserve">לל </w:t>
      </w:r>
      <w:r>
        <w:rPr>
          <w:rFonts w:ascii="Century" w:hAnsi="Century" w:cs="Century"/>
          <w:sz w:val="28"/>
          <w:sz w:val="28"/>
          <w:rtl w:val="true"/>
        </w:rPr>
        <w:t>ב</w:t>
      </w:r>
      <w:r>
        <w:rPr>
          <w:rFonts w:ascii="Century" w:hAnsi="Century" w:cs="Century"/>
          <w:sz w:val="28"/>
          <w:sz w:val="28"/>
          <w:rtl w:val="true"/>
        </w:rPr>
        <w:t>כתב האישום</w:t>
      </w:r>
      <w:r>
        <w:rPr>
          <w:rFonts w:ascii="Century" w:hAnsi="Century" w:cs="Century"/>
          <w:sz w:val="28"/>
          <w:sz w:val="28"/>
          <w:rtl w:val="true"/>
        </w:rPr>
        <w:t xml:space="preserve"> ובפסק דינו של בית משפט קמא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הוא כדלקמן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לגרסת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ברגעים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שקדמו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כס</w:t>
      </w:r>
      <w:r>
        <w:rPr>
          <w:sz w:val="28"/>
          <w:sz w:val="28"/>
          <w:rtl w:val="true"/>
        </w:rPr>
        <w:t>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סודי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וטלטלה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בחוזקה</w:t>
      </w:r>
      <w:r>
        <w:rPr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בעקבות 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המערער נטל פטיש מאחד מחדרי הבית והשתמש בו כדי להכות את המנוחה על ראשה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לפי חוות הדעת של המרכז הלאומי לרפואה משפטית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המערער הכה בה עם הפטיש לכל הפחות </w:t>
      </w:r>
      <w:r>
        <w:rPr>
          <w:rFonts w:cs="Century" w:ascii="Century" w:hAnsi="Century"/>
          <w:sz w:val="28"/>
        </w:rPr>
        <w:t>19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פעמים ותוך הפעלת עוצמה רבה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זאת עשה בשתי זירות בבית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בסלון ובמבואה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חוות הדעת קובעת גם כי מיקום התקיפות ופצעי ההגנה על גופה של המנוחה מלמדים על ניסיונה להתנגד למערער ולהגן על עצמה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לאחר שהפליא בה את מהלומות הפטיש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ובעוד המנוחה נאבקת על חייה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נטל המערער בקבוק חומצת מלח אשר היה מצוי בחדר השירותים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או אז חזר לזירה האלימה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ושפך את הבקבוק על פניה ואל תוך פיה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תוך דאגה שתבלע את החומצה הרעילה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מהודאותיו של המערער עולה כי בשלב זה של האירוע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חנק המערער את המנוחה באמצעות שימוש במגבת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אותה הניח על ראשה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יושם אל לב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עם 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כי לפי חוות הדעת הרפואית שהוכנה בעניינה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היו אלה מכות הפטיש והשימוש בחומצה אשר הביאו למותה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לאחר שהשתכנע כי המנוחה נפחה את נשמתה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המערער כיסה את גופתה בשטיח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המערער העריך כי אירוע זה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על כל שלביו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ארך בערך שעתיים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0000"/>
          <w:sz w:val="28"/>
        </w:rPr>
      </w:pPr>
      <w:r>
        <w:rPr>
          <w:rFonts w:cs="Century" w:ascii="Century" w:hAnsi="Century"/>
          <w:sz w:val="28"/>
        </w:rPr>
        <w:t>3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לאחר שעולל מה שעולל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לטענתו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ניסה לפגוע בעצמו בדרכים שונות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rFonts w:ascii="Century" w:hAnsi="Century" w:cs="Century"/>
          <w:sz w:val="28"/>
          <w:sz w:val="28"/>
          <w:rtl w:val="true"/>
        </w:rPr>
        <w:t>דרך חיתוך ידיו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ניסיון התחשמלות ובליעת כדורים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באותו הלילה כתב מכתבי פרידה לבניו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ובהם ציין גם פרטים על ענייני הירושה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ביטוחים והוראות תשלום מסוגים שונים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לאחיה של המנוחה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כמו גם לעורכי הדין אשר ייצגו אותה בהליך הגירושין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כתב מכתבים מאשימים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בהם טען כי הללו נושאים בחלק מן האשם במותה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המערער דאג לשליחתם של המכתבים בדואר עוד באותו הלילה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  <w:sz w:val="28"/>
        </w:rPr>
      </w:pPr>
      <w:r>
        <w:rPr>
          <w:rFonts w:cs="Century" w:ascii="Century" w:hAnsi="Century"/>
          <w:color w:val="FF000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רק עם בוא הבוקר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בתאריך </w:t>
      </w:r>
      <w:r>
        <w:rPr>
          <w:rFonts w:cs="Century" w:ascii="Century" w:hAnsi="Century"/>
          <w:sz w:val="28"/>
        </w:rPr>
        <w:t>9.12.2015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התקשר המערער לבנו וסיפר לו על אודות שעשה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בשעה </w:t>
      </w:r>
      <w:r>
        <w:rPr>
          <w:rFonts w:cs="Century" w:ascii="Century" w:hAnsi="Century"/>
          <w:sz w:val="28"/>
        </w:rPr>
        <w:t>8:32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הגיע בנו בליווי כוח משטרתי לדירה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אלו פרצו את דלת הבית ומצא את גופת המנוחה מוטלת על רצפת הבית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וכן את הנאשם עם סימני חיתוך קלים על זרועותיו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4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בית המשפט המחוזי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בהכרעת דינו המנומקת והמקיפה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קבע כי המערער אחראי לרצח המנוחה בכוונה תחילה מעל לכל ספק סביר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בית המשפט דחה את טענותיו של המערער בעניין התקיימותו של קנטור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וכן את הטענות לפיהן המערער סבל מבעיה נפשית או קוגניטיבי</w:t>
      </w:r>
      <w:r>
        <w:rPr>
          <w:rFonts w:ascii="Century" w:hAnsi="Century" w:cs="Century"/>
          <w:sz w:val="28"/>
          <w:sz w:val="28"/>
          <w:rtl w:val="true"/>
        </w:rPr>
        <w:t>ת</w:t>
      </w:r>
      <w:r>
        <w:rPr>
          <w:rFonts w:ascii="Century" w:hAnsi="Century" w:cs="Century"/>
          <w:sz w:val="28"/>
          <w:sz w:val="28"/>
          <w:rtl w:val="true"/>
        </w:rPr>
        <w:t xml:space="preserve"> בזמן אירוע ההמתה אשר מצדיקות השתת אחריות פלילית מופחתת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הרפורמה בעבירות ההמתה נכנסה לתוקף במהלך ניהול משפטו של 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טרם מתן פסק דין חלוט בעניינו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על כן חלות עליו הוראת המעבר המעוגנת בסעיף </w:t>
      </w:r>
      <w:r>
        <w:rPr>
          <w:rFonts w:cs="Century" w:ascii="Century" w:hAnsi="Century"/>
          <w:sz w:val="28"/>
        </w:rPr>
        <w:t>25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ב</w:t>
      </w:r>
      <w:r>
        <w:rPr>
          <w:rFonts w:cs="Century" w:ascii="Century" w:hAnsi="Century"/>
          <w:sz w:val="28"/>
          <w:rtl w:val="true"/>
        </w:rPr>
        <w:t xml:space="preserve">) </w:t>
      </w:r>
      <w:r>
        <w:rPr>
          <w:rFonts w:ascii="Century" w:hAnsi="Century" w:cs="Century"/>
          <w:sz w:val="28"/>
          <w:sz w:val="28"/>
          <w:rtl w:val="true"/>
        </w:rPr>
        <w:t>לתיקון לעבירות ההמתה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אשר מפנות בתורן להוראות הכלליות </w:t>
      </w:r>
      <w:hyperlink r:id="rId39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5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40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הנוגעות למצב של שינוי חיקוק לאחר עשיית עבירה</w:t>
      </w:r>
      <w:r>
        <w:rPr>
          <w:rFonts w:cs="Century" w:ascii="Century" w:hAnsi="Century"/>
          <w:sz w:val="28"/>
          <w:rtl w:val="true"/>
        </w:rPr>
        <w:t xml:space="preserve">. </w:t>
      </w:r>
      <w:hyperlink r:id="rId41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5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42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קובע כי במצב דברים בו</w:t>
      </w:r>
      <w:r>
        <w:rPr>
          <w:rFonts w:cs="Century" w:ascii="Century" w:hAnsi="Century"/>
          <w:sz w:val="28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ascii="Century" w:hAnsi="Century" w:cs="Century"/>
          <w:sz w:val="28"/>
          <w:sz w:val="28"/>
          <w:rtl w:val="true"/>
        </w:rPr>
        <w:t xml:space="preserve">משבית המשפט המחוזי לא מצא כי יש בדין החדש כדי להקל עם המערער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כמצוות הסעיף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קבע כי הדין הישן הוא שיחול על המקרה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נקבע כי נסיבות הרצח מגלות שמעשיו של המערער באים בגדרה של </w:t>
      </w:r>
      <w:r>
        <w:rPr>
          <w:rFonts w:ascii="Century" w:hAnsi="Century" w:cs="Century"/>
          <w:sz w:val="28"/>
          <w:sz w:val="28"/>
          <w:rtl w:val="true"/>
        </w:rPr>
        <w:t>עבירת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הרצח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בכוונה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תחילה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לפי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2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הישן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וכן מתאימים להרשעה גם בעבירת רצח בנסיבות מחמירות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המעוגנת </w:t>
      </w:r>
      <w:hyperlink r:id="rId44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45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לאחר הרפורמה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מכיוון שכך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הערכאה המבררת לא ראתה לנכון להידרש לשאלת התקיימותן של נסיבות מחמירות אחרות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יצוין כי סוגיית הקנטור והטענה לאחריות מופחתת נוכח קיומו של ליקוי שכלי או הפרעה נפשית נבחנו גם כן לאור הקבוע בחוק לאחר הרפורמה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ולא נמצא כי התיקון מביא לדין מקל גם בהקשרים הללו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לבסוף המערער הורשע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כאמור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בעבירת רצח בכוונה תחילה לפי </w:t>
      </w:r>
      <w:hyperlink r:id="rId46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2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47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בגרסתו הישנה והושת עליו עונש מאסר עולם לצד חובת תשלום פיצויים לנפגעי העבירה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5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לעמדת ההגנה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יש להרשיע את המערער </w:t>
      </w:r>
      <w:hyperlink r:id="rId48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הנוגע להמתה בנסיבות של אחריות מופחתת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זאת בשל מספר טעמים ובהסתמך על מספר חלופות שונות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החלופה הראשונה המוצעת על ידי ההגנה היא הרשעת המערער </w:t>
      </w:r>
      <w:hyperlink r:id="rId50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משום שהוּכחה התקיימותה של התגרות כלפי הנאשם בתכוף למעשה ההמתה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לפי הטענה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הנושא הפיננסי היה רגיש במיוחד עבור המערער נוכח היותו קמצן כרוני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על כן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התנהגותה של המנוחה טרם מותה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אותה תפש המערער כאיום על רכושו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עולה כדי התגרות אשר הקשתה עליו לשלוט בעצמו במידה ניכרת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עוד ציינה ההגנה כי קיימת אפשרות סבירה שהמערער לא שלט במעשיו בזמן ביצוע העבירה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בהתאם לקבוע </w:t>
      </w:r>
      <w:hyperlink r:id="rId51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2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הסעיף מורה כי אם בשעת ביצוע המעשה הוגבלה יכולתו של הנאשם להבין את שהוא עושה או את הפסול שבמעשה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או להימנע מעשיית העבירה מחמת הפרעה נפשית חמורה או ליקוי בכושרו השכלי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יש להרשיעו בעבירת המתה באחריות מופחתת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תימוכין לטענה זו מוצאת ההגנה בעיקר בחוות הדעת שנכתבה על ידי פרופ</w:t>
      </w:r>
      <w:r>
        <w:rPr>
          <w:rFonts w:cs="Century" w:ascii="Century" w:hAnsi="Century"/>
          <w:sz w:val="28"/>
          <w:rtl w:val="true"/>
        </w:rPr>
        <w:t xml:space="preserve">' </w:t>
      </w:r>
      <w:r>
        <w:rPr>
          <w:rFonts w:ascii="Century" w:hAnsi="Century" w:cs="Century"/>
          <w:sz w:val="28"/>
          <w:sz w:val="28"/>
          <w:rtl w:val="true"/>
        </w:rPr>
        <w:t>א</w:t>
      </w:r>
      <w:r>
        <w:rPr>
          <w:rFonts w:cs="Century" w:ascii="Century" w:hAnsi="Century"/>
          <w:sz w:val="28"/>
          <w:rtl w:val="true"/>
        </w:rPr>
        <w:t xml:space="preserve">' </w:t>
      </w:r>
      <w:r>
        <w:rPr>
          <w:rFonts w:ascii="Century" w:hAnsi="Century" w:cs="Century"/>
          <w:sz w:val="28"/>
          <w:sz w:val="28"/>
          <w:rtl w:val="true"/>
        </w:rPr>
        <w:t>ורטמן בעניין מצבו הרפואי והקוגניטיב</w:t>
      </w:r>
      <w:r>
        <w:rPr>
          <w:rFonts w:ascii="Century" w:hAnsi="Century" w:cs="Century"/>
          <w:sz w:val="28"/>
          <w:sz w:val="28"/>
          <w:rtl w:val="true"/>
        </w:rPr>
        <w:t>י</w:t>
      </w:r>
      <w:r>
        <w:rPr>
          <w:rFonts w:ascii="Century" w:hAnsi="Century" w:cs="Century"/>
          <w:sz w:val="28"/>
          <w:sz w:val="28"/>
          <w:rtl w:val="true"/>
        </w:rPr>
        <w:t xml:space="preserve"> של 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שהוצגה בפני המותב של בית המשפט המחוזי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לשיטת ההגנה הצטרפות נסיבות אלה לטענת התקיימותו של קנטור מצד המנוחה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מחזקת אף היא את המסקנה שהמערער התקשה לשלוט בעצמו וכי התגבשו יסודות עבירת ההמתה באחריות מופחתת בעניינו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 xml:space="preserve">ההגנה ניסתה להיבנות גם מן האמור </w:t>
      </w:r>
      <w:hyperlink r:id="rId52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53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המתייחס להמתה באחריות מופחתת מקום בו</w:t>
      </w:r>
      <w:r>
        <w:rPr>
          <w:rFonts w:cs="Century" w:ascii="Century" w:hAnsi="Century"/>
          <w:sz w:val="28"/>
          <w:rtl w:val="true"/>
        </w:rPr>
        <w:t>: "</w:t>
      </w:r>
      <w:r>
        <w:rPr>
          <w:rFonts w:ascii="Century" w:hAnsi="Century" w:cs="Century"/>
          <w:sz w:val="28"/>
          <w:sz w:val="28"/>
          <w:rtl w:val="true"/>
        </w:rPr>
        <w:t>המעשה נעשה כשהנאשם היה נתון במצב של מצוקה נפשית קשה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עקב התעללות חמורה ומתמשכת בו או בבני משפחתו בידי מי שהנאשם גרם למותו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לפי הנטען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המנוחה סבלה ממחלה נפשית שהביאה להצטברות זעם בקרב 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נוכח הסבל המתמשך שנגרם לו עקב החיים לצדה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אשר התפרץ בשעת מעשה העבירה והביא אותו למצב של היעדר שליטה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פרט לאלה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ההגנה הדגישה כי שגה בית משפט קמא בקביעתו שיש לייחס למערער עבירת רצח בנסיבות מחמירות מפני שלשון הוראת </w:t>
      </w:r>
      <w:hyperlink r:id="rId54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לאחר הרפורמה מתייחסת </w:t>
      </w:r>
      <w:hyperlink r:id="rId55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אל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תכנון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 xml:space="preserve">או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הליך ממשי של שקילה וגיבוש החלטה להמית</w:t>
      </w:r>
      <w:r>
        <w:rPr>
          <w:rFonts w:cs="Century" w:ascii="Century" w:hAnsi="Century"/>
          <w:sz w:val="28"/>
          <w:rtl w:val="true"/>
        </w:rPr>
        <w:t xml:space="preserve">", </w:t>
      </w:r>
      <w:r>
        <w:rPr>
          <w:rFonts w:ascii="Century" w:hAnsi="Century" w:cs="Century"/>
          <w:sz w:val="28"/>
          <w:sz w:val="28"/>
          <w:rtl w:val="true"/>
        </w:rPr>
        <w:t>אשר לא התקיימו בעניינו משום שהמתת המנוחה נבעה מהתקפת זעם ספונטנית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לכן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ההגנה סוברת כי יש להרשיע את המערער בעבירת רצח שאין לצדה עונש מאסר עולם חובה לפי </w:t>
      </w:r>
      <w:hyperlink r:id="rId56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בהתייחס לטענות הערעוריות הנוגעות לגזר הדין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ההגנה ציינה כי בשל גילו המתקדם ומצבו הרפואי של 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המידרדר נוכח הימצאותו בכלא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אין להטיל עליו עונש מאסר עולם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עוד נטען כי לא מדובר באדם עם עבר עברייני או קווי אופי עברייניים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ועל כן הסיכוי שיחזור על מעשיו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בהינתן שצירוף הנסיבות שהובילו למעשה ההמתה הינו חד פעמי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הוא מזערי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בייחוס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לגרסתה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ותכנון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והממושכות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7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מטענות הצדדים בערעור עולה אפוא כי גדר המחלוקת בין הצדדים איננה עובדתית אלא משפטית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משהיא נסובה אך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המוסכמות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והמתה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0000"/>
          <w:sz w:val="28"/>
        </w:rPr>
      </w:pPr>
      <w:r>
        <w:rPr>
          <w:rFonts w:cs="Century" w:ascii="Century" w:hAnsi="Century"/>
          <w:sz w:val="28"/>
        </w:rPr>
        <w:t>8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נתייחס לטענות לפי סדרן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ונפתח בטענת ההתגרות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הנסיבה הנוגעת להתגרות מופיעה </w:t>
      </w:r>
      <w:hyperlink r:id="rId63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 בזו הלשון</w:t>
      </w:r>
      <w:r>
        <w:rPr>
          <w:rFonts w:cs="Century" w:ascii="Century" w:hAnsi="Century"/>
          <w:sz w:val="28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  <w:color w:val="FF0000"/>
          <w:sz w:val="28"/>
        </w:rPr>
      </w:pPr>
      <w:r>
        <w:rPr>
          <w:rFonts w:cs="Century" w:ascii="Century" w:hAnsi="Century"/>
          <w:color w:val="FF0000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sz w:val="28"/>
          <w:rtl w:val="true"/>
        </w:rPr>
        <w:t xml:space="preserve">[...]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הגורם בכוונה או באדישות למותו של אדם באחת מהנסיבות המפורטות להלן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דינו – מאסר עשרים שנים</w:t>
      </w:r>
      <w:r>
        <w:rPr>
          <w:rStyle w:val="default"/>
          <w:rFonts w:cs="Century" w:ascii="Century" w:hAnsi="Century"/>
          <w:sz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ascii="Century" w:hAnsi="Century" w:cs="Century"/>
          <w:sz w:val="28"/>
          <w:sz w:val="28"/>
          <w:rtl w:val="true"/>
        </w:rPr>
        <w:t>המעשה בוצע בתכוף לאחר התגרות כלפי הנאשם ובתגובה לאותה התגרות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ובלבד שמתקיימים שניים אלה</w:t>
      </w:r>
      <w:r>
        <w:rPr>
          <w:rStyle w:val="default"/>
          <w:rFonts w:cs="Century" w:ascii="Century" w:hAnsi="Century"/>
          <w:sz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sz w:val="28"/>
          <w:rtl w:val="true"/>
        </w:rPr>
        <w:t>(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א</w:t>
      </w:r>
      <w:r>
        <w:rPr>
          <w:rStyle w:val="default"/>
          <w:rFonts w:cs="Century" w:ascii="Century" w:hAnsi="Century"/>
          <w:sz w:val="28"/>
          <w:rtl w:val="true"/>
        </w:rPr>
        <w:t xml:space="preserve">)  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בעקבות ההתגרות הנאשם התקשה במידה ניכרת לשלוט בעצמו</w:t>
      </w:r>
      <w:r>
        <w:rPr>
          <w:rStyle w:val="default"/>
          <w:rFonts w:cs="Century" w:ascii="Century" w:hAnsi="Century"/>
          <w:sz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sz w:val="28"/>
          <w:rtl w:val="true"/>
        </w:rPr>
        <w:t>(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</w:t>
      </w:r>
      <w:r>
        <w:rPr>
          <w:rStyle w:val="default"/>
          <w:rFonts w:cs="Century" w:ascii="Century" w:hAnsi="Century"/>
          <w:sz w:val="28"/>
          <w:rtl w:val="true"/>
        </w:rPr>
        <w:t xml:space="preserve">)   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יש בקושי האמור בפסקת משנה </w:t>
      </w:r>
      <w:r>
        <w:rPr>
          <w:rStyle w:val="default"/>
          <w:rFonts w:cs="Century" w:ascii="Century" w:hAnsi="Century"/>
          <w:sz w:val="28"/>
          <w:rtl w:val="true"/>
        </w:rPr>
        <w:t>(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א</w:t>
      </w:r>
      <w:r>
        <w:rPr>
          <w:rStyle w:val="default"/>
          <w:rFonts w:cs="Century" w:ascii="Century" w:hAnsi="Century"/>
          <w:sz w:val="28"/>
          <w:rtl w:val="true"/>
        </w:rPr>
        <w:t xml:space="preserve">)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כדי למתן את אשמתו של הנאשם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בשים לב למכלול נסיבות העניין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  <w:sz w:val="28"/>
        </w:rPr>
      </w:pPr>
      <w:r>
        <w:rPr>
          <w:rFonts w:cs="Century" w:ascii="Century" w:hAnsi="Century"/>
          <w:color w:val="FF000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eastAsia="Century"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דברי ההסבר של החוק מקרבים בין המונח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התגרות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 xml:space="preserve">ובין המונח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קנטור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כידוע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העדר קנטור אובייקטיבי וסובייקטיבי הוא אחד משלושת התנאים לביצוע עבירת רצח בכוונה תחילה תחת הדין הישן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תנאי זה מצטרף לשני התנאים הנוספים שיש להוכיח לצורך הרשעה בסעיף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גיבוש החלטה להמית וביצוע פעולות הכנה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על פי דברי ההסבר להצעת החוק של הרפורמה לעבירות ההמתה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המבחן החדש הנוגע להתגרות דומה למבחן הישן של קנטור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אך גם שונה ממנו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אף המבחן החדש משלב בין יסודות סובייקטיביים לאובייקטיביים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הגם שמבחן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האדם הסביר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>ירד משולחן השיקולים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תחתיו מופיע הביטוי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למתן את אשמתו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ההיבט האובייקטיבי של המבחן נשקל אפוא מנוקדת מבט חברתית ומוסרית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החיצונית לנאשם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על בית המשפט העורך את המבחן לבטא</w:t>
      </w:r>
      <w:r>
        <w:rPr>
          <w:rFonts w:cs="Century" w:ascii="Century" w:hAnsi="Century"/>
          <w:sz w:val="28"/>
          <w:rtl w:val="true"/>
        </w:rPr>
        <w:t>: "</w:t>
      </w:r>
      <w:r>
        <w:rPr>
          <w:rFonts w:ascii="Century" w:hAnsi="Century" w:cs="Century"/>
          <w:sz w:val="28"/>
          <w:sz w:val="28"/>
          <w:rtl w:val="true"/>
        </w:rPr>
        <w:t>תחושת צדק אנושית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בלי לפגוע במסר לציבור בדבר האיסור המוחלט להמית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דברי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הסבר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להצעת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6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תיקון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124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עבירות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המתה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התשע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2015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הממשלה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166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175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124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להרחבה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ההבדלים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הקנטור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כניסתה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לתוקף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sz w:val="28"/>
          <w:rtl w:val="true"/>
        </w:rPr>
        <w:t xml:space="preserve">: </w:t>
      </w:r>
      <w:hyperlink r:id="rId6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1130/19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30-27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sz w:val="28"/>
        </w:rPr>
        <w:t>27.12.2020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).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הייתי אומר כי אכן ראוי הוא שתחת המבחן של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האדם הסביר</w:t>
      </w:r>
      <w:r>
        <w:rPr>
          <w:rFonts w:cs="Century" w:ascii="Century" w:hAnsi="Century"/>
          <w:sz w:val="28"/>
          <w:rtl w:val="true"/>
        </w:rPr>
        <w:t xml:space="preserve">", </w:t>
      </w:r>
      <w:r>
        <w:rPr>
          <w:rFonts w:ascii="Century" w:hAnsi="Century" w:cs="Century"/>
          <w:sz w:val="28"/>
          <w:sz w:val="28"/>
          <w:rtl w:val="true"/>
        </w:rPr>
        <w:t xml:space="preserve">אשר לטעמי איננו מתאים לבחינת ההתגרות בשל השימוש במושג תחת דיני הנזיקין והאופי האמפירי שאפשר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ייתכן בטעות</w:t>
      </w:r>
      <w:r>
        <w:rPr>
          <w:rFonts w:cs="Century" w:ascii="Century" w:hAnsi="Century"/>
          <w:sz w:val="28"/>
          <w:rtl w:val="true"/>
        </w:rPr>
        <w:t xml:space="preserve">) </w:t>
      </w:r>
      <w:r>
        <w:rPr>
          <w:rFonts w:ascii="Century" w:hAnsi="Century" w:cs="Century"/>
          <w:sz w:val="28"/>
          <w:sz w:val="28"/>
          <w:rtl w:val="true"/>
        </w:rPr>
        <w:t>לייחס לו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בית המשפט יעסוק במלאכה נורמטיבית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באמצעות עריכת מבחן ערכי וחברתי היוצק תוכן קונקרטי להתגרות כנסיבה אשר מפחיתה מאחריות בגין מעשה המתה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משהצגנו 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ברי כי על פי תיאור המערער לא מתקיימת הנסיבה הנוגעת להתגרות בענייננו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>אנו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שכן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גם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אם </w:t>
      </w:r>
      <w:r>
        <w:rPr>
          <w:rFonts w:ascii="Century" w:hAnsi="Century" w:cs="Century"/>
          <w:sz w:val="28"/>
          <w:sz w:val="28"/>
          <w:rtl w:val="true"/>
        </w:rPr>
        <w:t>נוכח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קמצנותו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יוצאת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הדופן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המערער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הוא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צלח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מבחן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הקנטור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הסובייקטיבי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וגבוהה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היא המשוכה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אין משמעות עניין זה כי הוא צולח את מבחן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קנטור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ערכי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>נורמטיבי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מכאן שדין טענה זו להידחות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9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 xml:space="preserve">יש לדחות </w:t>
      </w:r>
      <w:r>
        <w:rPr>
          <w:rFonts w:ascii="Century" w:hAnsi="Century" w:cs="Century"/>
          <w:sz w:val="28"/>
          <w:sz w:val="28"/>
          <w:rtl w:val="true"/>
        </w:rPr>
        <w:t>גם</w:t>
      </w:r>
      <w:r>
        <w:rPr>
          <w:rFonts w:ascii="Century" w:hAnsi="Century" w:cs="Century"/>
          <w:sz w:val="28"/>
          <w:sz w:val="28"/>
          <w:rtl w:val="true"/>
        </w:rPr>
        <w:t xml:space="preserve"> את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טענת המערער </w:t>
      </w:r>
      <w:r>
        <w:rPr>
          <w:rFonts w:ascii="Century" w:hAnsi="Century" w:cs="Century"/>
          <w:sz w:val="28"/>
          <w:sz w:val="28"/>
          <w:rtl w:val="true"/>
        </w:rPr>
        <w:t>בנוגע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למצבו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הקוגניטיבי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אשר נידונה בהקשר </w:t>
      </w:r>
      <w:hyperlink r:id="rId66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לסעיף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הקובע אחריות מופחתת להמתה בנסיבות שלהלן</w:t>
      </w:r>
      <w:r>
        <w:rPr>
          <w:rFonts w:cs="Century" w:ascii="Century" w:hAnsi="Century"/>
          <w:sz w:val="28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eastAsia="Century" w:cs="Century" w:ascii="Century" w:hAnsi="Century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המעשה נעשה במצב שבו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בשל הפרעה נפשית חמורה או בשל ליקוי בכושרו השכלי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הוגבלה יכולתו של הנאשם במידה ניכרת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אך לא עד כדי חוסר יכולת של ממש כאמור בסעיף </w:t>
      </w:r>
      <w:r>
        <w:rPr>
          <w:rStyle w:val="default"/>
          <w:rFonts w:cs="Century" w:ascii="Century" w:hAnsi="Century"/>
          <w:sz w:val="28"/>
        </w:rPr>
        <w:t>34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ח –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sz w:val="28"/>
          <w:rtl w:val="true"/>
        </w:rPr>
        <w:t>(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א</w:t>
      </w:r>
      <w:r>
        <w:rPr>
          <w:rStyle w:val="default"/>
          <w:rFonts w:cs="Century" w:ascii="Century" w:hAnsi="Century"/>
          <w:sz w:val="28"/>
          <w:rtl w:val="true"/>
        </w:rPr>
        <w:t xml:space="preserve">)  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להבין את אשר הוא עושה או את הפסול שבמעשהו</w:t>
      </w:r>
      <w:r>
        <w:rPr>
          <w:rStyle w:val="default"/>
          <w:rFonts w:cs="Century" w:ascii="Century" w:hAnsi="Century"/>
          <w:sz w:val="28"/>
          <w:rtl w:val="true"/>
        </w:rPr>
        <w:t xml:space="preserve">;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או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sz w:val="28"/>
          <w:rtl w:val="true"/>
        </w:rPr>
        <w:t>(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</w:t>
      </w:r>
      <w:r>
        <w:rPr>
          <w:rStyle w:val="default"/>
          <w:rFonts w:cs="Century" w:ascii="Century" w:hAnsi="Century"/>
          <w:sz w:val="28"/>
          <w:rtl w:val="true"/>
        </w:rPr>
        <w:t xml:space="preserve">)  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להימנע מעשיית המעשה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להיבנות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ורטמן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ומנסחה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מתיאוריו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tl w:val="true"/>
        </w:rPr>
        <w:t>: "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משובח</w:t>
      </w:r>
      <w:r>
        <w:rPr>
          <w:rtl w:val="true"/>
        </w:rPr>
        <w:t xml:space="preserve">, </w:t>
      </w:r>
      <w:r>
        <w:rPr>
          <w:rtl w:val="true"/>
        </w:rPr>
        <w:t>שבזמן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10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לבסוף אתייחס לטענת המערער כי החיים לצד המנוחה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בשל הפרקים בהם סבלה ממחלת נפש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מגבשים את נסיבות </w:t>
      </w:r>
      <w:hyperlink r:id="rId67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68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הסעיף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כמוזכר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נוגע למעשה שנעשה כאשר הנאשם היה</w:t>
      </w:r>
      <w:r>
        <w:rPr>
          <w:rFonts w:cs="Century" w:ascii="Century" w:hAnsi="Century"/>
          <w:sz w:val="28"/>
          <w:rtl w:val="true"/>
        </w:rPr>
        <w:t>: "</w:t>
      </w:r>
      <w:r>
        <w:rPr>
          <w:rFonts w:ascii="Century" w:hAnsi="Century" w:cs="Century"/>
          <w:sz w:val="28"/>
          <w:sz w:val="28"/>
          <w:rtl w:val="true"/>
        </w:rPr>
        <w:t>נתון במצב של מצוקה נפשית קשה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עקב התעללות חמורה ומתמשכת בו או בבן משפחתו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בידי מי שהנאשם גרם למותו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למרות שההגנה ציינה כי המנוחה נעדרה כוונת זדון להרע למערער ולגרום לו לסבל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עצם ההשוואה בין החיים לצד אדם חולה ובין ההתעללות אשר בגינה המחוקק הכיר באשם מופחת במקרה של לקיחת חיי אדם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עלולה להיות מקוממת ואף לעלות כדי פגיעה בכבוד האדם של המנוחה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טענת ההגנה בעניין זה סוטות בבירור מכוונת המחוקק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שביקש להקל בדין עם נאשמים אשר</w:t>
      </w:r>
      <w:r>
        <w:rPr>
          <w:rFonts w:cs="Century" w:ascii="Century" w:hAnsi="Century"/>
          <w:sz w:val="28"/>
          <w:rtl w:val="true"/>
        </w:rPr>
        <w:t>: "</w:t>
      </w:r>
      <w:r>
        <w:rPr>
          <w:rFonts w:ascii="Century" w:hAnsi="Century" w:cs="Century"/>
          <w:sz w:val="28"/>
          <w:sz w:val="28"/>
          <w:rtl w:val="true"/>
        </w:rPr>
        <w:t>המיתו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אדם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לאחר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שנקלעו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שלא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באשמתם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למצוקה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קשה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ביותר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ובמעשיהם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התקיימו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נסיבות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מיוחדות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שבשלהן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המעשים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אינם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עומדים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מבחינה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מוסרית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בדרגה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אחת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עם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מעשי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רצח</w:t>
      </w:r>
      <w:r>
        <w:rPr>
          <w:rFonts w:cs="Century" w:ascii="Century" w:hAnsi="Century"/>
          <w:sz w:val="28"/>
          <w:rtl w:val="true"/>
        </w:rPr>
        <w:t>" (</w:t>
      </w:r>
      <w:r>
        <w:rPr>
          <w:rFonts w:ascii="Century" w:hAnsi="Century" w:cs="Century"/>
          <w:sz w:val="28"/>
          <w:sz w:val="28"/>
          <w:rtl w:val="true"/>
        </w:rPr>
        <w:t>דברי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ההסבר לתיקון מס</w:t>
      </w:r>
      <w:r>
        <w:rPr>
          <w:rFonts w:cs="Century" w:ascii="Century" w:hAnsi="Century"/>
          <w:sz w:val="28"/>
          <w:rtl w:val="true"/>
        </w:rPr>
        <w:t xml:space="preserve">' </w:t>
      </w:r>
      <w:r>
        <w:rPr>
          <w:rFonts w:cs="Century" w:ascii="Century" w:hAnsi="Century"/>
          <w:sz w:val="28"/>
        </w:rPr>
        <w:t>124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בעמ</w:t>
      </w:r>
      <w:r>
        <w:rPr>
          <w:rFonts w:cs="Century" w:ascii="Century" w:hAnsi="Century"/>
          <w:sz w:val="28"/>
          <w:rtl w:val="true"/>
        </w:rPr>
        <w:t xml:space="preserve">' </w:t>
      </w:r>
      <w:r>
        <w:rPr>
          <w:rFonts w:cs="Century" w:ascii="Century" w:hAnsi="Century"/>
          <w:sz w:val="28"/>
        </w:rPr>
        <w:t>175</w:t>
      </w:r>
      <w:r>
        <w:rPr>
          <w:rFonts w:cs="Century" w:ascii="Century" w:hAnsi="Century"/>
          <w:sz w:val="28"/>
          <w:rtl w:val="true"/>
        </w:rPr>
        <w:t xml:space="preserve">). </w:t>
      </w:r>
      <w:r>
        <w:rPr>
          <w:rFonts w:ascii="Century" w:hAnsi="Century" w:cs="Century"/>
          <w:sz w:val="28"/>
          <w:sz w:val="28"/>
          <w:rtl w:val="true"/>
        </w:rPr>
        <w:t xml:space="preserve">בהקשר זה צוינה בהצעת החוק 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בוחבוט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אשר במסגרתה הורשעה הנאשמת בהריגת בעלה לאחר שנים של התעללות נפשית ופיזית מצדו </w:t>
      </w:r>
      <w:r>
        <w:rPr>
          <w:rFonts w:cs="Century" w:ascii="Century" w:hAnsi="Century"/>
          <w:sz w:val="28"/>
          <w:rtl w:val="true"/>
        </w:rPr>
        <w:t>(</w:t>
      </w:r>
      <w:hyperlink r:id="rId69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</w:rPr>
          <w:t>6353/94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בוחבוט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פ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ד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מט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cs="Century" w:ascii="Century" w:hAnsi="Century"/>
          <w:sz w:val="28"/>
        </w:rPr>
        <w:t>3</w:t>
      </w:r>
      <w:r>
        <w:rPr>
          <w:rFonts w:cs="Century" w:ascii="Century" w:hAnsi="Century"/>
          <w:sz w:val="28"/>
          <w:rtl w:val="true"/>
        </w:rPr>
        <w:t xml:space="preserve">) </w:t>
      </w:r>
      <w:r>
        <w:rPr>
          <w:rFonts w:cs="Century" w:ascii="Century" w:hAnsi="Century"/>
          <w:sz w:val="28"/>
        </w:rPr>
        <w:t>647</w:t>
      </w:r>
      <w:r>
        <w:rPr>
          <w:rFonts w:cs="Century" w:ascii="Century" w:hAnsi="Century"/>
          <w:sz w:val="28"/>
          <w:rtl w:val="true"/>
        </w:rPr>
        <w:t xml:space="preserve"> (</w:t>
      </w:r>
      <w:r>
        <w:rPr>
          <w:rFonts w:cs="Century" w:ascii="Century" w:hAnsi="Century"/>
          <w:sz w:val="28"/>
        </w:rPr>
        <w:t>1995</w:t>
      </w:r>
      <w:r>
        <w:rPr>
          <w:rFonts w:cs="Century" w:ascii="Century" w:hAnsi="Century"/>
          <w:sz w:val="28"/>
          <w:rtl w:val="true"/>
        </w:rPr>
        <w:t xml:space="preserve">)); </w:t>
      </w:r>
      <w:r>
        <w:rPr>
          <w:rFonts w:ascii="Century" w:hAnsi="Century" w:cs="Century"/>
          <w:sz w:val="28"/>
          <w:sz w:val="28"/>
          <w:rtl w:val="true"/>
        </w:rPr>
        <w:t xml:space="preserve">ופרשת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הנגעה למקרה בו הנאשם המית את אביו לאחר מסכת ארוכה של גילויי אלימות מצדו כלפי בני המשפחה ואם המשפחה בפרט </w:t>
      </w:r>
      <w:r>
        <w:rPr>
          <w:rFonts w:cs="Century" w:ascii="Century" w:hAnsi="Century"/>
          <w:sz w:val="28"/>
          <w:rtl w:val="true"/>
        </w:rPr>
        <w:t>(</w:t>
      </w:r>
      <w:hyperlink r:id="rId70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</w:rPr>
          <w:t>416/93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sz w:val="28"/>
          <w:sz w:val="28"/>
          <w:rtl w:val="true"/>
        </w:rPr>
        <w:t>פ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מ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תשנד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cs="Century" w:ascii="Century" w:hAnsi="Century"/>
          <w:sz w:val="28"/>
        </w:rPr>
        <w:t>3</w:t>
      </w:r>
      <w:r>
        <w:rPr>
          <w:rFonts w:cs="Century" w:ascii="Century" w:hAnsi="Century"/>
          <w:sz w:val="28"/>
          <w:rtl w:val="true"/>
        </w:rPr>
        <w:t xml:space="preserve">) </w:t>
      </w:r>
      <w:r>
        <w:rPr>
          <w:rFonts w:cs="Century" w:ascii="Century" w:hAnsi="Century"/>
          <w:sz w:val="28"/>
        </w:rPr>
        <w:t>281</w:t>
      </w:r>
      <w:r>
        <w:rPr>
          <w:rFonts w:cs="Century" w:ascii="Century" w:hAnsi="Century"/>
          <w:sz w:val="28"/>
          <w:rtl w:val="true"/>
        </w:rPr>
        <w:t xml:space="preserve"> (</w:t>
      </w:r>
      <w:r>
        <w:rPr>
          <w:rFonts w:cs="Century" w:ascii="Century" w:hAnsi="Century"/>
          <w:sz w:val="28"/>
        </w:rPr>
        <w:t>1994</w:t>
      </w:r>
      <w:r>
        <w:rPr>
          <w:rFonts w:cs="Century" w:ascii="Century" w:hAnsi="Century"/>
          <w:sz w:val="28"/>
          <w:rtl w:val="true"/>
        </w:rPr>
        <w:t xml:space="preserve">); </w:t>
      </w:r>
      <w:r>
        <w:rPr>
          <w:rFonts w:ascii="Century" w:hAnsi="Century" w:cs="Century"/>
          <w:sz w:val="28"/>
          <w:sz w:val="28"/>
          <w:rtl w:val="true"/>
        </w:rPr>
        <w:t xml:space="preserve">ראו בהקשר זה גם </w:t>
      </w:r>
      <w:hyperlink r:id="rId71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</w:rPr>
          <w:t>4419/95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פ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ד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cs="Century" w:ascii="Century" w:hAnsi="Century"/>
          <w:sz w:val="28"/>
        </w:rPr>
        <w:t>2</w:t>
      </w:r>
      <w:r>
        <w:rPr>
          <w:rFonts w:cs="Century" w:ascii="Century" w:hAnsi="Century"/>
          <w:sz w:val="28"/>
          <w:rtl w:val="true"/>
        </w:rPr>
        <w:t xml:space="preserve">) </w:t>
      </w:r>
      <w:r>
        <w:rPr>
          <w:rFonts w:cs="Century" w:ascii="Century" w:hAnsi="Century"/>
          <w:sz w:val="28"/>
        </w:rPr>
        <w:t>752</w:t>
      </w:r>
      <w:r>
        <w:rPr>
          <w:rFonts w:cs="Century" w:ascii="Century" w:hAnsi="Century"/>
          <w:sz w:val="28"/>
          <w:rtl w:val="true"/>
        </w:rPr>
        <w:t xml:space="preserve"> (</w:t>
      </w:r>
      <w:r>
        <w:rPr>
          <w:rFonts w:cs="Century" w:ascii="Century" w:hAnsi="Century"/>
          <w:sz w:val="28"/>
        </w:rPr>
        <w:t>1996</w:t>
      </w:r>
      <w:r>
        <w:rPr>
          <w:rFonts w:cs="Century" w:ascii="Century" w:hAnsi="Century"/>
          <w:sz w:val="28"/>
          <w:rtl w:val="true"/>
        </w:rPr>
        <w:t>)</w:t>
      </w:r>
      <w:r>
        <w:rPr>
          <w:rFonts w:cs="Century" w:ascii="Century" w:hAnsi="Century"/>
          <w:sz w:val="28"/>
          <w:rtl w:val="true"/>
        </w:rPr>
        <w:t>)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השוני בין המקרים שהוזכרו ובין ענייננו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מבחינה ערכית ומשפטית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ברור ואינו דורש הרחבה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ברי כי התנהגות המנוחים במקרים הללו נכנסת בגדרה של הגדרת המונח התעללות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כפירושו בחוק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בעוד שהתנהלותה של המנוחה לאורך השנים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לא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יהא זה די אם אומר כי בין המקרה דנן לפרשות שהמחוקק שיווה לנגד עיניו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הנוגעות להמתה של מי שהתעללו במשך שנים ובאופן אלים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מכוון וקשה ביותר בבני משפחותיהם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אין כל דמיון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מנימוקים אלה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מצאתי שעבירת ההמתה באחריות מופחתת המעוגנת </w:t>
      </w:r>
      <w:hyperlink r:id="rId72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לחוק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על כל חריגיה שנידונו לעיל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איננה מתאימה לנסיבות המקרה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11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 xml:space="preserve">המערער הורשע ברצח בכוונה תחילה לפי </w:t>
      </w:r>
      <w:hyperlink r:id="rId73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2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74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עובר לרפורמה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למרות שבית המשפט המחוזי העלה ספק מסוים בדבר היכולת להוכיח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הפטיש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השתמש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sz w:val="28"/>
          <w:rtl w:val="true"/>
        </w:rPr>
        <w:t>).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ברם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דרישת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ההכנה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מהתנאים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75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שסעיף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2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התקיימותם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מחייבת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להוכיח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יסוד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טהור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הנבדל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ההנחה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ההכנה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ההצטיידות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נלמדת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ושקילה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יעקב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76">
        <w:r>
          <w:rPr>
            <w:rStyle w:val="Hyperlink"/>
            <w:sz w:val="28"/>
            <w:sz w:val="28"/>
            <w:rtl w:val="true"/>
          </w:rPr>
          <w:t>קדמי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hyperlink r:id="rId7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כרך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1174-1163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התשס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הפסיקה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פלוני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אלמוני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בחנק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עוצמת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הלחץ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שהפעיל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צווארו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דרישת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ההכנה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ושקולה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להתחמשות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לדוגמה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7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655/78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שמידמן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ד לד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73-72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1979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rFonts w:ascii="Century" w:hAnsi="Century" w:cs="Century"/>
          <w:sz w:val="28"/>
          <w:sz w:val="28"/>
          <w:rtl w:val="true"/>
        </w:rPr>
        <w:t>מכאן שעל פי הדין הישן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ניתן להתגבר על אי הבהירות העובדתית לגבי הכנת הפטיש קודם להמתת המנוחה לצורך הרשעה ברצח בכוונה תחילה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כפי שאכן עשה בית המשפט המחוזי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הקושי הפרשני בהקשר זה מתעורר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אם כן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בבואנו לפרש את הוראת החוק החדש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הבחינה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79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8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בהתייחס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לאפשרות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1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82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הקובע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sz w:val="28"/>
          <w:rtl w:val="true"/>
        </w:rPr>
        <w:t xml:space="preserve">: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המעשה נעשה לאחר תכנון או הליך ממשי של שקילה וגיבוש החלטה להמית</w:t>
      </w:r>
      <w:r>
        <w:rPr>
          <w:rFonts w:cs="Century" w:ascii="Century" w:hAnsi="Century"/>
          <w:sz w:val="28"/>
          <w:rtl w:val="true"/>
        </w:rPr>
        <w:t>"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הקטילה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... 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64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ascii="Century" w:hAnsi="Century" w:cs="Century"/>
          <w:sz w:val="28"/>
          <w:sz w:val="28"/>
          <w:rtl w:val="true"/>
        </w:rPr>
        <w:t>מטעם זה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מצא בית המשפט המחוזי כי נסיבות המקרה מתאימות גם להרשעה בעבירת רצח בנסיבות מחמירות לפי </w:t>
      </w:r>
      <w:hyperlink r:id="rId83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 המעודכן</w:t>
      </w:r>
      <w:r>
        <w:rPr>
          <w:rFonts w:cs="Century" w:ascii="Century" w:hAnsi="Century"/>
          <w:sz w:val="28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לעמדת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המדינה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עוצמת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כוונתו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המערער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המתבטאת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בנסיבות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ההמתה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כמו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גם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</w:t>
      </w:r>
      <w:r>
        <w:rPr>
          <w:rFonts w:ascii="Century" w:hAnsi="Century" w:cs="Century"/>
          <w:sz w:val="28"/>
          <w:sz w:val="28"/>
          <w:rtl w:val="true"/>
        </w:rPr>
        <w:t>נחישות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ביצועה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אינ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מבססת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בהכרח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הליך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ממשי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שקילה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זאת משום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</w:t>
      </w:r>
      <w:r>
        <w:rPr>
          <w:rFonts w:ascii="Century" w:hAnsi="Century" w:cs="Century"/>
          <w:sz w:val="28"/>
          <w:sz w:val="28"/>
          <w:rtl w:val="true"/>
        </w:rPr>
        <w:t>לא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די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בנח</w:t>
      </w:r>
      <w:r>
        <w:rPr>
          <w:rFonts w:ascii="Century" w:hAnsi="Century" w:cs="Century"/>
          <w:sz w:val="28"/>
          <w:sz w:val="28"/>
          <w:rtl w:val="true"/>
        </w:rPr>
        <w:t>י</w:t>
      </w:r>
      <w:r>
        <w:rPr>
          <w:rFonts w:ascii="Century" w:hAnsi="Century" w:cs="Century"/>
          <w:sz w:val="28"/>
          <w:sz w:val="28"/>
          <w:rtl w:val="true"/>
        </w:rPr>
        <w:t>ש</w:t>
      </w:r>
      <w:r>
        <w:rPr>
          <w:rFonts w:ascii="Century" w:hAnsi="Century" w:cs="Century"/>
          <w:sz w:val="28"/>
          <w:sz w:val="28"/>
          <w:rtl w:val="true"/>
        </w:rPr>
        <w:t>ו</w:t>
      </w:r>
      <w:r>
        <w:rPr>
          <w:rFonts w:ascii="Century" w:hAnsi="Century" w:cs="Century"/>
          <w:sz w:val="28"/>
          <w:sz w:val="28"/>
          <w:rtl w:val="true"/>
        </w:rPr>
        <w:t>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כדי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ללמדנו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על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גיבוש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החלטה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להמית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מכאן</w:t>
      </w:r>
      <w:r>
        <w:rPr>
          <w:rFonts w:ascii="Century" w:hAnsi="Century" w:cs="Century"/>
          <w:sz w:val="28"/>
          <w:sz w:val="28"/>
          <w:rtl w:val="true"/>
        </w:rPr>
        <w:t xml:space="preserve"> שמתעורר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ספק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לשיטתה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בכך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</w:t>
      </w:r>
      <w:r>
        <w:rPr>
          <w:rFonts w:ascii="Century" w:hAnsi="Century" w:cs="Century"/>
          <w:sz w:val="28"/>
          <w:sz w:val="28"/>
          <w:rtl w:val="true"/>
        </w:rPr>
        <w:t>סעיף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ההרשעה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שקבע בית המשפט המחוזי מתאים למעשה ההמתה דכאן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העמדה שהביע בית המשפט המחוזי אכן מעוררת קושי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נכון הוא כי </w:t>
      </w:r>
      <w:hyperlink r:id="rId84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מציג שתי חלופות</w:t>
      </w:r>
      <w:r>
        <w:rPr>
          <w:rFonts w:cs="Century" w:ascii="Century" w:hAnsi="Century"/>
          <w:sz w:val="28"/>
          <w:rtl w:val="true"/>
        </w:rPr>
        <w:t>; "</w:t>
      </w:r>
      <w:r>
        <w:rPr>
          <w:rFonts w:ascii="Century" w:hAnsi="Century" w:cs="Century"/>
          <w:sz w:val="28"/>
          <w:sz w:val="28"/>
          <w:rtl w:val="true"/>
        </w:rPr>
        <w:t>לאחר תכנון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8"/>
          <w:sz w:val="28"/>
          <w:rtl w:val="true"/>
        </w:rPr>
        <w:t>או</w:t>
      </w:r>
      <w:r>
        <w:rPr>
          <w:rFonts w:ascii="Century" w:hAnsi="Century" w:cs="Century"/>
          <w:sz w:val="28"/>
          <w:sz w:val="28"/>
          <w:rtl w:val="true"/>
        </w:rPr>
        <w:t xml:space="preserve"> לאחר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הליך ממשי של שקילה וגיבוש החלטה להמית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ברם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בבואנו לבחון את החלופה השנייה בסיפא הסעיף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נראה שזו כתובה כיחידה אחת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וכי לא מוזכרת בין המילה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שקילה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 xml:space="preserve">למילה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גיבוש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 xml:space="preserve">התוספת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או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מזאת יש להסיק כי מדובר בתנאים מצטברים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אשר לא מאפשרים לעקוף את החובה להוכיח קיומו של הליך ממשי של שקילה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לצד גיבוש ההחלטה להמית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מעבר לכך לא מתעורר צורך להידרש לאמור בהכרעה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הואיל ונראה שקיימת נסיבה מחמירה אחרת לעבירת הרצח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בדמות </w:t>
      </w:r>
      <w:hyperlink r:id="rId85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7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86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>,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נוגע</w:t>
      </w:r>
      <w:r>
        <w:rPr>
          <w:rFonts w:ascii="Century" w:hAnsi="Century" w:cs="Century"/>
          <w:sz w:val="28"/>
          <w:sz w:val="28"/>
          <w:rtl w:val="true"/>
        </w:rPr>
        <w:t>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להמתה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שנעשתה</w:t>
      </w:r>
      <w:r>
        <w:rPr>
          <w:rFonts w:cs="Century" w:ascii="Century" w:hAnsi="Century"/>
          <w:sz w:val="28"/>
          <w:rtl w:val="true"/>
        </w:rPr>
        <w:t>: "</w:t>
      </w:r>
      <w:r>
        <w:rPr>
          <w:rFonts w:ascii="Century" w:hAnsi="Century" w:cs="Century"/>
          <w:sz w:val="28"/>
          <w:sz w:val="28"/>
          <w:rtl w:val="true"/>
        </w:rPr>
        <w:t>באכזריות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מיוחדת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תוך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תעללות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גופנית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נפשית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בקורבן</w:t>
      </w:r>
      <w:r>
        <w:rPr>
          <w:rFonts w:cs="Century" w:ascii="Century" w:hAnsi="Century"/>
          <w:sz w:val="28"/>
          <w:rtl w:val="true"/>
        </w:rPr>
        <w:t xml:space="preserve">", </w:t>
      </w:r>
      <w:r>
        <w:rPr>
          <w:rFonts w:ascii="Century" w:hAnsi="Century" w:cs="Century"/>
          <w:sz w:val="28"/>
          <w:sz w:val="28"/>
          <w:rtl w:val="true"/>
        </w:rPr>
        <w:t>שעשויה להימצא כחלופת ההרשעה המתאימה במקרה דנן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האכזריות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נבדלות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בחירותיהם</w:t>
      </w:r>
      <w:r>
        <w:rPr>
          <w:rtl w:val="true"/>
        </w:rPr>
        <w:t xml:space="preserve">, </w:t>
      </w:r>
      <w:r>
        <w:rPr>
          <w:rtl w:val="true"/>
        </w:rPr>
        <w:t>התנהגותם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גדולתו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בחותם</w:t>
      </w:r>
      <w:r>
        <w:rPr>
          <w:rFonts w:eastAsia="Arial TUR" w:cs="Arial TUR"/>
          <w:rtl w:val="true"/>
        </w:rPr>
        <w:t xml:space="preserve"> </w:t>
      </w:r>
      <w:r>
        <w:fldChar w:fldCharType="begin"/>
      </w:r>
      <w:r>
        <w:rPr>
          <w:rStyle w:val="Hyperlink"/>
        </w:rPr>
        <w:instrText xml:space="preserve"> HYPERLINK "https://he.wikisource.org/wiki/%D7%9E%D7%A9%D7%A0%D7%94_%D7%A1%D7%A0%D7%94%D7%93%D7%A8%D7%99%D7%9F_%D7%93_%D7%94" \l "%D7%A2%D7%99%D7%A7%D7%A8_%D7%AA%D7%95%D7%99%D7%98_%D7%9C%D7%94"</w:instrText>
      </w:r>
      <w:r>
        <w:rPr>
          <w:rStyle w:val="Hyperlink"/>
        </w:rPr>
        <w:fldChar w:fldCharType="separate"/>
      </w:r>
      <w:r>
        <w:rPr>
          <w:rStyle w:val="Hyperlink"/>
          <w:rtl w:val="true"/>
        </w:rPr>
        <w:t>לה</w:t>
      </w:r>
      <w:r>
        <w:rPr>
          <w:rStyle w:val="Hyperlink"/>
        </w:rPr>
        <w:fldChar w:fldCharType="end"/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ומלך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fldChar w:fldCharType="begin"/>
      </w:r>
      <w:r>
        <w:rPr>
          <w:rStyle w:val="Hyperlink"/>
        </w:rPr>
        <w:instrText xml:space="preserve"> HYPERLINK "https://he.wikisource.org/wiki/%D7%9E%D7%A9%D7%A0%D7%94_%D7%A1%D7%A0%D7%94%D7%93%D7%A8%D7%99%D7%9F_%D7%93_%D7%94" \l "%D7%A2%D7%99%D7%A7%D7%A8_%D7%AA%D7%95%D7%99%D7%98_%D7%9C%D7%95"</w:instrText>
      </w:r>
      <w:r>
        <w:rPr>
          <w:rStyle w:val="Hyperlink"/>
        </w:rPr>
        <w:fldChar w:fldCharType="separate"/>
      </w:r>
      <w:r>
        <w:rPr>
          <w:rStyle w:val="Hyperlink"/>
          <w:rtl w:val="true"/>
        </w:rPr>
        <w:t>לו</w:t>
      </w:r>
      <w:r>
        <w:rPr>
          <w:rStyle w:val="Hyperlink"/>
        </w:rPr>
        <w:fldChar w:fldCharType="end"/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לחבירו</w:t>
      </w:r>
      <w:r>
        <w:rPr>
          <w:rtl w:val="true"/>
        </w:rPr>
        <w:t>" 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סנהדרין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עבירותיו</w:t>
      </w:r>
      <w:r>
        <w:rPr>
          <w:rtl w:val="true"/>
        </w:rPr>
        <w:t xml:space="preserve">. 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עלי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הפרקליט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והקרדינלי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>" (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נבוכים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בשיטת המשפט הפלילי בישראל ההתייחסות לעבירת הרצח עברה מספר תמורות עם השתנות הזמנים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לאורך עשרות שנים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הגישה השלטת הייתה כי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רצח הוא רצח הוא רצח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בהתאם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עונש אחד חל על הרוצח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מאסר העולם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אף על קטין שביצע רצח ניתן להשית עונש מאסר עולם </w:t>
      </w:r>
      <w:r>
        <w:rPr>
          <w:rFonts w:cs="Century" w:ascii="Century" w:hAnsi="Century"/>
          <w:sz w:val="28"/>
          <w:rtl w:val="true"/>
        </w:rPr>
        <w:t>(</w:t>
      </w:r>
      <w:hyperlink r:id="rId89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25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90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הנוער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שפיטה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ודרכי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טיפול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תשל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א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1971</w:t>
      </w:r>
      <w:r>
        <w:rPr>
          <w:rFonts w:cs="Century" w:ascii="Century" w:hAnsi="Century"/>
          <w:sz w:val="28"/>
          <w:rtl w:val="true"/>
        </w:rPr>
        <w:t xml:space="preserve">; </w:t>
      </w:r>
      <w:r>
        <w:rPr>
          <w:rFonts w:ascii="Century" w:hAnsi="Century" w:cs="Century"/>
          <w:sz w:val="28"/>
          <w:sz w:val="28"/>
          <w:rtl w:val="true"/>
        </w:rPr>
        <w:t>ראו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גם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hyperlink r:id="rId91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</w:rPr>
          <w:t>530/90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פ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 xml:space="preserve">ד </w:t>
      </w:r>
      <w:r>
        <w:rPr>
          <w:rFonts w:ascii="Century" w:hAnsi="Century" w:cs="Century"/>
          <w:sz w:val="28"/>
          <w:sz w:val="28"/>
          <w:rtl w:val="true"/>
        </w:rPr>
        <w:t>מו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cs="Century" w:ascii="Century" w:hAnsi="Century"/>
          <w:sz w:val="28"/>
        </w:rPr>
        <w:t>3</w:t>
      </w:r>
      <w:r>
        <w:rPr>
          <w:rFonts w:cs="Century" w:ascii="Century" w:hAnsi="Century"/>
          <w:sz w:val="28"/>
          <w:rtl w:val="true"/>
        </w:rPr>
        <w:t xml:space="preserve">) </w:t>
      </w:r>
      <w:r>
        <w:rPr>
          <w:rFonts w:cs="Century" w:ascii="Century" w:hAnsi="Century"/>
          <w:sz w:val="28"/>
        </w:rPr>
        <w:t>648</w:t>
      </w:r>
      <w:r>
        <w:rPr>
          <w:rFonts w:cs="Century" w:ascii="Century" w:hAnsi="Century"/>
          <w:sz w:val="28"/>
          <w:rtl w:val="true"/>
        </w:rPr>
        <w:t xml:space="preserve"> (</w:t>
      </w:r>
      <w:r>
        <w:rPr>
          <w:rFonts w:cs="Century" w:ascii="Century" w:hAnsi="Century"/>
          <w:sz w:val="28"/>
        </w:rPr>
        <w:t>1992</w:t>
      </w:r>
      <w:r>
        <w:rPr>
          <w:rFonts w:cs="Century" w:ascii="Century" w:hAnsi="Century"/>
          <w:sz w:val="28"/>
          <w:rtl w:val="true"/>
        </w:rPr>
        <w:t>)</w:t>
      </w:r>
      <w:r>
        <w:rPr>
          <w:rFonts w:cs="Century" w:ascii="Century" w:hAnsi="Century"/>
          <w:sz w:val="28"/>
          <w:rtl w:val="true"/>
        </w:rPr>
        <w:t xml:space="preserve">). </w:t>
      </w:r>
      <w:r>
        <w:rPr>
          <w:rFonts w:ascii="Century" w:hAnsi="Century" w:cs="Century"/>
          <w:sz w:val="28"/>
          <w:sz w:val="28"/>
          <w:rtl w:val="true"/>
        </w:rPr>
        <w:t>בכך שנקבע עונש זהה עבור כלל מבצעי עבירת הרצח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ללא הידרשות להפעלת שיקול דעת שיפוטי ואך בהסתמך על עצם הפגיעה הנוראית בחיי אדם שהעבירה כוללת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ניתן ביטוי לעיקרון השוויון בין קורבנות העבירה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במשך שנים רבות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ההליך המשפטי שקדם למתן הכרעת דין היה מושקע וארוך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ואילו לא פעם ההליך לפני מתן גזר הדין היה קצר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דיון מסוג זה כלל את טענת התובע לפיה לאחר הרשעת נאשם ברצח השתת עונש מאסר העולם בגדר חובה היא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כאשר באמתחת הסניגור לא נמצא כל טיעון נגדי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 xml:space="preserve">בשנת </w:t>
      </w:r>
      <w:r>
        <w:rPr>
          <w:rFonts w:cs="Century" w:ascii="Century" w:hAnsi="Century"/>
          <w:sz w:val="28"/>
        </w:rPr>
        <w:t>1995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חל שינוי מסוים בתפישת עבירת הרצח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שהתבטא בכך שהוסף לספר החוקים </w:t>
      </w:r>
      <w:hyperlink r:id="rId92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ל</w:t>
      </w:r>
      <w:hyperlink r:id="rId93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הסעיף מנה מספר נסיבות אשר בהתקיים אחת מהן ניתן להשית מאסר עולם או עונש מופחת על מבצע העבירה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 xml:space="preserve">ראו </w:t>
      </w:r>
      <w:hyperlink r:id="rId9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9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תיקון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44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התשנ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</w:t>
      </w:r>
      <w:r>
        <w:rPr>
          <w:sz w:val="28"/>
        </w:rPr>
        <w:t>1995</w:t>
      </w:r>
      <w:r>
        <w:rPr>
          <w:sz w:val="28"/>
          <w:rtl w:val="true"/>
        </w:rPr>
        <w:t xml:space="preserve"> ,</w:t>
      </w:r>
      <w:r>
        <w:rPr>
          <w:sz w:val="28"/>
          <w:sz w:val="28"/>
          <w:rtl w:val="true"/>
        </w:rPr>
        <w:t>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391</w:t>
      </w:r>
      <w:r>
        <w:rPr>
          <w:sz w:val="28"/>
          <w:rtl w:val="true"/>
        </w:rPr>
        <w:t>)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תמורה משמעותית נוספת בגישת המשפט הפלילי לענישה בעבירות הרצח חלה עם כניסתה לתוקף של רפורמת עבירות ההמתה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הרקע לעריכת הרפורמה האמורה נעוץ בביקורת שהושמעה על כך שהשיטה הישראלית לא נותנת ביטוי מספק להבדלים בין עבירות ההמתה השונות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בהתאם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בעוד שעובר לרפורמה החוק מנה שלוש סוגי עבירות המתה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רצח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הריגה וגרימת מוות ברשלנות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החוק העדכני מכיל כיום </w:t>
      </w:r>
      <w:r>
        <w:rPr>
          <w:rFonts w:cs="Century" w:ascii="Century" w:hAnsi="Century"/>
          <w:sz w:val="28"/>
        </w:rPr>
        <w:t>5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סוגי עבירות המתה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ובהן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rFonts w:ascii="Century" w:hAnsi="Century" w:cs="Century"/>
          <w:sz w:val="28"/>
          <w:sz w:val="28"/>
          <w:rtl w:val="true"/>
        </w:rPr>
        <w:t>עבירת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רצח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בסיסית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עבירת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רצח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בנסיבות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מחמירות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המתה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בנסיבות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אחריות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מופחתת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המתה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בקלות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דעת</w:t>
      </w:r>
      <w:r>
        <w:rPr>
          <w:rFonts w:ascii="Century" w:hAnsi="Century" w:cs="Century"/>
          <w:sz w:val="28"/>
          <w:sz w:val="28"/>
          <w:rtl w:val="true"/>
        </w:rPr>
        <w:t xml:space="preserve"> ו</w:t>
      </w:r>
      <w:r>
        <w:rPr>
          <w:rFonts w:ascii="Century" w:hAnsi="Century" w:cs="Century"/>
          <w:sz w:val="28"/>
          <w:sz w:val="28"/>
          <w:rtl w:val="true"/>
        </w:rPr>
        <w:t>גרימת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מוות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ברשלנות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לענייננו חשובה העובדה כי המחוקק ביקש להבחין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בין היתר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בין עבירת הרצח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הבסיסית</w:t>
      </w:r>
      <w:r>
        <w:rPr>
          <w:rFonts w:cs="Century" w:ascii="Century" w:hAnsi="Century"/>
          <w:sz w:val="28"/>
          <w:rtl w:val="true"/>
        </w:rPr>
        <w:t xml:space="preserve">", </w:t>
      </w:r>
      <w:r>
        <w:rPr>
          <w:rFonts w:ascii="Century" w:hAnsi="Century" w:cs="Century"/>
          <w:sz w:val="28"/>
          <w:sz w:val="28"/>
          <w:rtl w:val="true"/>
        </w:rPr>
        <w:t xml:space="preserve">המעוגנת </w:t>
      </w:r>
      <w:hyperlink r:id="rId96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300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97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ובין עבירת הרצח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בנסיבות מחמירות</w:t>
      </w:r>
      <w:r>
        <w:rPr>
          <w:rFonts w:cs="Century" w:ascii="Century" w:hAnsi="Century"/>
          <w:sz w:val="28"/>
          <w:rtl w:val="true"/>
        </w:rPr>
        <w:t xml:space="preserve">", </w:t>
      </w:r>
      <w:r>
        <w:rPr>
          <w:rFonts w:ascii="Century" w:hAnsi="Century" w:cs="Century"/>
          <w:sz w:val="28"/>
          <w:sz w:val="28"/>
          <w:rtl w:val="true"/>
        </w:rPr>
        <w:t xml:space="preserve">המנויה תחת </w:t>
      </w:r>
      <w:hyperlink r:id="rId98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זו האחרונה כוללת </w:t>
      </w:r>
      <w:r>
        <w:rPr>
          <w:rFonts w:cs="Century" w:ascii="Century" w:hAnsi="Century"/>
          <w:sz w:val="28"/>
        </w:rPr>
        <w:t>11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נסיבות חלופיות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אשר כל אחת מהן מהווה עילה עצמאית ומובחנת להרשעה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בשנים הקרובות יהיה על בית המשפט ליצוק תוכן לנסיבות האמורות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ומטבע הדברים יקבעו כללים מנחים לאופן החלתן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להשקפתי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אין למהר בקביעתם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לצד 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אל לנו להתעלם מן המלאכה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המעוגנת</w:t>
      </w:r>
      <w:r>
        <w:rPr>
          <w:rFonts w:eastAsia="Arial TUR" w:cs="Arial TUR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נוגע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שנעשתה</w:t>
      </w:r>
      <w:r>
        <w:rPr>
          <w:rtl w:val="true"/>
        </w:rPr>
        <w:t>: "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. </w:t>
      </w:r>
      <w:r>
        <w:rPr>
          <w:rtl w:val="true"/>
        </w:rPr>
        <w:t>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להבחנה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הבסיסית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לעבירת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נדרשה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במובן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כניסתה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לתוקף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10.7.2019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01">
        <w:r>
          <w:rPr>
            <w:rStyle w:val="Hyperlink"/>
            <w:sz w:val="28"/>
            <w:sz w:val="28"/>
            <w:rtl w:val="true"/>
          </w:rPr>
          <w:t>לסעיף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</w:t>
        </w:r>
        <w:r>
          <w:rPr>
            <w:rStyle w:val="Hyperlink"/>
            <w:sz w:val="28"/>
            <w:sz w:val="28"/>
            <w:rtl w:val="true"/>
          </w:rPr>
          <w:t>ב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0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שחרור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תנאי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ממאסר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</w:rPr>
        <w:t>2001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sz w:val="28"/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שהרשיע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השחרורים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בהינתן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בחומרתן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מעשי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אכזריים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מרובי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קורבנות</w:t>
      </w:r>
      <w:r>
        <w:rPr>
          <w:sz w:val="28"/>
          <w:rtl w:val="true"/>
        </w:rPr>
        <w:t>"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דברי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הצעת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0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שחרור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על</w:t>
        </w:r>
        <w:r>
          <w:rPr>
            <w:rStyle w:val="Hyperlink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תנאי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ממאסר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תיקון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14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אסיר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בחומרתו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-</w:t>
      </w:r>
      <w:r>
        <w:rPr>
          <w:sz w:val="28"/>
        </w:rPr>
        <w:t>2014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הכנסת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556</w:t>
      </w:r>
      <w:r>
        <w:rPr>
          <w:sz w:val="28"/>
          <w:rtl w:val="true"/>
        </w:rPr>
        <w:t xml:space="preserve">, </w:t>
      </w:r>
      <w:r>
        <w:rPr>
          <w:sz w:val="28"/>
        </w:rPr>
        <w:t>144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מאפיינים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מקרי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חטיפה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אכזריים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ברוטליים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בקורבנות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צעירים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וכדומה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0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1900/18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27-25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6.10.2019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והאסמכתאות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>)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בחודש מאי 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פורסמו הנחיות פרקליט המדינה בדבר פרשנותו של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9.18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לפי ההנחיות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הנסיבות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תשקול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להחיל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hyperlink r:id="rId10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שחרור על תנאי היא כאשר הרצח </w:t>
      </w:r>
      <w:r>
        <w:rPr>
          <w:rFonts w:ascii="Century" w:hAnsi="Century" w:cs="Century"/>
          <w:rtl w:val="true"/>
        </w:rPr>
        <w:t>בוצע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באכזריות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כשהרוצח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בקורבן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בגופתו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לרציחתו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כשהדרך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הספציפית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אכזרית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במיוחד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11">
        <w:r>
          <w:rPr>
            <w:rStyle w:val="Hyperlink"/>
            <w:sz w:val="28"/>
            <w:sz w:val="28"/>
            <w:rtl w:val="true"/>
          </w:rPr>
          <w:t>שסעיף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</w:t>
        </w:r>
        <w:r>
          <w:rPr>
            <w:rStyle w:val="Hyperlink"/>
            <w:sz w:val="28"/>
            <w:sz w:val="28"/>
            <w:rtl w:val="true"/>
          </w:rPr>
          <w:t>ב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מדגיש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בחומרתן</w:t>
      </w:r>
      <w:r>
        <w:rPr>
          <w:sz w:val="28"/>
          <w:rtl w:val="true"/>
        </w:rPr>
        <w:t xml:space="preserve">", </w:t>
      </w:r>
      <w:hyperlink r:id="rId112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7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113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באכזריות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התעללות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בקורבן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1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ממוקד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במידת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אכזריותו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1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</w:t>
        </w:r>
        <w:r>
          <w:rPr>
            <w:rStyle w:val="Hyperlink"/>
            <w:sz w:val="28"/>
            <w:sz w:val="28"/>
            <w:rtl w:val="true"/>
          </w:rPr>
          <w:t>ב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מתמקד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דווקא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שהודגש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בלשון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המלצה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בחומרתו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ובגוף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חריגות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בחומרתן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שאראה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לדגשים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cs="Miriam" w:ascii="Century" w:hAnsi="Century"/>
          <w:b/>
          <w:spacing w:val="0"/>
          <w:sz w:val="28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מסייגים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ההצעה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בהצעת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1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>".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נוסף לכך יצוין כי בהנחיות פרקליט המדינה נקבע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</w:t>
      </w:r>
      <w:r>
        <w:rPr>
          <w:rFonts w:ascii="Century" w:hAnsi="Century" w:cs="Century"/>
          <w:sz w:val="28"/>
          <w:sz w:val="28"/>
          <w:rtl w:val="true"/>
        </w:rPr>
        <w:t>התביעה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תוכל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לבקש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מבית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המשפט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להכריע כי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מעשה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</w:t>
      </w:r>
      <w:r>
        <w:rPr>
          <w:rFonts w:ascii="Century" w:hAnsi="Century" w:cs="Century"/>
          <w:sz w:val="28"/>
          <w:sz w:val="28"/>
          <w:rtl w:val="true"/>
        </w:rPr>
        <w:t>רצח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בוצע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בנסיבות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חריגות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בחומרתן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רק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במסגרת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שלב </w:t>
      </w:r>
      <w:r>
        <w:rPr>
          <w:rFonts w:ascii="Century" w:hAnsi="Century" w:cs="Century"/>
          <w:sz w:val="28"/>
          <w:sz w:val="28"/>
          <w:rtl w:val="true"/>
        </w:rPr>
        <w:t>הטיעונים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לעונש</w:t>
      </w:r>
      <w:r>
        <w:rPr>
          <w:rFonts w:cs="Century" w:ascii="Century" w:hAnsi="Century"/>
          <w:sz w:val="28"/>
          <w:rtl w:val="true"/>
        </w:rPr>
        <w:t>,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ו</w:t>
      </w:r>
      <w:r>
        <w:rPr>
          <w:rFonts w:ascii="Century" w:hAnsi="Century" w:cs="Century"/>
          <w:sz w:val="28"/>
          <w:sz w:val="28"/>
          <w:rtl w:val="true"/>
        </w:rPr>
        <w:t>לאחר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קבלת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אישור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מהמשנה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לפרקליט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המדינה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עניינים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פליליים</w:t>
      </w:r>
      <w:r>
        <w:rPr>
          <w:rFonts w:cs="Century" w:ascii="Century" w:hAnsi="Century"/>
          <w:sz w:val="28"/>
          <w:rtl w:val="true"/>
        </w:rPr>
        <w:t xml:space="preserve">). </w:t>
      </w:r>
      <w:r>
        <w:rPr>
          <w:rFonts w:ascii="Century" w:hAnsi="Century" w:cs="Century"/>
          <w:sz w:val="28"/>
          <w:sz w:val="28"/>
          <w:rtl w:val="true"/>
        </w:rPr>
        <w:t>עוד נקבע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כי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תנאי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סף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לבקשה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שכזו</w:t>
      </w:r>
      <w:r>
        <w:rPr>
          <w:rFonts w:ascii="Century" w:hAnsi="Century" w:cs="Century"/>
          <w:sz w:val="28"/>
          <w:sz w:val="28"/>
          <w:rtl w:val="true"/>
        </w:rPr>
        <w:t xml:space="preserve"> יהא כי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הנאשם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הורשע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בעבירת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רצח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בנסיבות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מחמירות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>בהתאם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hyperlink r:id="rId117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לסעיף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118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וכי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זהו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תנאי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מספק</w:t>
      </w:r>
      <w:r>
        <w:rPr>
          <w:rFonts w:ascii="Century" w:hAnsi="Century" w:cs="Century"/>
          <w:sz w:val="28"/>
          <w:sz w:val="28"/>
          <w:rtl w:val="true"/>
        </w:rPr>
        <w:t xml:space="preserve"> –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ברוח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דומה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להבחנה בין הסעיפים אשר עולה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מדברי ההסבר ל</w:t>
      </w:r>
      <w:r>
        <w:rPr>
          <w:rFonts w:ascii="Century" w:hAnsi="Century" w:cs="Century"/>
          <w:sz w:val="28"/>
          <w:sz w:val="28"/>
          <w:rtl w:val="true"/>
        </w:rPr>
        <w:t>הצעת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החוק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משמו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נורמות</w:t>
      </w:r>
      <w:r>
        <w:rPr>
          <w:rtl w:val="true"/>
        </w:rPr>
        <w:t xml:space="preserve">,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משהוחלט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, </w:t>
      </w:r>
      <w:r>
        <w:rPr>
          <w:rtl w:val="true"/>
        </w:rPr>
        <w:t>מימושה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הקריטריונים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הנלקחים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ולתפישות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והאכיפה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מסלולים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המסוים</w:t>
      </w:r>
      <w:r>
        <w:rPr>
          <w:rtl w:val="true"/>
        </w:rPr>
        <w:t xml:space="preserve">. </w:t>
      </w:r>
      <w:r>
        <w:rPr>
          <w:rtl w:val="true"/>
        </w:rPr>
        <w:t>לצדם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hyperlink r:id="rId1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hyperlink r:id="rId1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אכיפת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".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לעומת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2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  <w:r>
          <w:rPr>
            <w:rStyle w:val="Hyperlink"/>
            <w:sz w:val="28"/>
          </w:rPr>
          <w:t>7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הזרקור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החוויה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שהקורבן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האכזריות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ההתעללות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סטרי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הרוצח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בקורבן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ובכבודו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הראייה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ותגובתו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שמאפיינת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מצטמצמת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הנזכר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2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להסתכלות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והפגיעה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שהוסבה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בסיפור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14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בהקשר זה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ראו את דברי ההסבר להצעת החוק של רפורמת עבירות ההמתה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בהם נכתב על </w:t>
      </w:r>
      <w:hyperlink r:id="rId125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7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 כי</w:t>
      </w:r>
      <w:r>
        <w:rPr>
          <w:rFonts w:cs="Century" w:ascii="Century" w:hAnsi="Century"/>
          <w:sz w:val="28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172</w:t>
      </w:r>
      <w:r>
        <w:rPr>
          <w:rtl w:val="true"/>
        </w:rPr>
        <w:t xml:space="preserve">). </w:t>
      </w:r>
    </w:p>
    <w:p>
      <w:pPr>
        <w:pStyle w:val="Ruller5"/>
        <w:spacing w:lineRule="auto" w:line="360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יושם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ממטרות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לבטא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הסלידה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סלידה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האכזריות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שמאפיינת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2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</w:t>
        </w:r>
        <w:r>
          <w:rPr>
            <w:rStyle w:val="Hyperlink"/>
            <w:sz w:val="28"/>
            <w:sz w:val="28"/>
            <w:rtl w:val="true"/>
          </w:rPr>
          <w:t>ב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מתחשב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שנאמר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מתמקד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בעמדות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sz w:val="28"/>
          <w:rtl w:val="true"/>
        </w:rPr>
        <w:t xml:space="preserve">, </w:t>
      </w:r>
      <w:hyperlink r:id="rId12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7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ושומע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הוציא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שהחברה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מתלכדת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באכזריות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במעשה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מימד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אכזריות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אינהרנטית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ההבחנה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לרצח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באכזריות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נעוצה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האכזרית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התייחסות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המחמירה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באכזריות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התעללות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בקורבן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הוועדה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שבחנה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יסודות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מונתה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וב</w:t>
      </w:r>
      <w:r>
        <w:rPr>
          <w:rtl w:val="true"/>
        </w:rPr>
        <w:t>ע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אכזריות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אנגליה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וקנדה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עמימותו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>המגלם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השגרתי</w:t>
      </w:r>
      <w:r>
        <w:rPr>
          <w:rtl w:val="true"/>
        </w:rPr>
        <w:t>'</w:t>
      </w:r>
      <w:r>
        <w:rPr>
          <w:rtl w:val="true"/>
        </w:rPr>
        <w:t xml:space="preserve">...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תתווסף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מוסרית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'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הנזכרת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", </w:t>
      </w:r>
      <w:r>
        <w:rPr>
          <w:rtl w:val="true"/>
        </w:rPr>
        <w:t>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המתבקשת</w:t>
      </w:r>
      <w:r>
        <w:rPr>
          <w:rtl w:val="true"/>
        </w:rPr>
        <w:t xml:space="preserve">. </w:t>
      </w:r>
      <w:r>
        <w:rPr>
          <w:rtl w:val="true"/>
        </w:rPr>
        <w:t>סיווגו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מהרשעות</w:t>
      </w:r>
      <w:r>
        <w:rPr>
          <w:rFonts w:eastAsia="Arial TUR" w:cs="Arial TUR"/>
          <w:rtl w:val="true"/>
        </w:rPr>
        <w:t xml:space="preserve"> </w:t>
      </w:r>
      <w:hyperlink r:id="rId12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לקריאה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ולתארן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27.5.2020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10033/17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2207/18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20.6.2019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8027/13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27.5.2018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51134-02-17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קפוסטין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171</w:t>
      </w:r>
      <w:r>
        <w:rPr>
          <w:rtl w:val="true"/>
        </w:rPr>
        <w:t xml:space="preserve"> (</w:t>
      </w:r>
      <w:r>
        <w:rPr/>
        <w:t>20.7.2020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13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53758-07-13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אמטיראת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hyperlink r:id="rId138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נגלה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נתפש</w:t>
      </w:r>
      <w:r>
        <w:rPr>
          <w:rtl w:val="true"/>
        </w:rPr>
        <w:t xml:space="preserve">, </w:t>
      </w:r>
      <w:r>
        <w:rPr>
          <w:rtl w:val="true"/>
        </w:rPr>
        <w:t>לקורבנה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cs="Century" w:ascii="Century" w:hAnsi="Century"/>
          <w:sz w:val="28"/>
        </w:rPr>
        <w:t>15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נקודה כללית אחרונה ביחס לנסיבה המיוחדת המנויה בס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 xml:space="preserve">ק </w:t>
      </w:r>
      <w:r>
        <w:rPr>
          <w:rFonts w:cs="Century" w:ascii="Century" w:hAnsi="Century"/>
          <w:sz w:val="28"/>
        </w:rPr>
        <w:t>7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כנזכר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הנסיבה מציעה שתי עילות חלופיות להרשעה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rFonts w:ascii="Century" w:hAnsi="Century" w:cs="Century"/>
          <w:sz w:val="28"/>
          <w:sz w:val="28"/>
          <w:rtl w:val="true"/>
        </w:rPr>
        <w:t xml:space="preserve">רצח הנעשה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באכזריות מיוחדת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 xml:space="preserve">או תוך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התעללות גופנית או נפשית בקורבן</w:t>
      </w:r>
      <w:r>
        <w:rPr>
          <w:rFonts w:cs="Century" w:ascii="Century" w:hAnsi="Century"/>
          <w:sz w:val="28"/>
          <w:rtl w:val="true"/>
        </w:rPr>
        <w:t xml:space="preserve">". </w:t>
      </w:r>
      <w:r>
        <w:rPr>
          <w:rFonts w:ascii="Century" w:hAnsi="Century" w:cs="Century"/>
          <w:sz w:val="28"/>
          <w:sz w:val="28"/>
          <w:rtl w:val="true"/>
        </w:rPr>
        <w:t>משכך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יהיה זה הולם לעמוד בקצרה גם על משמעותה של החלופה השנייה שקובע הסעיף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היא חלופת ההתעללות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להגדרתו המשפטית של המונח התייחסתי במסגרת פירוש </w:t>
      </w:r>
      <w:hyperlink r:id="rId139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368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ג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140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הנוגע ל</w:t>
      </w:r>
      <w:r>
        <w:rPr>
          <w:rFonts w:ascii="Century" w:hAnsi="Century" w:cs="Century"/>
          <w:sz w:val="28"/>
          <w:sz w:val="28"/>
          <w:rtl w:val="true"/>
        </w:rPr>
        <w:t>התעללות בקטין או בחסר ישע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hyperlink r:id="rId141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8"/>
            <w:u w:val="single"/>
          </w:rPr>
          <w:t>7704/13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מרגולין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sz w:val="28"/>
          <w:sz w:val="28"/>
          <w:rtl w:val="true"/>
        </w:rPr>
        <w:t xml:space="preserve">פסקאות </w:t>
      </w:r>
      <w:r>
        <w:rPr>
          <w:rFonts w:cs="Century" w:ascii="Century" w:hAnsi="Century"/>
          <w:sz w:val="28"/>
        </w:rPr>
        <w:t>8-7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cs="Century" w:ascii="Century" w:hAnsi="Century"/>
          <w:sz w:val="28"/>
        </w:rPr>
        <w:t>8.12.2015</w:t>
      </w:r>
      <w:r>
        <w:rPr>
          <w:rFonts w:cs="Century" w:ascii="Century" w:hAnsi="Century"/>
          <w:sz w:val="28"/>
          <w:rtl w:val="true"/>
        </w:rPr>
        <w:t>)</w:t>
      </w:r>
      <w:r>
        <w:rPr>
          <w:rFonts w:cs="Century" w:ascii="Century" w:hAnsi="Century"/>
          <w:sz w:val="28"/>
          <w:rtl w:val="true"/>
        </w:rPr>
        <w:t xml:space="preserve"> (</w:t>
      </w:r>
      <w:r>
        <w:rPr>
          <w:rFonts w:ascii="Century" w:hAnsi="Century" w:cs="Century"/>
          <w:sz w:val="28"/>
          <w:sz w:val="28"/>
          <w:rtl w:val="true"/>
        </w:rPr>
        <w:t>להלן</w:t>
      </w:r>
      <w:r>
        <w:rPr>
          <w:rFonts w:cs="Century" w:ascii="Century" w:hAnsi="Century"/>
          <w:sz w:val="28"/>
          <w:rtl w:val="true"/>
        </w:rPr>
        <w:t xml:space="preserve">: </w:t>
      </w:r>
      <w:r>
        <w:rPr>
          <w:rFonts w:ascii="Century" w:hAnsi="Century" w:cs="Century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מרגולין</w:t>
      </w:r>
      <w:r>
        <w:rPr>
          <w:rFonts w:cs="Century" w:ascii="Century" w:hAnsi="Century"/>
          <w:sz w:val="28"/>
          <w:rtl w:val="true"/>
        </w:rPr>
        <w:t xml:space="preserve">)). </w:t>
      </w:r>
      <w:r>
        <w:rPr>
          <w:rFonts w:ascii="Century" w:hAnsi="Century" w:cs="Century"/>
          <w:sz w:val="28"/>
          <w:sz w:val="28"/>
          <w:rtl w:val="true"/>
        </w:rPr>
        <w:t>זאת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תוך הפנייה למשפט העברי ו</w:t>
      </w:r>
      <w:r>
        <w:rPr>
          <w:sz w:val="28"/>
          <w:sz w:val="28"/>
          <w:rtl w:val="true"/>
        </w:rPr>
        <w:t>לפירושו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שמשון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בגרמניה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</w:t>
      </w:r>
      <w:r>
        <w:rPr>
          <w:sz w:val="28"/>
        </w:rPr>
        <w:t>19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הפירוש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למונח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התעללות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מתאים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הוטעמו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sz w:val="28"/>
          <w:rtl w:val="true"/>
        </w:rPr>
        <w:t>: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>
          <w:highlight w:val="yellow"/>
        </w:rPr>
      </w:pPr>
      <w:r>
        <w:rPr>
          <w:rtl w:val="true"/>
        </w:rPr>
        <w:t>"</w:t>
      </w:r>
      <w:r>
        <w:rPr>
          <w:rtl w:val="true"/>
        </w:rPr>
        <w:t>התעללתי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 '</w:t>
      </w:r>
      <w:r>
        <w:rPr>
          <w:rtl w:val="true"/>
        </w:rPr>
        <w:t>עולל</w:t>
      </w:r>
      <w:r>
        <w:rPr>
          <w:rtl w:val="true"/>
        </w:rPr>
        <w:t xml:space="preserve">' =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המתפתח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עלילה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-'</w:t>
      </w:r>
      <w:r>
        <w:rPr>
          <w:rtl w:val="true"/>
        </w:rPr>
        <w:t>עלל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-'</w:t>
      </w:r>
      <w:r>
        <w:rPr>
          <w:rtl w:val="true"/>
        </w:rPr>
        <w:t>עולל</w:t>
      </w:r>
      <w:r>
        <w:rPr>
          <w:rtl w:val="true"/>
        </w:rPr>
        <w:t xml:space="preserve">':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>. '</w:t>
      </w:r>
      <w:r>
        <w:rPr>
          <w:rtl w:val="true"/>
        </w:rPr>
        <w:t>התעלל</w:t>
      </w:r>
      <w:r>
        <w:rPr>
          <w:rtl w:val="true"/>
        </w:rPr>
        <w:t xml:space="preserve">': </w:t>
      </w:r>
      <w:r>
        <w:rPr>
          <w:rtl w:val="true"/>
        </w:rPr>
        <w:t>להיראות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רצופה</w:t>
      </w:r>
      <w:r>
        <w:rPr>
          <w:rtl w:val="true"/>
        </w:rPr>
        <w:t>. '</w:t>
      </w:r>
      <w:r>
        <w:rPr>
          <w:rtl w:val="true"/>
        </w:rPr>
        <w:t>להתעלל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': </w:t>
      </w:r>
      <w:r>
        <w:rPr>
          <w:rtl w:val="true"/>
        </w:rPr>
        <w:t>במישהו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כחומר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...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.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" (</w:t>
      </w:r>
      <w:r>
        <w:rPr>
          <w:rtl w:val="true"/>
        </w:rPr>
        <w:t>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  <w:sz w:val="28"/>
          <w:highlight w:val="yellow"/>
        </w:rPr>
      </w:pPr>
      <w:r>
        <w:rPr>
          <w:rFonts w:cs="Century" w:ascii="Century" w:hAnsi="Century"/>
          <w:sz w:val="28"/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מרגולין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; </w:t>
      </w:r>
      <w:r>
        <w:rPr>
          <w:rtl w:val="true"/>
        </w:rPr>
        <w:t>המערבת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ביזוי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דיכוי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הירש</w:t>
      </w:r>
      <w:r>
        <w:rPr>
          <w:rtl w:val="true"/>
        </w:rPr>
        <w:t xml:space="preserve">, </w:t>
      </w:r>
      <w:r>
        <w:rPr>
          <w:rtl w:val="true"/>
        </w:rPr>
        <w:t>שורש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.,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לעלילה</w:t>
      </w:r>
      <w:r>
        <w:rPr>
          <w:rtl w:val="true"/>
        </w:rPr>
        <w:t xml:space="preserve">,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hyperlink r:id="rId1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אנליטית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  <w:sz w:val="24"/>
          <w:szCs w:val="24"/>
        </w:rPr>
        <w:t>law as literature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?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sz w:val="28"/>
        </w:rPr>
        <w:t>16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מהכלל אל הפרט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ומהמופשט ליישום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מעשה ההמתה שביצע המערער כלל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למצער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שלושה שלבים שונים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 xml:space="preserve">הכאה באמצעות פטיש </w:t>
      </w:r>
      <w:r>
        <w:rPr>
          <w:rFonts w:cs="Century" w:ascii="Century" w:hAnsi="Century"/>
          <w:sz w:val="28"/>
        </w:rPr>
        <w:t>19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פעמים </w:t>
      </w:r>
      <w:r>
        <w:rPr>
          <w:sz w:val="28"/>
          <w:sz w:val="28"/>
          <w:rtl w:val="true"/>
        </w:rPr>
        <w:t>בפניה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גולגולתה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עיניה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</w:t>
      </w:r>
      <w:r>
        <w:rPr>
          <w:sz w:val="28"/>
          <w:sz w:val="28"/>
          <w:rtl w:val="true"/>
        </w:rPr>
        <w:t>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שפתיה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מפורט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32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); </w:t>
      </w:r>
      <w:r>
        <w:rPr>
          <w:rFonts w:ascii="Century" w:hAnsi="Century" w:cs="Century"/>
          <w:sz w:val="28"/>
          <w:sz w:val="28"/>
          <w:rtl w:val="true"/>
        </w:rPr>
        <w:t xml:space="preserve">שימוש בחומצה קטלנית ורעילה שהביאה להיווצרותן של כוויות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בפנים ובקרביים של המנוחה</w:t>
      </w:r>
      <w:r>
        <w:rPr>
          <w:rFonts w:cs="Century" w:ascii="Century" w:hAnsi="Century"/>
          <w:sz w:val="28"/>
          <w:rtl w:val="true"/>
        </w:rPr>
        <w:t xml:space="preserve">; </w:t>
      </w:r>
      <w:r>
        <w:rPr>
          <w:rFonts w:ascii="Century" w:hAnsi="Century" w:cs="Century"/>
          <w:sz w:val="28"/>
          <w:sz w:val="28"/>
          <w:rtl w:val="true"/>
        </w:rPr>
        <w:t xml:space="preserve">וחנק באמצעות מגבת </w:t>
      </w:r>
      <w:r>
        <w:rPr>
          <w:rFonts w:ascii="Century" w:hAnsi="Century" w:cs="Century"/>
          <w:sz w:val="28"/>
          <w:sz w:val="28"/>
          <w:rtl w:val="true"/>
        </w:rPr>
        <w:t>–</w:t>
      </w:r>
      <w:r>
        <w:rPr>
          <w:rFonts w:ascii="Century" w:hAnsi="Century" w:cs="Century"/>
          <w:sz w:val="28"/>
          <w:sz w:val="28"/>
          <w:rtl w:val="true"/>
        </w:rPr>
        <w:t xml:space="preserve"> אף לאחר מותה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ממושך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הפסקות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ברפרוף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הפציעות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ברגעיה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האחרונים</w:t>
      </w:r>
      <w:r>
        <w:rPr>
          <w:sz w:val="28"/>
          <w:rtl w:val="true"/>
        </w:rPr>
        <w:t>: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הקדקדי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והעורפי</w:t>
      </w:r>
      <w:r>
        <w:rPr>
          <w:rtl w:val="true"/>
        </w:rPr>
        <w:t xml:space="preserve">;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ובקרקפת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מצחי</w:t>
      </w:r>
      <w:r>
        <w:rPr>
          <w:rtl w:val="true"/>
        </w:rPr>
        <w:t xml:space="preserve">; </w:t>
      </w:r>
      <w:r>
        <w:rPr>
          <w:rtl w:val="true"/>
        </w:rPr>
        <w:t>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, </w:t>
      </w:r>
      <w:r>
        <w:rPr>
          <w:rtl w:val="true"/>
        </w:rPr>
        <w:t>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ובקיבה</w:t>
      </w:r>
      <w:r>
        <w:rPr>
          <w:rtl w:val="true"/>
        </w:rPr>
        <w:t xml:space="preserve">; </w:t>
      </w:r>
      <w:r>
        <w:rPr>
          <w:rtl w:val="true"/>
        </w:rPr>
        <w:t>התנקבות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הקיבה</w:t>
      </w:r>
      <w:r>
        <w:rPr>
          <w:rtl w:val="true"/>
        </w:rPr>
        <w:t xml:space="preserve">;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באפרכסת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;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האף</w:t>
      </w:r>
      <w:r>
        <w:rPr>
          <w:rtl w:val="true"/>
        </w:rPr>
        <w:t xml:space="preserve">;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ושפכי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ובאצבעות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" (</w:t>
      </w:r>
      <w:r>
        <w:rPr>
          <w:rtl w:val="true"/>
        </w:rPr>
        <w:t>ח</w:t>
      </w:r>
      <w:r>
        <w:rPr>
          <w:rtl w:val="true"/>
        </w:rPr>
        <w:t>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קריספין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27.12.2015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לשימוש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בחומצה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נקבע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 xml:space="preserve">: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, </w:t>
      </w:r>
      <w:r>
        <w:rPr>
          <w:rtl w:val="true"/>
        </w:rPr>
        <w:t>בפצעים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שבגוף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ובגפיים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העליונים</w:t>
      </w:r>
      <w:r>
        <w:rPr>
          <w:rtl w:val="true"/>
        </w:rPr>
        <w:t xml:space="preserve">,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מנוזל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. </w:t>
      </w:r>
      <w:r>
        <w:rPr>
          <w:rtl w:val="true"/>
        </w:rPr>
        <w:t>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נבלעה</w:t>
      </w:r>
      <w:r>
        <w:rPr>
          <w:rtl w:val="true"/>
        </w:rPr>
        <w:t xml:space="preserve">, </w:t>
      </w:r>
      <w:r>
        <w:rPr>
          <w:rtl w:val="true"/>
        </w:rPr>
        <w:t>וגרמה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ובקיבה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קיבה</w:t>
      </w:r>
      <w:r>
        <w:rPr>
          <w:rtl w:val="true"/>
        </w:rPr>
        <w:t>, (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הקאה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החומצה</w:t>
      </w:r>
      <w:r>
        <w:rPr>
          <w:rtl w:val="true"/>
        </w:rPr>
        <w:t xml:space="preserve">, </w:t>
      </w:r>
      <w:r>
        <w:rPr>
          <w:rtl w:val="true"/>
        </w:rPr>
        <w:t>וקרוב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הקאתה</w:t>
      </w:r>
      <w:r>
        <w:rPr>
          <w:rtl w:val="true"/>
        </w:rPr>
        <w:t xml:space="preserve">, </w:t>
      </w:r>
      <w:r>
        <w:rPr>
          <w:rtl w:val="true"/>
        </w:rPr>
        <w:t>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התנקבות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שתיית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שאיפתה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ושאיפתה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ascii="Century" w:hAnsi="Century" w:cs="Century"/>
          <w:sz w:val="28"/>
          <w:sz w:val="28"/>
          <w:rtl w:val="true"/>
        </w:rPr>
        <w:t>את מעשי הזוועה המתוארים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ביצע המערער באשתו בת ה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69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אם ילדיו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עמה חי קרוב ליובל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אישה מבוגרת שכוחה הפיזי נופל מכוחו של המערער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יודגש כי המאורעות מעוררי הסלידה אשר אופפים את רגעיה האחרונים התרחשו כולם בדלת אמות ביתה של המנוחה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מקום מבצרה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בשעת ערב שקטה בזמן שככל הנראה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על פי חומרי הראיות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הייתה עסוקה בסריגה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פשעה היחיד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המבסס את המניע להמתתה האיומה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הוא רצונה להתגרש מהמערער ולחלק את הרכוש שצברו יחד בשנות נישואיהן באופן צודק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ברי כי המתה כה מכאיבה וארוכה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המונה מספר שלבי המתה קטלניים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חוסה גם היא תחת חלופת ההתעללות האמורה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זו מחזקת בבירור את הבחירה בנסיבה האמורה כסעיף ההרשעה המתאים למקרה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המענה לשאלת סיווגו הראוי של מעשה הרצח מסתייע בבחינת הסיפור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אין צורך לקבוע כי כל אחד משלבי ההמתה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כשלעצמו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עונה על דרישות הסעיף או מה היה הדין לו היה מדובר ב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9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מכות פטיש או ב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3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הסיפור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מנקודת מבטו של המבצע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וודאי מנקודת מבטו של הקורבן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מוביל למסקנה כי התביעה עמדה בנטל המוטל עליה להרשעה </w:t>
      </w:r>
      <w:hyperlink r:id="rId144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7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 xml:space="preserve">טרם סיום יוער כי בבואנו לקבוע שמעשי המערער נכללים </w:t>
      </w:r>
      <w:hyperlink r:id="rId145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7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146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8"/>
          <w:sz w:val="28"/>
          <w:rtl w:val="true"/>
        </w:rPr>
        <w:t xml:space="preserve"> איננו פוסעים על קרקע בתולית לגמרי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שכן אפשר למצוא תקדים לעניין בפרשת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במסגרתה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הנזכר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אפיזודות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וממושכות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משקולות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ואזיקון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34</w:t>
      </w:r>
      <w:r>
        <w:rPr>
          <w:sz w:val="28"/>
          <w:rtl w:val="true"/>
        </w:rPr>
        <w:t xml:space="preserve">).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0000"/>
          <w:sz w:val="28"/>
        </w:rPr>
      </w:pPr>
      <w:r>
        <w:rPr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גידורה המדויק של עבירת ההמתה ב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אכזריות מיוחדת</w:t>
      </w:r>
      <w:r>
        <w:rPr>
          <w:rFonts w:cs="Century" w:ascii="Century" w:hAnsi="Century"/>
          <w:sz w:val="28"/>
          <w:rtl w:val="true"/>
        </w:rPr>
        <w:t xml:space="preserve">" </w:t>
      </w:r>
      <w:r>
        <w:rPr>
          <w:rFonts w:ascii="Century" w:hAnsi="Century" w:cs="Century"/>
          <w:sz w:val="28"/>
          <w:sz w:val="28"/>
          <w:rtl w:val="true"/>
        </w:rPr>
        <w:t>עתיד להיתוות ולהתהדק בחלוף השנים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עם הצטברותן של פסיקות נוספות בעניינה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כללי האצבע שניתן לדלות מן האמור לעיל מגבשים רשימה אינדוקטיבית התחלתית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אך ודאי לא סגורה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עבור סוגי המקרים אשר עשויים להיכלל באמתחתה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  <w:sz w:val="28"/>
        </w:rPr>
      </w:pPr>
      <w:r>
        <w:rPr>
          <w:rFonts w:cs="Century" w:ascii="Century" w:hAnsi="Century"/>
          <w:color w:val="FF000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</w:rPr>
        <w:t>17</w:t>
      </w:r>
      <w:r>
        <w:rPr>
          <w:rFonts w:cs="Century" w:ascii="Century" w:hAnsi="Century"/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ab/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מטעמים אלה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אציע לחבריי לקבוע כי המערער יורשע בעבירת רצח בנסיבות מחמירות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לפי </w:t>
      </w:r>
      <w:hyperlink r:id="rId147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7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</w:t>
      </w:r>
      <w:hyperlink r:id="rId148"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חלף קביעת בית המשפט המחוזי לפיה יש להרשיעו </w:t>
      </w:r>
      <w:hyperlink r:id="rId149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).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קביעה זו מייתרת את הצורך להידרש למידת התאמת נסיבות המקרה להרשעה תחת </w:t>
      </w:r>
      <w:hyperlink r:id="rId150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301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  <w:rtl w:val="true"/>
          </w:rPr>
          <w:t>)(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לחוק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שאת גבולות פרשנותו נותיר לעת מצוא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יוזכר כי המערער קיבל הזדמנות להתגונן נגד שתי החלופות שהוזכרו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הקביעה דלעיל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לפיה המערער יורשע בעבירת רצח בנסיבות מחמירות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ממילא מייתרת גם את שאלת ההקלה בגזר דינו של המערער הואיל ועונשו נותר על כנו לאור חובת השתת עונש מאסר העולם הנלווית להרשעה בסעיף העבירה האמור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eastAsia="Century" w:cs="Century" w:ascii="Century" w:hAnsi="Century"/>
          <w:sz w:val="28"/>
          <w:rtl w:val="true"/>
        </w:rPr>
        <w:t xml:space="preserve">                                                                                                             </w:t>
      </w:r>
      <w:r>
        <w:rPr>
          <w:rFonts w:ascii="Century" w:hAnsi="Century" w:cs="Century"/>
          <w:sz w:val="28"/>
          <w:sz w:val="28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8"/>
          <w:szCs w:val="24"/>
          <w:u w:val="single"/>
        </w:rPr>
      </w:pPr>
      <w:r>
        <w:rPr>
          <w:rFonts w:cs="Century" w:ascii="Century" w:hAnsi="Century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8"/>
          <w:szCs w:val="24"/>
          <w:u w:val="single"/>
        </w:rPr>
      </w:pPr>
      <w:r>
        <w:rPr>
          <w:rFonts w:cs="Century" w:ascii="Century" w:hAnsi="Century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אני מסכים</w:t>
      </w:r>
      <w:r>
        <w:rPr>
          <w:rFonts w:cs="Century" w:ascii="Century" w:hAnsi="Century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bookmarkStart w:id="2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8.6.2021</w:t>
      </w:r>
      <w:r>
        <w:rPr>
          <w:rtl w:val="true"/>
        </w:rPr>
        <w:t xml:space="preserve">). </w:t>
      </w:r>
      <w:bookmarkEnd w:id="2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19083630</w:t>
      </w:r>
      <w:r>
        <w:rPr>
          <w:sz w:val="16"/>
          <w:rtl w:val="true"/>
        </w:rPr>
        <w:t>_</w:t>
      </w:r>
      <w:r>
        <w:rPr>
          <w:sz w:val="16"/>
        </w:rPr>
        <w:t>Z07.docx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54678313-8363/19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3"/>
      <w:footerReference w:type="default" r:id="rId1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8363/19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רם גרנות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  <w:sz w:val="26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cs="David"/>
      <w:szCs w:val="24"/>
    </w:rPr>
  </w:style>
  <w:style w:type="character" w:styleId="default">
    <w:name w:val="default"/>
    <w:qFormat/>
    <w:rPr/>
  </w:style>
  <w:style w:type="character" w:styleId="big-number">
    <w:name w:val="big-numb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29656" TargetMode="External"/><Relationship Id="rId3" Type="http://schemas.openxmlformats.org/officeDocument/2006/relationships/hyperlink" Target="http://www.nevo.co.il/safrut/book/44827" TargetMode="External"/><Relationship Id="rId4" Type="http://schemas.openxmlformats.org/officeDocument/2006/relationships/hyperlink" Target="http://www.nevo.co.il/safrut/book/44827" TargetMode="External"/><Relationship Id="rId5" Type="http://schemas.openxmlformats.org/officeDocument/2006/relationships/hyperlink" Target="http://www.nevo.co.il/safrut/bookgroup/4003" TargetMode="External"/><Relationship Id="rId6" Type="http://schemas.openxmlformats.org/officeDocument/2006/relationships/hyperlink" Target="http://www.nevo.co.il/safrut/bookgroup/400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5.a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0a" TargetMode="External"/><Relationship Id="rId12" Type="http://schemas.openxmlformats.org/officeDocument/2006/relationships/hyperlink" Target="http://www.nevo.co.il/law/70301/301.b" TargetMode="External"/><Relationship Id="rId13" Type="http://schemas.openxmlformats.org/officeDocument/2006/relationships/hyperlink" Target="http://www.nevo.co.il/law/70301/301.b.2" TargetMode="External"/><Relationship Id="rId14" Type="http://schemas.openxmlformats.org/officeDocument/2006/relationships/hyperlink" Target="http://www.nevo.co.il/law/70301/301.b.a" TargetMode="External"/><Relationship Id="rId15" Type="http://schemas.openxmlformats.org/officeDocument/2006/relationships/hyperlink" Target="http://www.nevo.co.il/law/70301/301a" TargetMode="External"/><Relationship Id="rId16" Type="http://schemas.openxmlformats.org/officeDocument/2006/relationships/hyperlink" Target="http://www.nevo.co.il/law/70301/301a.a" TargetMode="External"/><Relationship Id="rId17" Type="http://schemas.openxmlformats.org/officeDocument/2006/relationships/hyperlink" Target="http://www.nevo.co.il/law/70301/301a.a.1" TargetMode="External"/><Relationship Id="rId18" Type="http://schemas.openxmlformats.org/officeDocument/2006/relationships/hyperlink" Target="http://www.nevo.co.il/law/70301/301a.a.7" TargetMode="External"/><Relationship Id="rId19" Type="http://schemas.openxmlformats.org/officeDocument/2006/relationships/hyperlink" Target="http://www.nevo.co.il/law/70301/301b" TargetMode="External"/><Relationship Id="rId20" Type="http://schemas.openxmlformats.org/officeDocument/2006/relationships/hyperlink" Target="http://www.nevo.co.il/law/70301/301b.a" TargetMode="External"/><Relationship Id="rId21" Type="http://schemas.openxmlformats.org/officeDocument/2006/relationships/hyperlink" Target="http://www.nevo.co.il/law/70301/301b.b" TargetMode="External"/><Relationship Id="rId22" Type="http://schemas.openxmlformats.org/officeDocument/2006/relationships/hyperlink" Target="http://www.nevo.co.il/law/70301/301b.b.1" TargetMode="External"/><Relationship Id="rId23" Type="http://schemas.openxmlformats.org/officeDocument/2006/relationships/hyperlink" Target="http://www.nevo.co.il/law/70301/345.b.4" TargetMode="External"/><Relationship Id="rId24" Type="http://schemas.openxmlformats.org/officeDocument/2006/relationships/hyperlink" Target="http://www.nevo.co.il/law/70301/368c" TargetMode="External"/><Relationship Id="rId25" Type="http://schemas.openxmlformats.org/officeDocument/2006/relationships/hyperlink" Target="http://www.nevo.co.il/law/70348" TargetMode="External"/><Relationship Id="rId26" Type="http://schemas.openxmlformats.org/officeDocument/2006/relationships/hyperlink" Target="http://www.nevo.co.il/law/70348/25.b" TargetMode="External"/><Relationship Id="rId27" Type="http://schemas.openxmlformats.org/officeDocument/2006/relationships/hyperlink" Target="http://www.nevo.co.il/law/75025" TargetMode="External"/><Relationship Id="rId28" Type="http://schemas.openxmlformats.org/officeDocument/2006/relationships/hyperlink" Target="http://www.nevo.co.il/law/75025/9" TargetMode="External"/><Relationship Id="rId29" Type="http://schemas.openxmlformats.org/officeDocument/2006/relationships/hyperlink" Target="http://www.nevo.co.il/law/75025/10" TargetMode="External"/><Relationship Id="rId30" Type="http://schemas.openxmlformats.org/officeDocument/2006/relationships/hyperlink" Target="http://www.nevo.co.il/law/75025/30b" TargetMode="External"/><Relationship Id="rId31" Type="http://schemas.openxmlformats.org/officeDocument/2006/relationships/hyperlink" Target="http://www.nevo.co.il/case/20829656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01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1a.a.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5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5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00.a.2" TargetMode="External"/><Relationship Id="rId44" Type="http://schemas.openxmlformats.org/officeDocument/2006/relationships/hyperlink" Target="http://www.nevo.co.il/law/70301/301a.a.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00.a.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01b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01b.b.1" TargetMode="External"/><Relationship Id="rId51" Type="http://schemas.openxmlformats.org/officeDocument/2006/relationships/hyperlink" Target="http://www.nevo.co.il/law/70301/301.b.2" TargetMode="External"/><Relationship Id="rId52" Type="http://schemas.openxmlformats.org/officeDocument/2006/relationships/hyperlink" Target="http://www.nevo.co.il/law/70301/301b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01a.a.1" TargetMode="External"/><Relationship Id="rId56" Type="http://schemas.openxmlformats.org/officeDocument/2006/relationships/hyperlink" Target="http://www.nevo.co.il/law/70301/300.a" TargetMode="External"/><Relationship Id="rId57" Type="http://schemas.openxmlformats.org/officeDocument/2006/relationships/hyperlink" Target="http://www.nevo.co.il/law/70301/301a.a.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01a.a.7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01.b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01b.b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25441697" TargetMode="External"/><Relationship Id="rId66" Type="http://schemas.openxmlformats.org/officeDocument/2006/relationships/hyperlink" Target="http://www.nevo.co.il/law/70301/301b.b" TargetMode="External"/><Relationship Id="rId67" Type="http://schemas.openxmlformats.org/officeDocument/2006/relationships/hyperlink" Target="http://www.nevo.co.il/law/70301/301.b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17929257" TargetMode="External"/><Relationship Id="rId70" Type="http://schemas.openxmlformats.org/officeDocument/2006/relationships/hyperlink" Target="http://www.nevo.co.il/case/20029519" TargetMode="External"/><Relationship Id="rId71" Type="http://schemas.openxmlformats.org/officeDocument/2006/relationships/hyperlink" Target="http://www.nevo.co.il/case/17923198" TargetMode="External"/><Relationship Id="rId72" Type="http://schemas.openxmlformats.org/officeDocument/2006/relationships/hyperlink" Target="http://www.nevo.co.il/law/70301/301b" TargetMode="External"/><Relationship Id="rId73" Type="http://schemas.openxmlformats.org/officeDocument/2006/relationships/hyperlink" Target="http://www.nevo.co.il/law/70301/300.a.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00.a.2" TargetMode="External"/><Relationship Id="rId76" Type="http://schemas.openxmlformats.org/officeDocument/2006/relationships/hyperlink" Target="http://www.nevo.co.il/safrut/bookgroup/4003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17929642" TargetMode="External"/><Relationship Id="rId79" Type="http://schemas.openxmlformats.org/officeDocument/2006/relationships/hyperlink" Target="http://www.nevo.co.il/law/70301/5.a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301a.a.1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301a.a.1" TargetMode="External"/><Relationship Id="rId84" Type="http://schemas.openxmlformats.org/officeDocument/2006/relationships/hyperlink" Target="http://www.nevo.co.il/law/70301/301a.a.1" TargetMode="External"/><Relationship Id="rId85" Type="http://schemas.openxmlformats.org/officeDocument/2006/relationships/hyperlink" Target="http://www.nevo.co.il/law/70301/301a.a.7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safrut/book/44827" TargetMode="External"/><Relationship Id="rId89" Type="http://schemas.openxmlformats.org/officeDocument/2006/relationships/hyperlink" Target="http://www.nevo.co.il/law/70348/25.b" TargetMode="External"/><Relationship Id="rId90" Type="http://schemas.openxmlformats.org/officeDocument/2006/relationships/hyperlink" Target="http://www.nevo.co.il/law/70348" TargetMode="External"/><Relationship Id="rId91" Type="http://schemas.openxmlformats.org/officeDocument/2006/relationships/hyperlink" Target="http://www.nevo.co.il/case/17926253" TargetMode="External"/><Relationship Id="rId92" Type="http://schemas.openxmlformats.org/officeDocument/2006/relationships/hyperlink" Target="http://www.nevo.co.il/law/70301/300a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300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300.a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301a.a" TargetMode="External"/><Relationship Id="rId99" Type="http://schemas.openxmlformats.org/officeDocument/2006/relationships/hyperlink" Target="http://www.nevo.co.il/law/70301/301a.a.7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5025/30b" TargetMode="External"/><Relationship Id="rId102" Type="http://schemas.openxmlformats.org/officeDocument/2006/relationships/hyperlink" Target="http://www.nevo.co.il/law/75025" TargetMode="External"/><Relationship Id="rId103" Type="http://schemas.openxmlformats.org/officeDocument/2006/relationships/hyperlink" Target="http://www.nevo.co.il/law/75025" TargetMode="External"/><Relationship Id="rId104" Type="http://schemas.openxmlformats.org/officeDocument/2006/relationships/hyperlink" Target="http://www.nevo.co.il/case/23762313" TargetMode="External"/><Relationship Id="rId105" Type="http://schemas.openxmlformats.org/officeDocument/2006/relationships/hyperlink" Target="http://www.nevo.co.il/law/70301/301a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5025/30b" TargetMode="External"/><Relationship Id="rId108" Type="http://schemas.openxmlformats.org/officeDocument/2006/relationships/hyperlink" Target="http://www.nevo.co.il/law/75025/30b" TargetMode="External"/><Relationship Id="rId109" Type="http://schemas.openxmlformats.org/officeDocument/2006/relationships/hyperlink" Target="http://www.nevo.co.il/law/75025/30b" TargetMode="External"/><Relationship Id="rId110" Type="http://schemas.openxmlformats.org/officeDocument/2006/relationships/hyperlink" Target="http://www.nevo.co.il/law/70301" TargetMode="External"/><Relationship Id="rId111" Type="http://schemas.openxmlformats.org/officeDocument/2006/relationships/hyperlink" Target="http://www.nevo.co.il/law/75025/30b" TargetMode="External"/><Relationship Id="rId112" Type="http://schemas.openxmlformats.org/officeDocument/2006/relationships/hyperlink" Target="http://www.nevo.co.il/law/70301/301a.a.7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5025/30b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70301/301a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5025/10" TargetMode="External"/><Relationship Id="rId120" Type="http://schemas.openxmlformats.org/officeDocument/2006/relationships/hyperlink" Target="http://www.nevo.co.il/law/75025/9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301a.a.7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0301/301a.a.7" TargetMode="External"/><Relationship Id="rId126" Type="http://schemas.openxmlformats.org/officeDocument/2006/relationships/hyperlink" Target="http://www.nevo.co.il/law/75025/30b" TargetMode="External"/><Relationship Id="rId127" Type="http://schemas.openxmlformats.org/officeDocument/2006/relationships/hyperlink" Target="http://www.nevo.co.il/law/70301/301a.a.7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345.b.4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case/13093721" TargetMode="External"/><Relationship Id="rId132" Type="http://schemas.openxmlformats.org/officeDocument/2006/relationships/hyperlink" Target="http://www.nevo.co.il/case/25150272" TargetMode="External"/><Relationship Id="rId133" Type="http://schemas.openxmlformats.org/officeDocument/2006/relationships/hyperlink" Target="http://www.nevo.co.il/case/23532097" TargetMode="External"/><Relationship Id="rId134" Type="http://schemas.openxmlformats.org/officeDocument/2006/relationships/hyperlink" Target="http://www.nevo.co.il/case/23793851" TargetMode="External"/><Relationship Id="rId135" Type="http://schemas.openxmlformats.org/officeDocument/2006/relationships/hyperlink" Target="http://www.nevo.co.il/case/10537746" TargetMode="External"/><Relationship Id="rId136" Type="http://schemas.openxmlformats.org/officeDocument/2006/relationships/hyperlink" Target="http://www.nevo.co.il/case/22269131" TargetMode="External"/><Relationship Id="rId137" Type="http://schemas.openxmlformats.org/officeDocument/2006/relationships/hyperlink" Target="http://www.nevo.co.il/case/7818977" TargetMode="External"/><Relationship Id="rId138" Type="http://schemas.openxmlformats.org/officeDocument/2006/relationships/hyperlink" Target="http://www.nevo.co.il/law/75025/30b" TargetMode="External"/><Relationship Id="rId139" Type="http://schemas.openxmlformats.org/officeDocument/2006/relationships/hyperlink" Target="http://www.nevo.co.il/law/70301/368c" TargetMode="External"/><Relationship Id="rId140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case/11269651" TargetMode="External"/><Relationship Id="rId142" Type="http://schemas.openxmlformats.org/officeDocument/2006/relationships/hyperlink" Target="http://www.nevo.co.il/law/70301/301a.a.7" TargetMode="External"/><Relationship Id="rId143" Type="http://schemas.openxmlformats.org/officeDocument/2006/relationships/hyperlink" Target="http://www.nevo.co.il/law/70301" TargetMode="External"/><Relationship Id="rId144" Type="http://schemas.openxmlformats.org/officeDocument/2006/relationships/hyperlink" Target="http://www.nevo.co.il/law/70301/301a.a.7" TargetMode="External"/><Relationship Id="rId145" Type="http://schemas.openxmlformats.org/officeDocument/2006/relationships/hyperlink" Target="http://www.nevo.co.il/law/70301/301a.a.7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301a.a.7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/301a.a.1" TargetMode="External"/><Relationship Id="rId150" Type="http://schemas.openxmlformats.org/officeDocument/2006/relationships/hyperlink" Target="http://www.nevo.co.il/law/70301/301a.a.1" TargetMode="External"/><Relationship Id="rId151" Type="http://schemas.openxmlformats.org/officeDocument/2006/relationships/hyperlink" Target="https://supreme.court.gov.il/" TargetMode="External"/><Relationship Id="rId152" Type="http://schemas.openxmlformats.org/officeDocument/2006/relationships/hyperlink" Target="http://www.nevo.co.il/advertisements/nevo-100.doc" TargetMode="External"/><Relationship Id="rId153" Type="http://schemas.openxmlformats.org/officeDocument/2006/relationships/header" Target="header1.xml"/><Relationship Id="rId154" Type="http://schemas.openxmlformats.org/officeDocument/2006/relationships/footer" Target="footer1.xml"/><Relationship Id="rId155" Type="http://schemas.openxmlformats.org/officeDocument/2006/relationships/numbering" Target="numbering.xml"/><Relationship Id="rId156" Type="http://schemas.openxmlformats.org/officeDocument/2006/relationships/fontTable" Target="fontTable.xml"/><Relationship Id="rId157" Type="http://schemas.openxmlformats.org/officeDocument/2006/relationships/settings" Target="settings.xml"/><Relationship Id="rId1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2022-08-31T13:19:00Z</dcterms:created>
  <dc:creator> </dc:creator>
  <dc:description/>
  <cp:keywords/>
  <dc:language>en-IL</dc:language>
  <cp:lastModifiedBy>h11</cp:lastModifiedBy>
  <cp:lastPrinted>2021-06-08T09:01:00Z</cp:lastPrinted>
  <dcterms:modified xsi:type="dcterms:W3CDTF">2022-08-31T13:19:00Z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רם גרנות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4003</vt:lpwstr>
  </property>
  <property fmtid="{D5CDD505-2E9C-101B-9397-08002B2CF9AE}" pid="5" name="BOOKLISTTMP1">
    <vt:lpwstr>44827</vt:lpwstr>
  </property>
  <property fmtid="{D5CDD505-2E9C-101B-9397-08002B2CF9AE}" pid="6" name="CASESLISTTMP1">
    <vt:lpwstr>20829656:2;25441697;17929257;20029519;17923198;17929642;17926253;23762313;13093721;25150272;23532097;23793851;10537746;22269131;7818977;11269651</vt:lpwstr>
  </property>
  <property fmtid="{D5CDD505-2E9C-101B-9397-08002B2CF9AE}" pid="7" name="DATE">
    <vt:lpwstr>20210608</vt:lpwstr>
  </property>
  <property fmtid="{D5CDD505-2E9C-101B-9397-08002B2CF9AE}" pid="8" name="ISABSTRACT">
    <vt:lpwstr>Y</vt:lpwstr>
  </property>
  <property fmtid="{D5CDD505-2E9C-101B-9397-08002B2CF9AE}" pid="9" name="JUDGE">
    <vt:lpwstr>נ' הנדל;ג' קרא;א' שטיין</vt:lpwstr>
  </property>
  <property fmtid="{D5CDD505-2E9C-101B-9397-08002B2CF9AE}" pid="10" name="LAWLISTTMP1">
    <vt:lpwstr>70301/300.a.2:5;301b:2;301a.a.7:12;005.a:3;301a.a.1:8;301b.a:2;301b.b.1;301.b.2;300.a:2;301.b;301b.b:2;301.b.a;300a:2;301a.a;301a:2;345.b.4;368c</vt:lpwstr>
  </property>
  <property fmtid="{D5CDD505-2E9C-101B-9397-08002B2CF9AE}" pid="11" name="LAWLISTTMP2">
    <vt:lpwstr>70348/025.b</vt:lpwstr>
  </property>
  <property fmtid="{D5CDD505-2E9C-101B-9397-08002B2CF9AE}" pid="12" name="LAWLISTTMP3">
    <vt:lpwstr>75025/030b:8;010;009</vt:lpwstr>
  </property>
  <property fmtid="{D5CDD505-2E9C-101B-9397-08002B2CF9AE}" pid="13" name="LAWYER">
    <vt:lpwstr>אופיר טישלר;רות אדלר;גיל פרידמן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4">
    <vt:lpwstr>עונשין</vt:lpwstr>
  </property>
  <property fmtid="{D5CDD505-2E9C-101B-9397-08002B2CF9AE}" pid="19" name="NOSE15">
    <vt:lpwstr>עונשין</vt:lpwstr>
  </property>
  <property fmtid="{D5CDD505-2E9C-101B-9397-08002B2CF9AE}" pid="20" name="NOSE1ID">
    <vt:lpwstr>77;77;77;77;77</vt:lpwstr>
  </property>
  <property fmtid="{D5CDD505-2E9C-101B-9397-08002B2CF9AE}" pid="21" name="NOSE21">
    <vt:lpwstr>עבירת הרצח</vt:lpwstr>
  </property>
  <property fmtid="{D5CDD505-2E9C-101B-9397-08002B2CF9AE}" pid="22" name="NOSE22">
    <vt:lpwstr>עבירת הרצח</vt:lpwstr>
  </property>
  <property fmtid="{D5CDD505-2E9C-101B-9397-08002B2CF9AE}" pid="23" name="NOSE23">
    <vt:lpwstr>עבירת הרצח</vt:lpwstr>
  </property>
  <property fmtid="{D5CDD505-2E9C-101B-9397-08002B2CF9AE}" pid="24" name="NOSE24">
    <vt:lpwstr>עבירת הרצח</vt:lpwstr>
  </property>
  <property fmtid="{D5CDD505-2E9C-101B-9397-08002B2CF9AE}" pid="25" name="NOSE25">
    <vt:lpwstr>עבירות</vt:lpwstr>
  </property>
  <property fmtid="{D5CDD505-2E9C-101B-9397-08002B2CF9AE}" pid="26" name="NOSE2ID">
    <vt:lpwstr>12455;12455;12455;12455;1443</vt:lpwstr>
  </property>
  <property fmtid="{D5CDD505-2E9C-101B-9397-08002B2CF9AE}" pid="27" name="NOSE31">
    <vt:lpwstr>אכזריות מיוחדת או תוך התעללות גופנית או נפשית בקורבן</vt:lpwstr>
  </property>
  <property fmtid="{D5CDD505-2E9C-101B-9397-08002B2CF9AE}" pid="28" name="NOSE32">
    <vt:lpwstr>עונש מופחת</vt:lpwstr>
  </property>
  <property fmtid="{D5CDD505-2E9C-101B-9397-08002B2CF9AE}" pid="29" name="NOSE33">
    <vt:lpwstr>קנטור</vt:lpwstr>
  </property>
  <property fmtid="{D5CDD505-2E9C-101B-9397-08002B2CF9AE}" pid="30" name="NOSE34">
    <vt:lpwstr>תיקון 137</vt:lpwstr>
  </property>
  <property fmtid="{D5CDD505-2E9C-101B-9397-08002B2CF9AE}" pid="31" name="NOSE35">
    <vt:lpwstr>רצח בכוונה תחילה</vt:lpwstr>
  </property>
  <property fmtid="{D5CDD505-2E9C-101B-9397-08002B2CF9AE}" pid="32" name="NOSE3ID">
    <vt:lpwstr>;15787;12456;18905;17798</vt:lpwstr>
  </property>
  <property fmtid="{D5CDD505-2E9C-101B-9397-08002B2CF9AE}" pid="33" name="PADIDATE">
    <vt:lpwstr>20210609</vt:lpwstr>
  </property>
  <property fmtid="{D5CDD505-2E9C-101B-9397-08002B2CF9AE}" pid="34" name="PADIMAIL">
    <vt:lpwstr>YES</vt:lpwstr>
  </property>
  <property fmtid="{D5CDD505-2E9C-101B-9397-08002B2CF9AE}" pid="35" name="PROCESS">
    <vt:lpwstr>עפ</vt:lpwstr>
  </property>
  <property fmtid="{D5CDD505-2E9C-101B-9397-08002B2CF9AE}" pid="36" name="PROCNUM">
    <vt:lpwstr>8363</vt:lpwstr>
  </property>
  <property fmtid="{D5CDD505-2E9C-101B-9397-08002B2CF9AE}" pid="37" name="PROCYEAR">
    <vt:lpwstr>19</vt:lpwstr>
  </property>
  <property fmtid="{D5CDD505-2E9C-101B-9397-08002B2CF9AE}" pid="38" name="PSAKDIN">
    <vt:lpwstr>פסק-דין</vt:lpwstr>
  </property>
  <property fmtid="{D5CDD505-2E9C-101B-9397-08002B2CF9AE}" pid="39" name="TYPE">
    <vt:lpwstr>1</vt:lpwstr>
  </property>
  <property fmtid="{D5CDD505-2E9C-101B-9397-08002B2CF9AE}" pid="40" name="TYPE_ABS_DATE">
    <vt:lpwstr>410120210608</vt:lpwstr>
  </property>
  <property fmtid="{D5CDD505-2E9C-101B-9397-08002B2CF9AE}" pid="41" name="TYPE_N_DATE">
    <vt:lpwstr>41020210608</vt:lpwstr>
  </property>
  <property fmtid="{D5CDD505-2E9C-101B-9397-08002B2CF9AE}" pid="42" name="WORDNUMPAGES">
    <vt:lpwstr>22</vt:lpwstr>
  </property>
</Properties>
</file>