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8381/17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8431/17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8381/17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8431/17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איכילוב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8381/17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איכילוב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8431/17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  <w:sz w:val="28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בחיפה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19536-12-16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14.9.2018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קוטון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8381/17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8431/17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8431/17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8381/17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סגרון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8431/17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התייצבות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וערעור שכנגד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שניתן בעקבות הרשעת המערער במסגרת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בעבירת חבלה חמורה בנסיבות מחמירות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דקירה ותקיפה של המתלונן על רקע סכסוך 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העונש שנגזר אינו עולה בקנה אחד עם חומרת מעשיו של המערער והחבלות הגופניות והנפשיות שנגרמו 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ערעור המערער נדחה וערעור המשיבה התקבל בחלקו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שעונש המאסר בפועל הוחמר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cs="Times New Roman" w:ascii="Times New Roman" w:hAnsi="Times New Roman"/>
          <w:spacing w:val="0"/>
          <w:sz w:val="24"/>
          <w:szCs w:val="26"/>
        </w:rPr>
        <w:t>34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לרבות הפיצוי למתלונן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–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וערעור שכנגד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במסגרתו נגזרו על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8431/17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והמשיב ב</w:t>
      </w:r>
      <w:hyperlink r:id="rId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8381/17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לצד מאסר על תנאי ופיצוי למתלונן בסך </w:t>
      </w:r>
      <w:r>
        <w:rPr>
          <w:rFonts w:cs="Times New Roman" w:ascii="Times New Roman" w:hAnsi="Times New Roman"/>
          <w:spacing w:val="0"/>
          <w:szCs w:val="26"/>
        </w:rPr>
        <w:t>25,000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בעקבות הרשעתו במסגרת 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בעבירת חבלה חמורה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דקירה ותקיפה של המתלונן על רקע סכסוך קודם והותרתו כשהוא פצוע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להזעיק עזרה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משיג על חומרת העונש וגובה הפיצוי שהוטל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 משיגה על קולת 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ערעור המערער וקיבל בחלקו את ערעור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מהטעמים 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נמנה עם אותם מקרים המצדיקים התערבות ערכאת 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קולת העונש שנגזר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עולה בקנה אחד עם חומרת מעשיו והחבלות הגופניות והנפשיות שנגרמו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הפסיקה הדגישה לא אחת את החומרה הטמונה בנקיטת אלימות לצורך פתרון סכסוכים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עשיית דין עצמי והתעלמות מהוראות החוק אשר מובילה פעמים רבות לפגיעה בגוף ובנפש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עלולה לגרום לאובדן 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 מסכנת את שלום הציבור וביטחונו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מדיניות הענישה לשקף חומרה זו ועל העונש שנגזר לבטא את הסלידה שיש ממעשי אלימות ואכזריות 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והשלכותיהם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קוטון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19536-12-16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14.9.2017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8431/17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8381/17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16.3.2017</w:t>
      </w:r>
      <w:r>
        <w:rPr>
          <w:rtl w:val="true"/>
        </w:rPr>
        <w:t xml:space="preserve">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בעבירת חבלה חמורה בנסיבות מחמירות </w:t>
      </w:r>
      <w:r>
        <w:rPr>
          <w:rtl w:val="true"/>
        </w:rPr>
        <w:t>(</w:t>
      </w:r>
      <w:r>
        <w:rPr>
          <w:rtl w:val="true"/>
        </w:rPr>
        <w:t>שימוש בנשק קר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ועזב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ובעבר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ומהתקיפה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tl w:val="true"/>
        </w:rPr>
        <w:t xml:space="preserve">: </w:t>
      </w:r>
      <w:r>
        <w:rPr>
          <w:rtl w:val="true"/>
        </w:rPr>
        <w:t>חתכים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שברים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ופצעים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וחתכים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הסדר הטיעון בין הצדדים לא כלל הסכמה לעניין העונש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נרשמה הסכמה עובדתית ביניהם</w:t>
      </w:r>
      <w:r>
        <w:rPr>
          <w:rtl w:val="true"/>
        </w:rPr>
        <w:t xml:space="preserve">, </w:t>
      </w:r>
      <w:r>
        <w:rPr>
          <w:rtl w:val="true"/>
        </w:rPr>
        <w:t xml:space="preserve">לפיה 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התרחש אירוע</w:t>
      </w:r>
      <w:r>
        <w:rPr>
          <w:rtl w:val="true"/>
        </w:rPr>
        <w:t xml:space="preserve">, </w:t>
      </w:r>
      <w:r>
        <w:rPr>
          <w:rtl w:val="true"/>
        </w:rPr>
        <w:t>במהלכו החזיק המתלונן סכין</w:t>
      </w:r>
      <w:r>
        <w:rPr>
          <w:rtl w:val="true"/>
        </w:rPr>
        <w:t xml:space="preserve">, </w:t>
      </w:r>
      <w:r>
        <w:rPr>
          <w:rtl w:val="true"/>
        </w:rPr>
        <w:t>והמערער חשש מפניו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הרשעת המערער</w:t>
      </w:r>
      <w:r>
        <w:rPr>
          <w:rtl w:val="true"/>
        </w:rPr>
        <w:t xml:space="preserve">, </w:t>
      </w:r>
      <w:r>
        <w:rPr>
          <w:rtl w:val="true"/>
        </w:rPr>
        <w:t>נערכו בעניינו מספר תסקירים על</w:t>
      </w:r>
      <w:r>
        <w:rPr>
          <w:rtl w:val="true"/>
        </w:rPr>
        <w:t>-</w:t>
      </w:r>
      <w:r>
        <w:rPr>
          <w:rtl w:val="true"/>
        </w:rPr>
        <w:t>ידי שירות המבחן</w:t>
      </w:r>
      <w:r>
        <w:rPr>
          <w:rtl w:val="true"/>
        </w:rPr>
        <w:t xml:space="preserve">, </w:t>
      </w:r>
      <w:r>
        <w:rPr>
          <w:rtl w:val="true"/>
        </w:rPr>
        <w:t>מהם עולה כי הוא לוקח אחריות על ביצוע העבירה</w:t>
      </w:r>
      <w:r>
        <w:rPr>
          <w:rtl w:val="true"/>
        </w:rPr>
        <w:t xml:space="preserve">, </w:t>
      </w:r>
      <w:r>
        <w:rPr>
          <w:rtl w:val="true"/>
        </w:rPr>
        <w:t>חש חרטה</w:t>
      </w:r>
      <w:r>
        <w:rPr>
          <w:rtl w:val="true"/>
        </w:rPr>
        <w:t xml:space="preserve">, </w:t>
      </w:r>
      <w:r>
        <w:rPr>
          <w:rtl w:val="true"/>
        </w:rPr>
        <w:t>וכלשון האמור בתסקיר</w:t>
      </w:r>
      <w:r>
        <w:rPr>
          <w:rtl w:val="true"/>
        </w:rPr>
        <w:t>, "</w:t>
      </w:r>
      <w:r>
        <w:rPr>
          <w:rtl w:val="true"/>
        </w:rPr>
        <w:t>תחושות ראשוניות של בושה ואשמה</w:t>
      </w:r>
      <w:r>
        <w:rPr>
          <w:rtl w:val="true"/>
        </w:rPr>
        <w:t xml:space="preserve">", </w:t>
      </w:r>
      <w:r>
        <w:rPr>
          <w:rtl w:val="true"/>
        </w:rPr>
        <w:t>וכן מפגין אמפתיה מסוימת כלפי המתלונן בגין הפגיעות והנזק שגרם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",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נאמר בתסקירים כי למערער נטייה לבצע עבירות אלימות</w:t>
      </w:r>
      <w:r>
        <w:rPr>
          <w:rtl w:val="true"/>
        </w:rPr>
        <w:t xml:space="preserve">, </w:t>
      </w:r>
      <w:r>
        <w:rPr>
          <w:rtl w:val="true"/>
        </w:rPr>
        <w:t>ואינו נרתע מלבצען</w:t>
      </w:r>
      <w:r>
        <w:rPr>
          <w:rtl w:val="true"/>
        </w:rPr>
        <w:t xml:space="preserve">, </w:t>
      </w:r>
      <w:r>
        <w:rPr>
          <w:rtl w:val="true"/>
        </w:rPr>
        <w:t>כעולה מעברו הפלילי</w:t>
      </w:r>
      <w:r>
        <w:rPr>
          <w:rtl w:val="true"/>
        </w:rPr>
        <w:t xml:space="preserve">, </w:t>
      </w:r>
      <w:r>
        <w:rPr>
          <w:rtl w:val="true"/>
        </w:rPr>
        <w:t xml:space="preserve">המונה שש הרשעות קודמות בעבירות אלימות בין השנים </w:t>
      </w:r>
      <w:r>
        <w:rPr/>
        <w:t>2010-1999</w:t>
      </w:r>
      <w:r>
        <w:rPr>
          <w:rtl w:val="true"/>
        </w:rPr>
        <w:t xml:space="preserve">, </w:t>
      </w:r>
      <w:r>
        <w:rPr>
          <w:rtl w:val="true"/>
        </w:rPr>
        <w:t>ומשני עונשי מאסר בפועל שנגזרו עליו בעבר ורוצו בדרך של 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רקע כל האמור</w:t>
      </w:r>
      <w:r>
        <w:rPr>
          <w:rtl w:val="true"/>
        </w:rPr>
        <w:t xml:space="preserve">, </w:t>
      </w:r>
      <w:r>
        <w:rPr>
          <w:rtl w:val="true"/>
        </w:rPr>
        <w:t>העריך קצין המבחן את הסיכון הנשקף מהמערער להישנות עבירות דומות כ</w:t>
      </w:r>
      <w:r>
        <w:rPr>
          <w:rtl w:val="true"/>
        </w:rPr>
        <w:t>"</w:t>
      </w:r>
      <w:r>
        <w:rPr>
          <w:rtl w:val="true"/>
        </w:rPr>
        <w:t>בינוני</w:t>
      </w:r>
      <w:r>
        <w:rPr>
          <w:rtl w:val="true"/>
        </w:rPr>
        <w:t xml:space="preserve">", </w:t>
      </w:r>
      <w:r>
        <w:rPr>
          <w:rtl w:val="true"/>
        </w:rPr>
        <w:t xml:space="preserve">וציין כי הסיכון עשוי </w:t>
      </w:r>
      <w:r>
        <w:rPr>
          <w:rtl w:val="true"/>
        </w:rPr>
        <w:t>"</w:t>
      </w:r>
      <w:r>
        <w:rPr>
          <w:rtl w:val="true"/>
        </w:rPr>
        <w:t>להצטמצם בעקבות התערבות טיפולית אינטנסיבית</w:t>
      </w:r>
      <w:r>
        <w:rPr>
          <w:rtl w:val="true"/>
        </w:rPr>
        <w:t xml:space="preserve">, </w:t>
      </w:r>
      <w:r>
        <w:rPr>
          <w:rtl w:val="true"/>
        </w:rPr>
        <w:t>ממוקדת בתחום של שליטה בכעסים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המליץ קצין המבחן בתסקיריו על דחיית מועד מתן גזר הדין לצורך שילוב המערער בהליך טיפולי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דחה בית משפט קמא את מועד מתן גזר הדין פעמיים לצורך עריכת תסקירים משלימים ובחינת קיומו של הליך של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 </w:t>
      </w:r>
      <w:r>
        <w:rPr>
          <w:rtl w:val="true"/>
        </w:rPr>
        <w:t>או הליכים טיפוליים</w:t>
      </w:r>
      <w:r>
        <w:rPr>
          <w:rtl w:val="true"/>
        </w:rPr>
        <w:t xml:space="preserve">, </w:t>
      </w:r>
      <w:r>
        <w:rPr>
          <w:rtl w:val="true"/>
        </w:rPr>
        <w:t>וזאת בניגוד לעמדת המערערת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8381/17</w:t>
      </w:r>
      <w:r>
        <w:rPr>
          <w:rtl w:val="true"/>
        </w:rPr>
        <w:t xml:space="preserve"> </w:t>
      </w:r>
      <w:r>
        <w:rPr>
          <w:rtl w:val="true"/>
        </w:rPr>
        <w:t xml:space="preserve">והמשיבה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8431/17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אם כי משך הדחיה היה קצר מזה שהתבקש על</w:t>
      </w:r>
      <w:r>
        <w:rPr>
          <w:rtl w:val="true"/>
        </w:rPr>
        <w:t>-</w:t>
      </w:r>
      <w:r>
        <w:rPr>
          <w:rtl w:val="true"/>
        </w:rPr>
        <w:t>ידי קצין המבחן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לא קיבל את המלצת קצין המבחן בתסקירו האחרון מיום </w:t>
      </w:r>
      <w:r>
        <w:rPr/>
        <w:t>5.9.2017</w:t>
      </w:r>
      <w:r>
        <w:rPr>
          <w:rtl w:val="true"/>
        </w:rPr>
        <w:t xml:space="preserve"> </w:t>
      </w:r>
      <w:r>
        <w:rPr>
          <w:rtl w:val="true"/>
        </w:rPr>
        <w:t>לדחייה נוספת במועד מתן גזר הדין לצורך שילוב המערער בסדנה טיפולית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נערך תסקיר נפגע עבירה בעניינו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ממנו ניתן ללמוד כי הלה סובל </w:t>
      </w:r>
      <w:r>
        <w:rPr>
          <w:rtl w:val="true"/>
        </w:rPr>
        <w:t>"</w:t>
      </w:r>
      <w:r>
        <w:rPr>
          <w:rtl w:val="true"/>
        </w:rPr>
        <w:t>מהשלכות קשות של הפגיעה בו במישור הנפשי</w:t>
      </w:r>
      <w:r>
        <w:rPr>
          <w:rtl w:val="true"/>
        </w:rPr>
        <w:t xml:space="preserve">, </w:t>
      </w:r>
      <w:r>
        <w:rPr>
          <w:rtl w:val="true"/>
        </w:rPr>
        <w:t>התפקודי והכלכלי</w:t>
      </w:r>
      <w:r>
        <w:rPr>
          <w:rtl w:val="true"/>
        </w:rPr>
        <w:t xml:space="preserve">", </w:t>
      </w:r>
      <w:r>
        <w:rPr>
          <w:rtl w:val="true"/>
        </w:rPr>
        <w:t xml:space="preserve">תוך שצוין כי </w:t>
      </w:r>
      <w:r>
        <w:rPr>
          <w:rtl w:val="true"/>
        </w:rPr>
        <w:t>"</w:t>
      </w:r>
      <w:r>
        <w:rPr>
          <w:rtl w:val="true"/>
        </w:rPr>
        <w:t>התקיפה גרמה לשינוי דרמטי באורחות חייו ובדימויו העצמי</w:t>
      </w:r>
      <w:r>
        <w:rPr>
          <w:rtl w:val="true"/>
        </w:rPr>
        <w:t xml:space="preserve">, </w:t>
      </w:r>
      <w:r>
        <w:rPr>
          <w:rtl w:val="true"/>
        </w:rPr>
        <w:t>והוא שרוי מאז במצוקה קשה אשר בלתי ניתנת להכלה</w:t>
      </w:r>
      <w:r>
        <w:rPr>
          <w:rtl w:val="true"/>
        </w:rPr>
        <w:t xml:space="preserve">".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הומלץ כי ענישת המערער תכלול פיצוי משמעותי למתלונן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לאחר עיון בתסקירים ושמיעת טיעוני באי כוח הצדדים והמערער עצמו</w:t>
      </w:r>
      <w:r>
        <w:rPr>
          <w:rtl w:val="true"/>
        </w:rPr>
        <w:t xml:space="preserve">, </w:t>
      </w:r>
      <w:r>
        <w:rPr>
          <w:rtl w:val="true"/>
        </w:rPr>
        <w:t>שהביע צער על מעשיו</w:t>
      </w:r>
      <w:r>
        <w:rPr>
          <w:rtl w:val="true"/>
        </w:rPr>
        <w:t xml:space="preserve">, </w:t>
      </w:r>
      <w:r>
        <w:rPr>
          <w:rtl w:val="true"/>
        </w:rPr>
        <w:t>גזר עליו בית משפט קמא את העונשים כדלקמן</w:t>
      </w:r>
      <w:r>
        <w:rPr>
          <w:rtl w:val="true"/>
        </w:rPr>
        <w:t xml:space="preserve">: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>
          <w:rtl w:val="true"/>
        </w:rPr>
        <w:t>עשרה חודשי מאסר על תנאי למשך שלוש שנים שלא יעבור כל עבירת אלימות מסוג פשע</w:t>
      </w:r>
      <w:r>
        <w:rPr>
          <w:rtl w:val="true"/>
        </w:rPr>
        <w:t xml:space="preserve">; </w:t>
      </w:r>
      <w:r>
        <w:rPr>
          <w:rtl w:val="true"/>
        </w:rPr>
        <w:t>חמישה חודשי מאסר על תנאי למשך שלוש שנים שלא יעבור כל עבירת אלימות מסוג עוון</w:t>
      </w:r>
      <w:r>
        <w:rPr>
          <w:rtl w:val="true"/>
        </w:rPr>
        <w:t xml:space="preserve">, </w:t>
      </w:r>
      <w:r>
        <w:rPr>
          <w:rtl w:val="true"/>
        </w:rPr>
        <w:t xml:space="preserve">לרבות איומים ולמעט עבירת תגרה 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ופיצוי למתלונן בסך של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Style14"/>
        <w:ind w:start="-52"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>
          <w:rFonts w:ascii="Arial TUR" w:hAnsi="Arial TUR" w:cs="Arial TUR"/>
          <w:sz w:val="22"/>
        </w:rPr>
      </w:pPr>
      <w:r>
        <w:rPr>
          <w:rFonts w:ascii="Arial TUR" w:hAnsi="Arial TUR" w:cs="Arial TUR"/>
          <w:sz w:val="22"/>
          <w:sz w:val="22"/>
          <w:rtl w:val="true"/>
        </w:rPr>
        <w:t>בגזר הדין התייחס בית משפט קמא לפגיעה בערכים המוגנים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בכלל זה לפגיעה בשלמות הגוף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בשלוות הנפש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בביטחון האישי ובכבוד האדם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ולצורך למגר מעשי אלימות</w:t>
      </w:r>
      <w:r>
        <w:rPr>
          <w:rFonts w:cs="Arial TUR" w:ascii="Arial TUR" w:hAnsi="Arial TUR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  <w:r>
        <w:rPr>
          <w:rFonts w:ascii="Arial TUR" w:hAnsi="Arial TUR" w:cs="Arial TUR"/>
          <w:sz w:val="22"/>
          <w:sz w:val="22"/>
          <w:rtl w:val="true"/>
        </w:rPr>
        <w:t>כן הדגיש בית משפט קמא את חומרת מעשיו של המ</w:t>
      </w:r>
      <w:r>
        <w:rPr>
          <w:rtl w:val="true"/>
        </w:rPr>
        <w:t>ערער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בציינו כי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Arial TUR" w:hAnsi="Arial TUR" w:cs="Arial TUR"/>
          <w:sz w:val="22"/>
          <w:sz w:val="22"/>
          <w:rtl w:val="true"/>
        </w:rPr>
        <w:t>נעשו באישון לילה כלפי המתלונן בו פגש באקראי מבלי שקדמה למעשים התגרות כלשהי מצד המתלונן</w:t>
      </w:r>
      <w:r>
        <w:rPr>
          <w:rFonts w:cs="Arial TUR" w:ascii="Arial TUR" w:hAnsi="Arial TUR"/>
          <w:sz w:val="22"/>
          <w:rtl w:val="true"/>
        </w:rPr>
        <w:t xml:space="preserve">", </w:t>
      </w:r>
      <w:r>
        <w:rPr>
          <w:rFonts w:ascii="Arial TUR" w:hAnsi="Arial TUR" w:cs="Arial TUR"/>
          <w:sz w:val="22"/>
          <w:sz w:val="22"/>
          <w:rtl w:val="true"/>
        </w:rPr>
        <w:t>כלשון גזר הדין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תוך שהוסיף כי לא ניתן לראות באירוע משנת </w:t>
      </w:r>
      <w:r>
        <w:rPr>
          <w:rFonts w:cs="Arial TUR" w:ascii="Arial TUR" w:hAnsi="Arial TUR"/>
          <w:sz w:val="22"/>
        </w:rPr>
        <w:t>2014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במהלכו איים המתלונן על המערער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כנסיבה מוצדקת להתנהגות האחרון</w:t>
      </w:r>
      <w:r>
        <w:rPr>
          <w:rFonts w:cs="Arial TUR" w:ascii="Arial TUR" w:hAnsi="Arial TUR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שקל לחובת המערער את עברו הפלילי ואת עונשי המאסר בפועל שנגזרו עליו בעבר ואותם ריצה במסגרת עבודות שירות</w:t>
      </w:r>
      <w:r>
        <w:rPr>
          <w:rtl w:val="true"/>
        </w:rPr>
        <w:t xml:space="preserve">, </w:t>
      </w:r>
      <w:r>
        <w:rPr>
          <w:rtl w:val="true"/>
        </w:rPr>
        <w:t>ואשר לא היה בהם כדי להרתיעו מביצוע העבירה במקרה דנן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מנה בית משפט קמא שיקולים לקולא</w:t>
      </w:r>
      <w:r>
        <w:rPr>
          <w:rtl w:val="true"/>
        </w:rPr>
        <w:t xml:space="preserve">, </w:t>
      </w:r>
      <w:r>
        <w:rPr>
          <w:rtl w:val="true"/>
        </w:rPr>
        <w:t>בכלל זה את הודאת המערער</w:t>
      </w:r>
      <w:r>
        <w:rPr>
          <w:rtl w:val="true"/>
        </w:rPr>
        <w:t xml:space="preserve">, </w:t>
      </w:r>
      <w:r>
        <w:rPr>
          <w:rtl w:val="true"/>
        </w:rPr>
        <w:t>אותה ראה כמבטאת נטילת אחריות והבעת חרטה</w:t>
      </w:r>
      <w:r>
        <w:rPr>
          <w:rtl w:val="true"/>
        </w:rPr>
        <w:t xml:space="preserve">, </w:t>
      </w:r>
      <w:r>
        <w:rPr>
          <w:rtl w:val="true"/>
        </w:rPr>
        <w:t>ואשר הובילה לחסכון בזמן שיפוטי וייתרה את הצורך בהעדת המתלונן</w:t>
      </w:r>
      <w:r>
        <w:rPr>
          <w:rtl w:val="true"/>
        </w:rPr>
        <w:t xml:space="preserve">. </w:t>
      </w:r>
      <w:r>
        <w:rPr>
          <w:rtl w:val="true"/>
        </w:rPr>
        <w:t>עוד התייחס בית משפט קמא לתסקירי שירות המבחן</w:t>
      </w:r>
      <w:r>
        <w:rPr>
          <w:rtl w:val="true"/>
        </w:rPr>
        <w:t xml:space="preserve">, </w:t>
      </w:r>
      <w:r>
        <w:rPr>
          <w:rtl w:val="true"/>
        </w:rPr>
        <w:t>שפורטו לעיל</w:t>
      </w:r>
      <w:r>
        <w:rPr>
          <w:rtl w:val="true"/>
        </w:rPr>
        <w:t xml:space="preserve">, </w:t>
      </w:r>
      <w:r>
        <w:rPr>
          <w:rtl w:val="true"/>
        </w:rPr>
        <w:t xml:space="preserve">מהם נלמד על נכונות המערער ליטול חלק בהליך של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>".</w:t>
      </w:r>
    </w:p>
    <w:p>
      <w:pPr>
        <w:pStyle w:val="Style14"/>
        <w:ind w:start="-52" w:end="0"/>
        <w:jc w:val="start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;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; </w:t>
      </w:r>
      <w:r>
        <w:rPr>
          <w:rtl w:val="true"/>
        </w:rPr>
        <w:t>בשחרורו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tl w:val="true"/>
        </w:rPr>
        <w:t xml:space="preserve">; </w:t>
      </w:r>
      <w:r>
        <w:rPr>
          <w:rtl w:val="true"/>
        </w:rPr>
        <w:t>ובפרק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את מתחם העונש ההולם על בין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וגזר עליו את העונשים כאמור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על גזר דין זה הוגשו ערעור המערער על חומרת העונש וערעור המשיבה על קולת העונש</w:t>
      </w:r>
      <w:r>
        <w:rPr>
          <w:rtl w:val="true"/>
        </w:rPr>
        <w:t xml:space="preserve">, </w:t>
      </w:r>
      <w:r>
        <w:rPr>
          <w:rtl w:val="true"/>
        </w:rPr>
        <w:t>וכל אחד מטעמיו ונימוקיו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start="-52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בערעור על חומרת העונש וגובה הפיצוי שהוטל עליו</w:t>
      </w:r>
      <w:r>
        <w:rPr>
          <w:rtl w:val="true"/>
        </w:rPr>
        <w:t xml:space="preserve">, </w:t>
      </w:r>
      <w:r>
        <w:rPr>
          <w:rtl w:val="true"/>
        </w:rPr>
        <w:t>טען המערער כי שגה בית משפט קמא עת לא אפשר לו להתחיל הליך שיקום טרם נגזר דינו</w:t>
      </w:r>
      <w:r>
        <w:rPr>
          <w:rtl w:val="true"/>
        </w:rPr>
        <w:t xml:space="preserve">, </w:t>
      </w:r>
      <w:r>
        <w:rPr>
          <w:rtl w:val="true"/>
        </w:rPr>
        <w:t>וזאת בניגוד להמלצת שירות המבחן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הפיצוי בו חויב לשלם למתלונן</w:t>
      </w:r>
      <w:r>
        <w:rPr>
          <w:rtl w:val="true"/>
        </w:rPr>
        <w:t xml:space="preserve">, </w:t>
      </w:r>
      <w:r>
        <w:rPr>
          <w:rtl w:val="true"/>
        </w:rPr>
        <w:t>טען כי נקבע באופן שרירותי</w:t>
      </w:r>
      <w:r>
        <w:rPr>
          <w:rtl w:val="true"/>
        </w:rPr>
        <w:t xml:space="preserve">, </w:t>
      </w:r>
      <w:r>
        <w:rPr>
          <w:rtl w:val="true"/>
        </w:rPr>
        <w:t>ללא שהונחו בפניו הנתונים המתאימים לצורך כך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ערעור המשיבה נסוב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קולת העונש שנגזר על המערער</w:t>
      </w:r>
      <w:r>
        <w:rPr>
          <w:rtl w:val="true"/>
        </w:rPr>
        <w:t xml:space="preserve">.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עונש המאסר בפועל שנגזר אינו הולם את מדיניות הענישה הראויה בעבירות אלימות חמורות</w:t>
      </w:r>
      <w:r>
        <w:rPr>
          <w:rtl w:val="true"/>
        </w:rPr>
        <w:t xml:space="preserve">, </w:t>
      </w:r>
      <w:r>
        <w:rPr>
          <w:rtl w:val="true"/>
        </w:rPr>
        <w:t>וכן את חומרת מעשיו של המערער והאכזריות אותה הפגין כלפי המתלונן</w:t>
      </w:r>
      <w:r>
        <w:rPr>
          <w:rtl w:val="true"/>
        </w:rPr>
        <w:t xml:space="preserve">, </w:t>
      </w:r>
      <w:r>
        <w:rPr>
          <w:rtl w:val="true"/>
        </w:rPr>
        <w:t>כמתואר במסכת העובדתית שבכתב האישום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הדגישה המשיבה את הנזקים הקשים שנגרמו למתלונן כתוצאה מתקיפתו האלימה והחבלות שנגרמו לו עקב כך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;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start="-52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לאחר עיון בערעורי הצדדים</w:t>
      </w:r>
      <w:r>
        <w:rPr>
          <w:rtl w:val="true"/>
        </w:rPr>
        <w:t xml:space="preserve">, </w:t>
      </w:r>
      <w:r>
        <w:rPr>
          <w:rtl w:val="true"/>
        </w:rPr>
        <w:t>ושמיעת טיעוניהם וטיעוני קצינת שירות המבחן בפנינו</w:t>
      </w:r>
      <w:r>
        <w:rPr>
          <w:rtl w:val="true"/>
        </w:rPr>
        <w:t xml:space="preserve">, </w:t>
      </w:r>
      <w:r>
        <w:rPr>
          <w:rtl w:val="true"/>
        </w:rPr>
        <w:t>באנו לכלל מסקנה כי דין הערעור על חומרת העונש להידחות</w:t>
      </w:r>
      <w:r>
        <w:rPr>
          <w:rtl w:val="true"/>
        </w:rPr>
        <w:t xml:space="preserve">, </w:t>
      </w:r>
      <w:r>
        <w:rPr>
          <w:rtl w:val="true"/>
        </w:rPr>
        <w:t>ואילו דין הערעור על קולת העונש להתקבל בחלקו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הלכה היא כי אין ערכאת הערעור נוטה 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>וכי אין היא נוהגת להתערב בחומרת העונש שנגזר עליו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בנסיבות בהן גזר הדין מגלה סטייה מהותית ובולטת או חריגה קיצונית מהענישה המקובלת במקרים דומים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105/17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זיתוני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 xml:space="preserve">דעתי </w:t>
      </w:r>
      <w:r>
        <w:rPr>
          <w:rtl w:val="true"/>
        </w:rPr>
        <w:t>(</w:t>
      </w:r>
      <w:r>
        <w:rPr/>
        <w:t>26.12.2017</w:t>
      </w:r>
      <w:r>
        <w:rPr>
          <w:rtl w:val="true"/>
        </w:rPr>
        <w:t>)).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הפסיקה הדגישה לא אחת את החומרה הטמונה בנקיטת אלימות לצורך פתרון סכסוכים</w:t>
      </w:r>
      <w:r>
        <w:rPr>
          <w:rtl w:val="true"/>
        </w:rPr>
        <w:t xml:space="preserve">, </w:t>
      </w:r>
      <w:r>
        <w:rPr>
          <w:rtl w:val="true"/>
        </w:rPr>
        <w:t xml:space="preserve">תוך עשיית דין עצמי והתעלמות מהוראות החוק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6557/17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10.1.2018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התנהגות אלימה זו מובילה פעמים רבות לפגיעה בגוף ובנפש</w:t>
      </w:r>
      <w:r>
        <w:rPr>
          <w:rtl w:val="true"/>
        </w:rPr>
        <w:t xml:space="preserve">, </w:t>
      </w:r>
      <w:r>
        <w:rPr>
          <w:rtl w:val="true"/>
        </w:rPr>
        <w:t>עלולה לגרום לאובדן חיי אדם</w:t>
      </w:r>
      <w:r>
        <w:rPr>
          <w:rtl w:val="true"/>
        </w:rPr>
        <w:t xml:space="preserve">, </w:t>
      </w:r>
      <w:r>
        <w:rPr>
          <w:rtl w:val="true"/>
        </w:rPr>
        <w:t>ומשכך מסכנת את שלום הציבור וביטחונו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על מדיניות הענישה לשקף חומרה זו</w:t>
      </w:r>
      <w:r>
        <w:rPr>
          <w:rtl w:val="true"/>
        </w:rPr>
        <w:t xml:space="preserve">, </w:t>
      </w:r>
      <w:r>
        <w:rPr>
          <w:rtl w:val="true"/>
        </w:rPr>
        <w:t>שמא עבריינים ימשיכו לעשות דין לעצמם ולנקוט באלימות כמענה לפתרון סכסוכיהם</w:t>
      </w:r>
      <w:r>
        <w:rPr>
          <w:rtl w:val="true"/>
        </w:rPr>
        <w:t xml:space="preserve">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>על העונש שנגזר לבטא את הסלידה שיש ממעשי אלימות ואכזריות כמתואר בכתב האישום שבפנינו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בפנינו התנהגות אלימה ואכזרית כלפי המתלונן</w:t>
      </w:r>
      <w:r>
        <w:rPr>
          <w:rtl w:val="true"/>
        </w:rPr>
        <w:t xml:space="preserve">, </w:t>
      </w:r>
      <w:r>
        <w:rPr>
          <w:rtl w:val="true"/>
        </w:rPr>
        <w:t>דקירתו מספר פעמים</w:t>
      </w:r>
      <w:r>
        <w:rPr>
          <w:rtl w:val="true"/>
        </w:rPr>
        <w:t xml:space="preserve">, </w:t>
      </w:r>
      <w:r>
        <w:rPr>
          <w:rtl w:val="true"/>
        </w:rPr>
        <w:t>תוך התעלמות מחומרת הפגיעות בו וממצבו הקשה</w:t>
      </w:r>
      <w:r>
        <w:rPr>
          <w:rtl w:val="true"/>
        </w:rPr>
        <w:t xml:space="preserve">, </w:t>
      </w:r>
      <w:r>
        <w:rPr>
          <w:rtl w:val="true"/>
        </w:rPr>
        <w:t>ובסופו של יום הותרתו כשהוא פצוע</w:t>
      </w:r>
      <w:r>
        <w:rPr>
          <w:rtl w:val="true"/>
        </w:rPr>
        <w:t xml:space="preserve">, </w:t>
      </w:r>
      <w:r>
        <w:rPr>
          <w:rtl w:val="true"/>
        </w:rPr>
        <w:t>חבול ומדמם</w:t>
      </w:r>
      <w:r>
        <w:rPr>
          <w:rtl w:val="true"/>
        </w:rPr>
        <w:t xml:space="preserve">, </w:t>
      </w:r>
      <w:r>
        <w:rPr>
          <w:rtl w:val="true"/>
        </w:rPr>
        <w:t>מבלי להזעיק עזרה</w:t>
      </w:r>
      <w:r>
        <w:rPr>
          <w:rtl w:val="true"/>
        </w:rPr>
        <w:t xml:space="preserve">. 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הטיעון כי המניע לביצוע המעשים הינו חשש מהמתלונן על רקע איומים משנת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אינו יכול להצדיק התנהגות אלימה ועשיית דין עצמי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ניתן להישאר אדישים אל מול ההשלכות הקשות של אירוע התקיפה על המתלונן</w:t>
      </w:r>
      <w:r>
        <w:rPr>
          <w:rtl w:val="true"/>
        </w:rPr>
        <w:t xml:space="preserve">, </w:t>
      </w:r>
      <w:r>
        <w:rPr>
          <w:rtl w:val="true"/>
        </w:rPr>
        <w:t>כפי שעולה מתסקיר נפגע העבירה שנערך בעניינו</w:t>
      </w:r>
      <w:r>
        <w:rPr>
          <w:rtl w:val="true"/>
        </w:rPr>
        <w:t xml:space="preserve">. </w:t>
      </w:r>
      <w:r>
        <w:rPr>
          <w:rtl w:val="true"/>
        </w:rPr>
        <w:t>מעבר לפגיעות הרפואיות החמורות שנגרמו לו</w:t>
      </w:r>
      <w:r>
        <w:rPr>
          <w:rtl w:val="true"/>
        </w:rPr>
        <w:t xml:space="preserve">, </w:t>
      </w:r>
      <w:r>
        <w:rPr>
          <w:rtl w:val="true"/>
        </w:rPr>
        <w:t>השלכות העבירה ניכרות עליו ועל משפחתו בכל תחומי החיים</w:t>
      </w:r>
      <w:r>
        <w:rPr>
          <w:rtl w:val="true"/>
        </w:rPr>
        <w:t xml:space="preserve">, </w:t>
      </w:r>
      <w:r>
        <w:rPr>
          <w:rtl w:val="true"/>
        </w:rPr>
        <w:t>ואלו נאלצים להתמודד עמן יום ביומו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יודגש כי שקלנו גם את הנסיבות המקלות להן עתר המערער</w:t>
      </w:r>
      <w:r>
        <w:rPr>
          <w:rtl w:val="true"/>
        </w:rPr>
        <w:t xml:space="preserve">, </w:t>
      </w:r>
      <w:r>
        <w:rPr>
          <w:rtl w:val="true"/>
        </w:rPr>
        <w:t>לרבות הודאתו ונכונותו להשתתף בהליכי טיפול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באיזון אל מול השיקולים שנמנו לעיל</w:t>
      </w:r>
      <w:r>
        <w:rPr>
          <w:rtl w:val="true"/>
        </w:rPr>
        <w:t xml:space="preserve">, </w:t>
      </w:r>
      <w:r>
        <w:rPr>
          <w:rtl w:val="true"/>
        </w:rPr>
        <w:t>אין בנסיבות אלה כדי לשנות ממסקנתנו</w:t>
      </w:r>
      <w:r>
        <w:rPr>
          <w:rtl w:val="true"/>
        </w:rPr>
        <w:t xml:space="preserve">, </w:t>
      </w:r>
      <w:r>
        <w:rPr>
          <w:rtl w:val="true"/>
        </w:rPr>
        <w:t>לפיה מתחייבת התערבות בעונש שנגזר</w:t>
      </w:r>
      <w:r>
        <w:rPr>
          <w:rtl w:val="true"/>
        </w:rPr>
        <w:t xml:space="preserve">, </w:t>
      </w:r>
      <w:r>
        <w:rPr>
          <w:rtl w:val="true"/>
        </w:rPr>
        <w:t>כך שיוחמר במידת מה</w:t>
      </w:r>
      <w:r>
        <w:rPr>
          <w:rtl w:val="true"/>
        </w:rPr>
        <w:t xml:space="preserve">, </w:t>
      </w:r>
      <w:r>
        <w:rPr>
          <w:rtl w:val="true"/>
        </w:rPr>
        <w:t>על פי ההלכה לפיה אין ערכאת הערעור ממצה את הדין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  <w:tab/>
        <w:tab/>
      </w:r>
    </w:p>
    <w:p>
      <w:pPr>
        <w:pStyle w:val="Ruller4"/>
        <w:ind w:start="-52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ישכיל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לברך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>אנו סבורים כי העונש שנגזר 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העומד על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אינו משקף את חומרת מעשיו והשלכותיהם על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ומשכך אנו מחליטים להעמיד את העונש על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מצאנו כי אין להפחית מגובה הפיצוי שהושת על המערער</w:t>
      </w:r>
      <w:r>
        <w:rPr>
          <w:rtl w:val="true"/>
        </w:rPr>
        <w:t xml:space="preserve">, </w:t>
      </w:r>
      <w:r>
        <w:rPr>
          <w:rtl w:val="true"/>
        </w:rPr>
        <w:t>בשים לב להשלכות הקשות של העבירה על המתלונן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start="-52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ערעור המערער נדחה וערעור המשיבה מתקבל בחלקו</w:t>
      </w:r>
      <w:r>
        <w:rPr>
          <w:rtl w:val="true"/>
        </w:rPr>
        <w:t xml:space="preserve">, </w:t>
      </w:r>
      <w:r>
        <w:rPr>
          <w:rtl w:val="true"/>
        </w:rPr>
        <w:t xml:space="preserve">באופן זה שעונש המאסר בפועל המוטל על המערער יעמוד על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תחת העונש שקבע בית משפט קמא</w:t>
      </w:r>
      <w:r>
        <w:rPr>
          <w:rtl w:val="true"/>
        </w:rPr>
        <w:t xml:space="preserve">. </w:t>
      </w:r>
      <w:r>
        <w:rPr>
          <w:rtl w:val="true"/>
        </w:rPr>
        <w:t>יתר רכיבי הענישה</w:t>
      </w:r>
      <w:r>
        <w:rPr>
          <w:rtl w:val="true"/>
        </w:rPr>
        <w:t xml:space="preserve">, </w:t>
      </w:r>
      <w:r>
        <w:rPr>
          <w:rtl w:val="true"/>
        </w:rPr>
        <w:t>לרבות הפיצוי למתלונן</w:t>
      </w:r>
      <w:r>
        <w:rPr>
          <w:rtl w:val="true"/>
        </w:rPr>
        <w:t xml:space="preserve">, </w:t>
      </w:r>
      <w:r>
        <w:rPr>
          <w:rtl w:val="true"/>
        </w:rPr>
        <w:t>יוותרו על כנם</w:t>
      </w:r>
      <w:r>
        <w:rPr>
          <w:rtl w:val="true"/>
        </w:rPr>
        <w:t>.</w:t>
      </w:r>
    </w:p>
    <w:p>
      <w:pPr>
        <w:pStyle w:val="Ruller4"/>
        <w:ind w:start="-52" w:end="0"/>
        <w:jc w:val="both"/>
        <w:rPr/>
      </w:pPr>
      <w:r>
        <w:rPr>
          <w:rtl w:val="true"/>
        </w:rPr>
      </w:r>
    </w:p>
    <w:p>
      <w:pPr>
        <w:pStyle w:val="Ruller4"/>
        <w:ind w:start="-52"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24.4.2018</w:t>
      </w:r>
      <w:r>
        <w:rPr>
          <w:rtl w:val="true"/>
        </w:rPr>
        <w:t xml:space="preserve">). </w:t>
        <w:tab/>
        <w:tab/>
        <w:tab/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17083810</w:t>
      </w:r>
      <w:r>
        <w:rPr>
          <w:sz w:val="16"/>
          <w:rtl w:val="true"/>
        </w:rPr>
        <w:t>_</w:t>
      </w:r>
      <w:r>
        <w:rPr>
          <w:sz w:val="16"/>
        </w:rPr>
        <w:t>J03.doc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54678313-8381/17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8381/17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טל איכילוב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191"/>
        </w:tabs>
        <w:ind w:start="284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4">
    <w:name w:val="פיסקת רשימה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534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1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case/23833066" TargetMode="External"/><Relationship Id="rId8" Type="http://schemas.openxmlformats.org/officeDocument/2006/relationships/hyperlink" Target="http://www.nevo.co.il/case/21753433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2006497" TargetMode="External"/><Relationship Id="rId15" Type="http://schemas.openxmlformats.org/officeDocument/2006/relationships/hyperlink" Target="http://www.nevo.co.il/case/22932896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2018-05-21T16:00:00Z</dcterms:created>
  <dc:creator> </dc:creator>
  <dc:description/>
  <cp:keywords/>
  <dc:language>en-IL</dc:language>
  <cp:lastModifiedBy>orly</cp:lastModifiedBy>
  <cp:lastPrinted>2018-04-11T08:21:00Z</cp:lastPrinted>
  <dcterms:modified xsi:type="dcterms:W3CDTF">2018-05-21T16:00:00Z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ישראל;טל איכילוב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טל איכילוב;מדינת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21753433:2;23833066;22006497;22932896</vt:lpwstr>
  </property>
  <property fmtid="{D5CDD505-2E9C-101B-9397-08002B2CF9AE}" pid="9" name="CITY">
    <vt:lpwstr/>
  </property>
  <property fmtid="{D5CDD505-2E9C-101B-9397-08002B2CF9AE}" pid="10" name="DATE">
    <vt:lpwstr>20180424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פוגלמן;י' אלרון;ה ח' מלצר</vt:lpwstr>
  </property>
  <property fmtid="{D5CDD505-2E9C-101B-9397-08002B2CF9AE}" pid="14" name="LAWLISTTMP1">
    <vt:lpwstr>70301/191;333;335.a.1</vt:lpwstr>
  </property>
  <property fmtid="{D5CDD505-2E9C-101B-9397-08002B2CF9AE}" pid="15" name="LAWYER">
    <vt:lpwstr>מורן פולמן;מיכאל כרמל;ג'קי סגרון;ברכה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דיון פלילי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עונש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1446;1446;1446;498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8984;8982;8995;3814</vt:lpwstr>
  </property>
  <property fmtid="{D5CDD505-2E9C-101B-9397-08002B2CF9AE}" pid="59" name="PADIDATE">
    <vt:lpwstr>20180425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8381;8431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410120180424</vt:lpwstr>
  </property>
  <property fmtid="{D5CDD505-2E9C-101B-9397-08002B2CF9AE}" pid="69" name="TYPE_N_DATE">
    <vt:lpwstr>41020180424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