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8420/19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אבירם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בורגרקאר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מרכז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35697-08-17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24.10.2019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קובו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03.2.2020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פרייזלר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הגר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 החמורים של המערער מצדיקים ענישה מחמירה ומרתיעה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עליו עושה עימו חסד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ולבטח אינו סוטה ממדיניות הענישה הנהוגה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דווקא מאלו האמונים על שמירת החוק מצופה לנהוג באיפוק ולהימנע מהפגנת אלימות חסרת מעצורים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ולכל הפחות לפעול לסייע לאלו המצויים במצוקה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גם בעובדה כי המערער תקף את המתלונן בעודו לבוש במדי שוטר תוך שימוש באקדחו המשטרתי כדי להוות נסיבה מחמירה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המצדיקה ענישה מחמירה ומרתיעה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משטרה – שוטר – חובותיו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שבו נגזרו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ועונשים נוספים בעקבות הרשעתו במסגרת הסדר טיעון בעבירה של חבלה חמורה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שירת כשוטר במג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 כאורח לחתונה במדי מג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ונשא עמו אקדח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בסיום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בדרכו לחניון חלף המתלונן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שיצא אף הוא מהאולם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פני המערער וצעק לעבר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אתה כולה מג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אתה משחק אותה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בתגובה לכך הוציא המערער את אקדחו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שלף ממנו את המחסנית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והכה באמצעותו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במכות אגרוף את המתלונן בחוזקה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המשיך להכותו אף כששכב שרוע על הרצפה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שהוזמנה ניידת אמבולנס למקום על ידי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עזבו המערער ובת זוגו את זירת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להושיט למתלונן עזרה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מדרכה של ערכאת הערעור להתערב בעונש שהושת על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חריגות שבהן נפלה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במקרים שבהם העונש שנגזר עליו סוטה במידה קיצונית ממדיניות הענישה הנהוגה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של המערער אינו נמנה עם מקרים חריגים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 לא אחת על החומרה הגלומה בביצוען של עבירות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כך שהן פוגעות פגיעה קשה בזכותו של אדם לשלמות גופו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בכבודו העצמי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ובתחושת הביטחון האישי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חומרתן של 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שב והדגיש כי יש להשית עונשי מאסר משמעותיים על עבריינים המבצעים עבירות אלימות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מי שביצע עבירה של חבלה חמורה בנסיבות מחמירות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 המקרה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 של המערער חמורים 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וראויים לגינוי חריף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דווקא מאלו האמונים על שמירת החוק מצופה לנהוג באיפוק ולהימנע מהפגנת אלימות חסרת מעצורים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ולכל הפחות לפעול לסייע לאלו המצויים במצוקה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גם בעובדה כי המערער תקף את המתלונן בעודו לבוש במדי שוטר תוך שימוש באקדחו המשטרתי כדי להוות נסיבה מחמירה 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המצדיקה ענישה מחמירה 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ונוכח תסקיר 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לכך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מיקם את העונש שגזר על המערער בתחתית מתחם העונש ההולם את מעשיו בהתחשב בנסיבותיו האישיות ובהמלצות שירות המבחן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סבור כי העונש שהוטל עליו עושה עימו חסד 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ולבטח אינו סוטה ממדיניות הענישה הנהוגה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משהתחשב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במצבו הנפשי של המערער והקל מעונשו נוכח יכולתו המוגבלת לשלוט במעשיו בעת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להקלה נוספת עימו מחמת קרבתו הנטענת לסייג האחריות הפלילית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בחן את הראיות שהציג בפניו המערער להוכחת התקיימותה של נסיבה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וקבע בצורה מפורשת כי המערער לא היה כלל ועיקר במצב של קרבה למצב פסיכוטי בעת שביצע את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קביעה זו נסמכה הן על פגמים משמעותיים בחוות הדעת הפסיכיאטרית שהוגשה מטעם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הן על כך שסירב להיבדק על ידי פסיכיאטר מטעם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על פגמים נוספים בעדויות בני משפחתו אשר נטען כי יש בהן כדי לבסס את קרבתו לסייג האחריות הפלילית מחמת אי שפיות הדעת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 בקביעה עובדתית זו אשר נומקה כדבעי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מקום גם להתערב בקביעה כי הנסיבה המקילה הקבועה </w:t>
      </w:r>
      <w:hyperlink r:id="rId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ט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9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בדבר קרבת הנאשם לסייג לאחריות פלילית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אינה חלה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לפנינו ערעור על 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35697-08-17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24.10.2019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שבו נגזרו על המערער עונש של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ועונשים נוספים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המפורט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שירת כשוטר בדרגת רב סמל ושימש מדריך קרב מגע ולוחם במשמר הגבול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בעת ביצוע המעשים המתוארים להלן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8.12.2016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מהאולם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לחניון</w:t>
      </w:r>
      <w:r>
        <w:rPr>
          <w:rtl w:val="true"/>
        </w:rPr>
        <w:t xml:space="preserve">. </w:t>
      </w:r>
      <w:r>
        <w:rPr>
          <w:rtl w:val="true"/>
        </w:rPr>
        <w:t>משחלף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בניק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,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לקרקע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וחדל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הלחי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שמאלי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נפיחות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בעפעפיים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,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spacing w:val="8"/>
        </w:rPr>
      </w:pPr>
      <w:r>
        <w:rPr>
          <w:spacing w:val="8"/>
          <w:rtl w:val="true"/>
        </w:rPr>
        <w:t>בגין ביצוע מעשים אלו יוחסה למערער בכתב האישום המתוקן עבירה של חבלה חמורה בנסיבות מחמירות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 xml:space="preserve">לפי </w:t>
      </w:r>
      <w:hyperlink r:id="rId12">
        <w:r>
          <w:rPr>
            <w:rStyle w:val="Hyperlink"/>
            <w:spacing w:val="8"/>
            <w:rtl w:val="true"/>
          </w:rPr>
          <w:t>סעיפים</w:t>
        </w:r>
        <w:r>
          <w:rPr>
            <w:rStyle w:val="Hyperlink"/>
            <w:spacing w:val="8"/>
            <w:rtl w:val="true"/>
          </w:rPr>
          <w:t xml:space="preserve"> </w:t>
        </w:r>
        <w:r>
          <w:rPr>
            <w:rStyle w:val="Hyperlink"/>
            <w:spacing w:val="8"/>
          </w:rPr>
          <w:t>333</w:t>
        </w:r>
      </w:hyperlink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ו</w:t>
      </w:r>
      <w:r>
        <w:rPr>
          <w:spacing w:val="8"/>
          <w:rtl w:val="true"/>
        </w:rPr>
        <w:t>-</w:t>
      </w:r>
      <w:hyperlink r:id="rId13">
        <w:r>
          <w:rPr>
            <w:rStyle w:val="Hyperlink"/>
            <w:spacing w:val="8"/>
          </w:rPr>
          <w:t>335</w:t>
        </w:r>
        <w:r>
          <w:rPr>
            <w:rStyle w:val="Hyperlink"/>
            <w:spacing w:val="8"/>
            <w:rtl w:val="true"/>
          </w:rPr>
          <w:t>(</w:t>
        </w:r>
        <w:r>
          <w:rPr>
            <w:rStyle w:val="Hyperlink"/>
            <w:spacing w:val="8"/>
            <w:rtl w:val="true"/>
          </w:rPr>
          <w:t>א</w:t>
        </w:r>
        <w:r>
          <w:rPr>
            <w:rStyle w:val="Hyperlink"/>
            <w:spacing w:val="8"/>
            <w:rtl w:val="true"/>
          </w:rPr>
          <w:t>)(</w:t>
        </w:r>
        <w:r>
          <w:rPr>
            <w:rStyle w:val="Hyperlink"/>
            <w:spacing w:val="8"/>
          </w:rPr>
          <w:t>1</w:t>
        </w:r>
        <w:r>
          <w:rPr>
            <w:rStyle w:val="Hyperlink"/>
            <w:spacing w:val="8"/>
            <w:rtl w:val="true"/>
          </w:rPr>
          <w:t>)</w:t>
        </w:r>
      </w:hyperlink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ל</w:t>
      </w:r>
      <w:hyperlink r:id="rId14">
        <w:r>
          <w:rPr>
            <w:rStyle w:val="Hyperlink"/>
            <w:color w:val="0000FF"/>
            <w:spacing w:val="8"/>
            <w:u w:val="single"/>
            <w:rtl w:val="true"/>
          </w:rPr>
          <w:t>חוק</w:t>
        </w:r>
        <w:r>
          <w:rPr>
            <w:rStyle w:val="Hyperlink"/>
            <w:color w:val="0000FF"/>
            <w:spacing w:val="8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8"/>
            <w:u w:val="single"/>
            <w:rtl w:val="true"/>
          </w:rPr>
          <w:t>העונשין</w:t>
        </w:r>
      </w:hyperlink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התשל</w:t>
      </w:r>
      <w:r>
        <w:rPr>
          <w:spacing w:val="8"/>
          <w:rtl w:val="true"/>
        </w:rPr>
        <w:t>"</w:t>
      </w:r>
      <w:r>
        <w:rPr>
          <w:spacing w:val="8"/>
          <w:rtl w:val="true"/>
        </w:rPr>
        <w:t>ז</w:t>
      </w:r>
      <w:r>
        <w:rPr>
          <w:rFonts w:ascii="FrankRuehl" w:hAnsi="FrankRuehl" w:cs="FrankRuehl"/>
          <w:spacing w:val="8"/>
          <w:rtl w:val="true"/>
        </w:rPr>
        <w:t>–</w:t>
      </w:r>
      <w:r>
        <w:rPr>
          <w:spacing w:val="8"/>
        </w:rPr>
        <w:t>1977</w:t>
      </w:r>
      <w:r>
        <w:rPr>
          <w:spacing w:val="8"/>
          <w:rtl w:val="true"/>
        </w:rPr>
        <w:t>.</w:t>
      </w:r>
    </w:p>
    <w:p>
      <w:pPr>
        <w:pStyle w:val="Ruller4"/>
        <w:ind w:end="0"/>
        <w:jc w:val="both"/>
        <w:rPr>
          <w:spacing w:val="8"/>
        </w:rPr>
      </w:pPr>
      <w:r>
        <w:rPr>
          <w:spacing w:val="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הסדר הטיעון שנערך בין הצדדים הודה המערער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והמשיבה מצידה התחייבה כי תבקש מבית המשפט לגזור עליו עונש מאסר בפועל לתקופה שלא תעלה על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 בעבירה שיוחסה לו בכתב האישום המתוקן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לבקשת המערער</w:t>
      </w:r>
      <w:r>
        <w:rPr>
          <w:rtl w:val="true"/>
        </w:rPr>
        <w:t xml:space="preserve">, </w:t>
      </w:r>
      <w:r>
        <w:rPr>
          <w:rtl w:val="true"/>
        </w:rPr>
        <w:t>הוגשו לבית המשפט המחוזי מספר תסקירים לעונש בעניינו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מהתסקירים שהוגשו עולה כי המערער שירת תקופה ממושכת בכוחות הביטחון ואף קיבל מספר תעודות הוקרה בגין תפקודו</w:t>
      </w:r>
      <w:r>
        <w:rPr>
          <w:rtl w:val="true"/>
        </w:rPr>
        <w:t xml:space="preserve">, </w:t>
      </w:r>
      <w:r>
        <w:rPr>
          <w:rtl w:val="true"/>
        </w:rPr>
        <w:t>וכי להתרשמות שירות המבחן מדובר באדם נורמטיבי בעל ערכים ונורמות תקינות בדרך כלל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פורט כי המערער השתלב במסגרת שירות המבחן בקבוצה טיפולית בתחום השליטה בכעסים</w:t>
      </w:r>
      <w:r>
        <w:rPr>
          <w:rtl w:val="true"/>
        </w:rPr>
        <w:t xml:space="preserve">; </w:t>
      </w:r>
      <w:r>
        <w:rPr>
          <w:rtl w:val="true"/>
        </w:rPr>
        <w:t>כי הוא מתחרט ומקבל אחריות על מעשיו</w:t>
      </w:r>
      <w:r>
        <w:rPr>
          <w:rtl w:val="true"/>
        </w:rPr>
        <w:t xml:space="preserve">; </w:t>
      </w:r>
      <w:r>
        <w:rPr>
          <w:rtl w:val="true"/>
        </w:rPr>
        <w:t>וכי רמת הסיכון שיפעל פעם נוספת באלימות היא נמוכה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צוין כי במצב העניינים שנוצר עובר לביצוע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חווה פגיעה </w:t>
      </w:r>
      <w:r>
        <w:rPr>
          <w:rtl w:val="true"/>
        </w:rPr>
        <w:t>"</w:t>
      </w:r>
      <w:r>
        <w:rPr>
          <w:rtl w:val="true"/>
        </w:rPr>
        <w:t>בדימויו העצמי והגברי</w:t>
      </w:r>
      <w:r>
        <w:rPr>
          <w:rtl w:val="true"/>
        </w:rPr>
        <w:t xml:space="preserve">" </w:t>
      </w:r>
      <w:r>
        <w:rPr>
          <w:rtl w:val="true"/>
        </w:rPr>
        <w:t xml:space="preserve">ופעל באופן אגרסיבי </w:t>
      </w:r>
      <w:r>
        <w:rPr>
          <w:rtl w:val="true"/>
        </w:rPr>
        <w:t>"</w:t>
      </w:r>
      <w:r>
        <w:rPr>
          <w:rtl w:val="true"/>
        </w:rPr>
        <w:t>בניסיון להשיב לעצמו תחושת גבריות ועליונות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להשית על המערער עונש מאסר שירוצה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לצד הטלת פיצוי כספי לטובת המתלונן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 עמד בית המשפט המחוזי על חומרתם של מעשי המערער</w:t>
      </w:r>
      <w:r>
        <w:rPr>
          <w:rtl w:val="true"/>
        </w:rPr>
        <w:t xml:space="preserve">, </w:t>
      </w:r>
      <w:r>
        <w:rPr>
          <w:rtl w:val="true"/>
        </w:rPr>
        <w:t>ועל נסיבות ביצוע העבירה במקרה דנן</w:t>
      </w:r>
      <w:r>
        <w:rPr>
          <w:rtl w:val="true"/>
        </w:rPr>
        <w:t xml:space="preserve">. </w:t>
      </w:r>
      <w:r>
        <w:rPr>
          <w:rtl w:val="true"/>
        </w:rPr>
        <w:t>הודגש כי המערער ביצע את העבירה בעודו לבוש בבגדי 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כי השתמש בנשק קר לתקיפת המתלונן</w:t>
      </w:r>
      <w:r>
        <w:rPr>
          <w:rtl w:val="true"/>
        </w:rPr>
        <w:t xml:space="preserve">, </w:t>
      </w:r>
      <w:r>
        <w:rPr>
          <w:rtl w:val="true"/>
        </w:rPr>
        <w:t>והמשיך להכותו אף כששכב שרוע על הרצפה</w:t>
      </w:r>
      <w:r>
        <w:rPr>
          <w:rtl w:val="true"/>
        </w:rPr>
        <w:t xml:space="preserve">; </w:t>
      </w:r>
      <w:r>
        <w:rPr>
          <w:rtl w:val="true"/>
        </w:rPr>
        <w:t>וכי בתום האירוע עזב את המקום מבלי להושיט עזרה למתלונן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טראומתית</w:t>
      </w:r>
      <w:r>
        <w:rPr>
          <w:rtl w:val="true"/>
        </w:rPr>
        <w:t xml:space="preserve">,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חוות הדעת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מחקירתו הנגדית של המומחה אשר כתב את חוות הדעת עלה כי אבחנתו נסמכה על כך שלהבנתו המתלונן איים על המערער שירצח אותו ואף רדף אותו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בעוד שאין לכך זכר בעובדות כתב האישום המתוקן שבהן הודה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סירב לאפשר לפסיכיאטר מטעם המשיבה לבדוק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סיכל את האפשרות כי המשיבה תגיש חוות דעת פסיכיאטרית נגדית מטעמה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קבע כי העובדה שהמערער לוקה בהפרעה פוסט טראומטית השפיעה על יכולתו של המערער להימנע מביצוע העבירה ומידת השליטה על מעשיו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הוגבלו במידת מה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ועל כן מתקיימת בנסיבות העניין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7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נוכח כל האמור לעיל ובשים לב למדיניות הענישה הנהוגה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מתחם העונש ההולם את מעשי המערער נע בין </w:t>
      </w:r>
      <w:r>
        <w:rPr>
          <w:rFonts w:cs="Century" w:ascii="Century" w:hAnsi="Century"/>
        </w:rPr>
        <w:t>36-10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בגזירת עונשו של המערער התחשב בית המשפט לחוּמרה אף בחבלות הקשות שנגרמו למתלונן</w:t>
      </w:r>
      <w:r>
        <w:rPr>
          <w:rtl w:val="true"/>
        </w:rPr>
        <w:t xml:space="preserve">; </w:t>
      </w:r>
      <w:r>
        <w:rPr>
          <w:rtl w:val="true"/>
        </w:rPr>
        <w:t>ובכך שבתסקיר נפגע העבירה שנערך לאחרון תואר כי הוא נזקק ל</w:t>
      </w:r>
      <w:r>
        <w:rPr>
          <w:rtl w:val="true"/>
        </w:rPr>
        <w:t>"</w:t>
      </w:r>
      <w:r>
        <w:rPr>
          <w:rtl w:val="true"/>
        </w:rPr>
        <w:t>מענה טיפולי תומך שיסייע לו לעבד את החוויה הטראומטית שאותה חווה</w:t>
      </w:r>
      <w:r>
        <w:rPr>
          <w:rtl w:val="true"/>
        </w:rPr>
        <w:t xml:space="preserve">" </w:t>
      </w:r>
      <w:r>
        <w:rPr>
          <w:rtl w:val="true"/>
        </w:rPr>
        <w:t>בעקבות מעשי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נשקלו לקוּלה נסיבותיו האישיות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ובכללן מצבו המשפחתי ושירותו החיובי והתורם לכוחות הביטחון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רמת הסיכון הנמוכה הנשקפת ממנו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המלצת שירות המבחן בעניינו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העובדה כי קיבל אחריות והביע חרטה על מעשיו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לאור 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השית בית המשפט על המערער עונשים של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לבל יעבור עבירת אלימות מסוג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פשע</w:t>
      </w:r>
      <w:r>
        <w:rPr>
          <w:rFonts w:cs="Century" w:ascii="Century" w:hAnsi="Century"/>
          <w:rtl w:val="true"/>
        </w:rPr>
        <w:t xml:space="preserve">";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 למשך שנתיים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לבל יעבור עבירת אלימות פיזית מסוג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עוון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ופיצוי על סך </w:t>
      </w:r>
      <w:r>
        <w:rPr>
          <w:rFonts w:cs="Century" w:ascii="Century" w:hAnsi="Century"/>
        </w:rPr>
        <w:t>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למתלונן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עובר לדיון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הוגש תסקיר נוסף מטעם שירות המבחן ובו צוין כי המערער מביע כיום גישה בוגרת ואחראית למצבו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ניכרים סיכויי שיקום טובים</w:t>
      </w:r>
      <w:r>
        <w:rPr>
          <w:rtl w:val="true"/>
        </w:rPr>
        <w:t xml:space="preserve">".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הומלץ לגזור על המערער עונש של מאסר בפועל שירוצה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ולהטיל עליו צו מבחן למשך שנה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בערעור שלפנינו טוען המערער כי העונש שנגזר עליו מחמיר עימו יתר על המידה</w:t>
      </w:r>
      <w:r>
        <w:rPr>
          <w:rtl w:val="true"/>
        </w:rPr>
        <w:t xml:space="preserve">, </w:t>
      </w:r>
      <w:r>
        <w:rPr>
          <w:rtl w:val="true"/>
        </w:rPr>
        <w:t>וכי אין להשית עליו עונש מאסר בפועל כלל</w:t>
      </w:r>
      <w:r>
        <w:rPr>
          <w:rtl w:val="true"/>
        </w:rPr>
        <w:t xml:space="preserve">. </w:t>
      </w:r>
      <w:r>
        <w:rPr>
          <w:rtl w:val="true"/>
        </w:rPr>
        <w:t>לחילופין נטען כי יש להפחית מעונש המאסר בפועל שנגזר על המערער כך שיוכל לרצותו בדרך של עבודות 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תוקפנות</w:t>
      </w:r>
      <w:r>
        <w:rPr>
          <w:rtl w:val="true"/>
        </w:rPr>
        <w:t xml:space="preserve">" </w:t>
      </w:r>
      <w:r>
        <w:rPr>
          <w:rtl w:val="true"/>
        </w:rPr>
        <w:t>שהפגין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;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שבשגרה</w:t>
      </w:r>
      <w:r>
        <w:rPr>
          <w:rtl w:val="true"/>
        </w:rPr>
        <w:t xml:space="preserve">; </w:t>
      </w:r>
      <w:r>
        <w:rPr>
          <w:rtl w:val="true"/>
        </w:rPr>
        <w:t>ולעדויות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מפקדיו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; </w:t>
      </w:r>
      <w:r>
        <w:rPr>
          <w:rtl w:val="true"/>
        </w:rPr>
        <w:t>ונסיבותיו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ושירותו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לקוּלה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בדיון שנערך לפנינו טענה באת</w:t>
      </w:r>
      <w:r>
        <w:rPr>
          <w:rtl w:val="true"/>
        </w:rPr>
        <w:t>-</w:t>
      </w:r>
      <w:r>
        <w:rPr>
          <w:rtl w:val="true"/>
        </w:rPr>
        <w:t>כוח המשיבה כי יש לדחות את הערעור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מעשיו החמורים של המערער מצדיקים את העונש שהוטל עליו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הודגש כי יש לייחס חומרה רבה לכך שהמערער ביצע את העבירה בעודו לבוש במדי משטרה</w:t>
      </w:r>
      <w:r>
        <w:rPr>
          <w:rtl w:val="true"/>
        </w:rPr>
        <w:t xml:space="preserve">, </w:t>
      </w:r>
      <w:r>
        <w:rPr>
          <w:rtl w:val="true"/>
        </w:rPr>
        <w:t>ולנזק הרב שגרם למתלונן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זה מדרכה של ערכאת הערעור להתערב בעונש שהושת על נאשם</w:t>
      </w:r>
      <w:r>
        <w:rPr>
          <w:rtl w:val="true"/>
        </w:rPr>
        <w:t xml:space="preserve">, </w:t>
      </w:r>
      <w:r>
        <w:rPr>
          <w:rtl w:val="true"/>
        </w:rPr>
        <w:t>אלא בנסיבות חריגות שבהן נפלה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במקרים שבהם העונש שנגזר עליו סוטה במידה קיצונית ממדיניות הענישה הנהוגה במקרים דומים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20.11.2019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tl w:val="true"/>
        </w:rPr>
        <w:t>עניינו של המערער אינו נמנה עם מקרים חריגים אלו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 משפט זה עמד לא אחת על החומרה הגלומה בביצוען של עבירות אלימות</w:t>
      </w:r>
      <w:r>
        <w:rPr>
          <w:rtl w:val="true"/>
        </w:rPr>
        <w:t xml:space="preserve">, </w:t>
      </w:r>
      <w:r>
        <w:rPr>
          <w:rtl w:val="true"/>
        </w:rPr>
        <w:t>ועל כך שהן פוגעות פגיעה קשה בזכותו של אדם לשלמות גופו</w:t>
      </w:r>
      <w:r>
        <w:rPr>
          <w:rtl w:val="true"/>
        </w:rPr>
        <w:t xml:space="preserve">, </w:t>
      </w:r>
      <w:r>
        <w:rPr>
          <w:rtl w:val="true"/>
        </w:rPr>
        <w:t>בכבודו העצמי</w:t>
      </w:r>
      <w:r>
        <w:rPr>
          <w:rtl w:val="true"/>
        </w:rPr>
        <w:t xml:space="preserve">, </w:t>
      </w:r>
      <w:r>
        <w:rPr>
          <w:rtl w:val="true"/>
        </w:rPr>
        <w:t xml:space="preserve">ובתחושת הביטחון האישי שלו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1985/18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אביטן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 xml:space="preserve"> (</w:t>
      </w:r>
      <w:r>
        <w:rPr/>
        <w:t>21.6.2018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18.7.2019</w:t>
      </w:r>
      <w:r>
        <w:rPr>
          <w:rFonts w:cs="Century" w:ascii="Century" w:hAnsi="Century"/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8244/17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21.6.2018</w:t>
      </w:r>
      <w:r>
        <w:rPr>
          <w:rFonts w:cs="Century" w:ascii="Century" w:hAnsi="Century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7475/14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25.12.2014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מעשיו של המערער חמורים הם</w:t>
      </w:r>
      <w:r>
        <w:rPr>
          <w:rtl w:val="true"/>
        </w:rPr>
        <w:t xml:space="preserve">, </w:t>
      </w:r>
      <w:r>
        <w:rPr>
          <w:rtl w:val="true"/>
        </w:rPr>
        <w:t>וראויים לגינוי חריף</w:t>
      </w:r>
      <w:r>
        <w:rPr>
          <w:rtl w:val="true"/>
        </w:rPr>
        <w:t xml:space="preserve">. </w:t>
      </w: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>המערער הכה את המתלונן ללא רחם בעקבות משפט סתמי קצר שהאחרון הפטיר לעברו</w:t>
      </w:r>
      <w:r>
        <w:rPr>
          <w:rtl w:val="true"/>
        </w:rPr>
        <w:t xml:space="preserve">. </w:t>
      </w:r>
      <w:r>
        <w:rPr>
          <w:rtl w:val="true"/>
        </w:rPr>
        <w:t>המערער השתמש באקדח אותו נשא מתוקף תפקידו במשטרה בתור נשק קר</w:t>
      </w:r>
      <w:r>
        <w:rPr>
          <w:rtl w:val="true"/>
        </w:rPr>
        <w:t xml:space="preserve">, </w:t>
      </w:r>
      <w:r>
        <w:rPr>
          <w:rtl w:val="true"/>
        </w:rPr>
        <w:t>הטיח אותו בפניו של המתלונן פעמיים בחוזקה</w:t>
      </w:r>
      <w:r>
        <w:rPr>
          <w:rtl w:val="true"/>
        </w:rPr>
        <w:t xml:space="preserve">, </w:t>
      </w:r>
      <w:r>
        <w:rPr>
          <w:rtl w:val="true"/>
        </w:rPr>
        <w:t>ולא פסק מלהכות אותו במכות אגרוף בפניו אף שנותר שרוע על הרצפה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אסתטית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בתחתית</w:t>
      </w:r>
      <w:r>
        <w:rPr>
          <w:rFonts w:ascii="Century" w:hAnsi="Century" w:cs="Century"/>
          <w:rtl w:val="true"/>
        </w:rPr>
        <w:t xml:space="preserve"> מתחם העונש ההולם את מעשיו בהתחשב בנסיבותיו האישיות ובהמלצות שירות המבחן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אנו סבורים כי העונש שהוטל עליו עושה עימו חסד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ולבטח אינו סוטה סוטה ממדיניות הענישה הנהוגה במקרים דומים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ואחרון</w:t>
      </w:r>
      <w:r>
        <w:rPr>
          <w:rtl w:val="true"/>
        </w:rPr>
        <w:t xml:space="preserve">, </w:t>
      </w:r>
      <w:r>
        <w:rPr>
          <w:rtl w:val="true"/>
        </w:rPr>
        <w:t>משהתחשב בית המשפט המחוזי במצבו הנפשי של המערער והקל מעונשו נוכח יכולתו המוגבלת לשלוט במעשיו בעת ביצוע העבירה</w:t>
      </w:r>
      <w:r>
        <w:rPr>
          <w:rtl w:val="true"/>
        </w:rPr>
        <w:t xml:space="preserve">, </w:t>
      </w:r>
      <w:r>
        <w:rPr>
          <w:rtl w:val="true"/>
        </w:rPr>
        <w:t>אין מקום להקלה נוספת עימו מחמת קרבתו הנטענת לסייג האחריות הפלילית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בית המשפט המחוזי בחן את הראיות שהציג בפניו המערער להוכחת התקיימותה של נסיבה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וקבע בצורה מפורשת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הנאשם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לא היה כלל ועיקר במצב של קרבה למצב פסיכוטי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בעת שביצע את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ובשים לב לכלל שלפיו ערכאת הערעור תתערב בממצאי עובדה ומהימנות שנקבעו על ידי הערכאה הדיונית במקרים נדירים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ראינו לנכון להתערב בקביעה עובדתית 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9954/17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זילברשטיין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22.4.2018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 xml:space="preserve">סוף דבר </w:t>
      </w:r>
      <w:r>
        <w:rPr>
          <w:rtl w:val="true"/>
        </w:rPr>
        <w:t>–</w:t>
      </w:r>
      <w:r>
        <w:rPr>
          <w:rtl w:val="true"/>
        </w:rPr>
        <w:t xml:space="preserve"> הערעור 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3.3.2020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 סוהר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18.2.2020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19084200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  <w:r>
        <w:rPr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54678313-8420/19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8420/19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אבירם בורגרקאר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2336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a.a.9" TargetMode="External"/><Relationship Id="rId5" Type="http://schemas.openxmlformats.org/officeDocument/2006/relationships/hyperlink" Target="http://www.nevo.co.il/law/70301/40i.a.7" TargetMode="External"/><Relationship Id="rId6" Type="http://schemas.openxmlformats.org/officeDocument/2006/relationships/hyperlink" Target="http://www.nevo.co.il/law/70301/40i.a.9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40i.a.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2923365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a.a.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i.a.7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i.a.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i.a.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6082398" TargetMode="External"/><Relationship Id="rId24" Type="http://schemas.openxmlformats.org/officeDocument/2006/relationships/hyperlink" Target="http://www.nevo.co.il/case/23769762" TargetMode="External"/><Relationship Id="rId25" Type="http://schemas.openxmlformats.org/officeDocument/2006/relationships/hyperlink" Target="http://www.nevo.co.il/case/25388948" TargetMode="External"/><Relationship Id="rId26" Type="http://schemas.openxmlformats.org/officeDocument/2006/relationships/hyperlink" Target="http://www.nevo.co.il/case/24344573" TargetMode="External"/><Relationship Id="rId27" Type="http://schemas.openxmlformats.org/officeDocument/2006/relationships/hyperlink" Target="http://www.nevo.co.il/case/18653755" TargetMode="External"/><Relationship Id="rId28" Type="http://schemas.openxmlformats.org/officeDocument/2006/relationships/hyperlink" Target="http://www.nevo.co.il/case/23509110" TargetMode="External"/><Relationship Id="rId29" Type="http://schemas.openxmlformats.org/officeDocument/2006/relationships/hyperlink" Target="http://www.nevo.co.il/law/70301/40i.a.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supreme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2020-02-19T11:14:00Z</dcterms:created>
  <dc:creator>h4</dc:creator>
  <dc:description/>
  <cp:keywords/>
  <dc:language>en-IL</dc:language>
  <cp:lastModifiedBy>orly</cp:lastModifiedBy>
  <cp:lastPrinted>2020-02-18T17:25:00Z</cp:lastPrinted>
  <dcterms:modified xsi:type="dcterms:W3CDTF">2020-02-19T11:14:00Z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אבירם בורגרקאר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22923365:2;26082398;23769762;25388948;24344573;18653755;23509110</vt:lpwstr>
  </property>
  <property fmtid="{D5CDD505-2E9C-101B-9397-08002B2CF9AE}" pid="9" name="CITY">
    <vt:lpwstr/>
  </property>
  <property fmtid="{D5CDD505-2E9C-101B-9397-08002B2CF9AE}" pid="10" name="DATE">
    <vt:lpwstr>20200218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פוגלמן;י' אלרון;ח' מלצר</vt:lpwstr>
  </property>
  <property fmtid="{D5CDD505-2E9C-101B-9397-08002B2CF9AE}" pid="14" name="LAWLISTTMP1">
    <vt:lpwstr>70301/333;335.a.1;040a.a.9;040i.a.7;040i.a.9:3</vt:lpwstr>
  </property>
  <property fmtid="{D5CDD505-2E9C-101B-9397-08002B2CF9AE}" pid="15" name="LAWYER">
    <vt:lpwstr>קרן רוט;אורלי פרייזלר;שירות המבחן הגר אביב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משטרה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77;51;77;77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שוטר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1446;988;1446;1446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חובותיו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מדיניות ענישה: שיקולים לחומרה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8984;14181;8982;8995</vt:lpwstr>
  </property>
  <property fmtid="{D5CDD505-2E9C-101B-9397-08002B2CF9AE}" pid="59" name="PADIDATE">
    <vt:lpwstr>20200219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8420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410120200218</vt:lpwstr>
  </property>
  <property fmtid="{D5CDD505-2E9C-101B-9397-08002B2CF9AE}" pid="69" name="TYPE_N_DATE">
    <vt:lpwstr>41020200218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