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8435/17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48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נפתלי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30992-10-16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18.9.2017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</w:t>
            </w:r>
            <w:r>
              <w:rPr>
                <w:sz w:val="24"/>
                <w:sz w:val="24"/>
                <w:szCs w:val="24"/>
                <w:rtl w:val="true"/>
              </w:rPr>
              <w:t>כי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</w:t>
            </w:r>
            <w:r>
              <w:rPr>
                <w:sz w:val="24"/>
                <w:sz w:val="24"/>
                <w:szCs w:val="24"/>
                <w:rtl w:val="true"/>
              </w:rPr>
              <w:t>ות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7.6.2018</w:t>
            </w:r>
            <w:r>
              <w:rPr>
                <w:rtl w:val="true"/>
              </w:rPr>
              <w:t xml:space="preserve">) </w:t>
            </w:r>
          </w:p>
        </w:tc>
      </w:tr>
      <w:tr>
        <w:trPr/>
        <w:tc>
          <w:tcPr>
            <w:tcW w:w="32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2.3.2019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בועז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קניג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בצד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האמור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בכל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הנוגע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לאופן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המותנה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כי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חופף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הצתה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הופעלו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  <w:lang w:eastAsia="he-IL"/>
        </w:rPr>
        <w:t>כידוע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  <w:lang w:eastAsia="he-IL"/>
        </w:rPr>
      </w:pPr>
      <w:r>
        <w:rPr>
          <w:rFonts w:cs="FrankRuehl"/>
          <w:sz w:val="24"/>
          <w:sz w:val="24"/>
          <w:szCs w:val="26"/>
          <w:rtl w:val="true"/>
        </w:rPr>
        <w:t>למותר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לעונשו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הנוסף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הרי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בעבירת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סיוע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בלבד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וניתנה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המלצה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שיקומית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ברורה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בעניינו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כך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שאין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ממש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בהשגות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הפער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השניים</w:t>
      </w:r>
      <w:r>
        <w:rPr>
          <w:rFonts w:cs="FrankRuehl"/>
          <w:sz w:val="24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  <w:lang w:eastAsia="he-IL"/>
        </w:rPr>
        <w:t>לא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מהמתחם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לקולה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לצורכי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שיקום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גם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ניכרים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סימנים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חיוביים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בתהליך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הטיפולי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והשיקומי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המערער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בשינוי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יסודי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ויציב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שמצדיק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שנקבע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חמורים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השיקומי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כדי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לאיינם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אומנם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המליץ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בשלב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מסוים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כך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יהיה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לרצותו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דרך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שירות</w:t>
      </w:r>
      <w:r>
        <w:rPr>
          <w:rFonts w:cs="FrankRuehl"/>
          <w:sz w:val="24"/>
          <w:szCs w:val="26"/>
          <w:rtl w:val="true"/>
          <w:lang w:eastAsia="he-IL"/>
        </w:rPr>
        <w:t xml:space="preserve">;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אך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וביכולתו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והנסיבות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בצד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האמור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בכל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הנוגע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לאופן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המותנה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כי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58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ותקופת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58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מופעלות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שירשמו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בהינתן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המערער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בייחוד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מצבו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הבריאותי</w:t>
      </w:r>
      <w:r>
        <w:rPr>
          <w:rFonts w:cs="FrankRuehl"/>
          <w:sz w:val="24"/>
          <w:szCs w:val="26"/>
          <w:rtl w:val="true"/>
          <w:lang w:eastAsia="he-IL"/>
        </w:rPr>
        <w:t xml:space="preserve">;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ונוכח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ניצני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השינוי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החיובי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שהפגין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המערער–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לחרוג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מן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הכלל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ולהורות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בחופף</w:t>
      </w:r>
      <w:r>
        <w:rPr>
          <w:rFonts w:cs="FrankRuehl"/>
          <w:sz w:val="24"/>
          <w:szCs w:val="26"/>
          <w:rtl w:val="true"/>
          <w:lang w:eastAsia="he-IL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3" w:name="Writer_Name"/>
      <w:bookmarkEnd w:id="13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–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1960</w:t>
      </w:r>
      <w:r>
        <w:rPr>
          <w:rtl w:val="true"/>
        </w:rPr>
        <w:t xml:space="preserve">, </w:t>
      </w:r>
      <w:r>
        <w:rPr>
          <w:rtl w:val="true"/>
        </w:rPr>
        <w:t>הורשע על פי הודאתו בהסדר טיעון בעבירת 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יחד עם נאשם נוסף שהורשע בעבירת סיוע להצתה לפי סעיף זה</w:t>
      </w:r>
      <w:r>
        <w:rPr>
          <w:rtl w:val="true"/>
        </w:rPr>
        <w:t xml:space="preserve">. </w:t>
      </w: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חשד כי אדם בשם משה בר מימון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שאיתו יש למערער היכרות מוקדמת </w:t>
      </w:r>
      <w:r>
        <w:rPr>
          <w:rtl w:val="true"/>
        </w:rPr>
        <w:t>–</w:t>
      </w:r>
      <w:r>
        <w:rPr>
          <w:rtl w:val="true"/>
        </w:rPr>
        <w:t xml:space="preserve"> קיים קשר רומנטי עם גרושתו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16.10.2016</w:t>
      </w:r>
      <w:r>
        <w:rPr>
          <w:rtl w:val="true"/>
        </w:rPr>
        <w:t xml:space="preserve">, </w:t>
      </w:r>
      <w:r>
        <w:rPr>
          <w:rtl w:val="true"/>
        </w:rPr>
        <w:t>הגיע המערער יחד עם הנאשם הנוסף למתחם חניה הסמוך למרכז המסחרי באור יהודה</w:t>
      </w:r>
      <w:r>
        <w:rPr>
          <w:rtl w:val="true"/>
        </w:rPr>
        <w:t xml:space="preserve">, </w:t>
      </w:r>
      <w:r>
        <w:rPr>
          <w:rtl w:val="true"/>
        </w:rPr>
        <w:t xml:space="preserve">שם חנתה המונית שבבעלות נפגע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המונית</w:t>
      </w:r>
      <w:r>
        <w:rPr>
          <w:rtl w:val="true"/>
        </w:rPr>
        <w:t xml:space="preserve">). </w:t>
      </w:r>
      <w:r>
        <w:rPr>
          <w:rtl w:val="true"/>
        </w:rPr>
        <w:t>הנאשם הנוסף החנה את רכבו בסמוך למונית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שפך עליה נוזל דליק והצית בה אש </w:t>
      </w:r>
      <w:r>
        <w:rPr>
          <w:rtl w:val="true"/>
        </w:rPr>
        <w:t>–</w:t>
      </w:r>
      <w:r>
        <w:rPr>
          <w:rtl w:val="true"/>
        </w:rPr>
        <w:t xml:space="preserve"> מה שהסב לה נזק כבד</w:t>
      </w:r>
      <w:r>
        <w:rPr>
          <w:rtl w:val="true"/>
        </w:rPr>
        <w:t xml:space="preserve">. </w:t>
      </w:r>
      <w:r>
        <w:rPr>
          <w:rtl w:val="true"/>
        </w:rPr>
        <w:t>המערער והנאשם הנוסף נמלטו מהמקום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מבחן בעניינו של המערער שהוגש ביום </w:t>
      </w:r>
      <w:r>
        <w:rPr/>
        <w:t>10.7.2017</w:t>
      </w:r>
      <w:r>
        <w:rPr>
          <w:rtl w:val="true"/>
        </w:rPr>
        <w:t xml:space="preserve">, </w:t>
      </w:r>
      <w:r>
        <w:rPr>
          <w:rtl w:val="true"/>
        </w:rPr>
        <w:t>עמד שירות המבחן על רקעו השולי של המערער</w:t>
      </w:r>
      <w:r>
        <w:rPr>
          <w:rtl w:val="true"/>
        </w:rPr>
        <w:t xml:space="preserve">, </w:t>
      </w:r>
      <w:r>
        <w:rPr>
          <w:rtl w:val="true"/>
        </w:rPr>
        <w:t>שכולל עבר פלילי מגיל צעיר ושבגדרו ריצה שלושה עונשי מאסר בפועל</w:t>
      </w:r>
      <w:r>
        <w:rPr>
          <w:rtl w:val="true"/>
        </w:rPr>
        <w:t xml:space="preserve">. </w:t>
      </w:r>
      <w:r>
        <w:rPr>
          <w:rtl w:val="true"/>
        </w:rPr>
        <w:t>שירות המבחן ציין כי למערער יכולת הכרה ראשונית בקשייו</w:t>
      </w:r>
      <w:r>
        <w:rPr>
          <w:rtl w:val="true"/>
        </w:rPr>
        <w:t xml:space="preserve">, </w:t>
      </w:r>
      <w:r>
        <w:rPr>
          <w:rtl w:val="true"/>
        </w:rPr>
        <w:t>וכי במסגרת השתלבותו בקבוצה ייעודית הוא הביע חרטה על מעשיו ותיאר את מצבו הרגשי הירוד עקב המשבר ביחסיו הזוגיים כרקע לעבירה</w:t>
      </w:r>
      <w:r>
        <w:rPr>
          <w:rtl w:val="true"/>
        </w:rPr>
        <w:t xml:space="preserve">. </w:t>
      </w:r>
      <w:r>
        <w:rPr>
          <w:rtl w:val="true"/>
        </w:rPr>
        <w:t>שירות המבחן ציין כי ייתכן שהשתלבותו בקבוצה הובילה להפחתה מסוימת ברמת הסיכון הנשקפת מהמערער</w:t>
      </w:r>
      <w:r>
        <w:rPr>
          <w:rtl w:val="true"/>
        </w:rPr>
        <w:t xml:space="preserve">, </w:t>
      </w:r>
      <w:r>
        <w:rPr>
          <w:rtl w:val="true"/>
        </w:rPr>
        <w:t>והעריך את הסיכון להישנות התנהגות אלימה ואת רמת האלימות הנשקפת כבינוניים</w:t>
      </w:r>
      <w:r>
        <w:rPr>
          <w:rtl w:val="true"/>
        </w:rPr>
        <w:t xml:space="preserve">. </w:t>
      </w:r>
      <w:r>
        <w:rPr>
          <w:rtl w:val="true"/>
        </w:rPr>
        <w:t>שירות המבחן ציין גם את נכונות המערער להשתלב בטיפול על רקע צריכת האלכוהול המוגברת שלו</w:t>
      </w:r>
      <w:r>
        <w:rPr>
          <w:rtl w:val="true"/>
        </w:rPr>
        <w:t xml:space="preserve">, </w:t>
      </w:r>
      <w:r>
        <w:rPr>
          <w:rtl w:val="true"/>
        </w:rPr>
        <w:t>שנבעה מהמשבר שחווה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שירות המבחן ציין כי המערער מתקשה לגלות אמפתיה כלפי נפגע העבירה</w:t>
      </w:r>
      <w:r>
        <w:rPr>
          <w:rtl w:val="true"/>
        </w:rPr>
        <w:t xml:space="preserve">. </w:t>
      </w:r>
      <w:r>
        <w:rPr>
          <w:rtl w:val="true"/>
        </w:rPr>
        <w:t>שירות המבחן הוסיף כי בחינת אפיק טיפולי</w:t>
      </w:r>
      <w:r>
        <w:rPr>
          <w:rtl w:val="true"/>
        </w:rPr>
        <w:t>-</w:t>
      </w:r>
      <w:r>
        <w:rPr>
          <w:rtl w:val="true"/>
        </w:rPr>
        <w:t>שיקומי תצריך הגשת תסקיר משלים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גזר את דינו של המערער ביום </w:t>
      </w:r>
      <w:r>
        <w:rPr/>
        <w:t>18.9.2017</w:t>
      </w:r>
      <w:r>
        <w:rPr>
          <w:rtl w:val="true"/>
        </w:rPr>
        <w:t xml:space="preserve">. </w:t>
      </w:r>
      <w:r>
        <w:rPr>
          <w:rtl w:val="true"/>
        </w:rPr>
        <w:t>בית המשפט עמד על 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אשר מרביתו התיישן</w:t>
      </w:r>
      <w:r>
        <w:rPr>
          <w:rtl w:val="true"/>
        </w:rPr>
        <w:t xml:space="preserve">, </w:t>
      </w:r>
      <w:r>
        <w:rPr>
          <w:rtl w:val="true"/>
        </w:rPr>
        <w:t xml:space="preserve">אך כולל הרשעה מיום </w:t>
      </w:r>
      <w:r>
        <w:rPr/>
        <w:t>5.1.2015</w:t>
      </w:r>
      <w:r>
        <w:rPr>
          <w:rtl w:val="true"/>
        </w:rPr>
        <w:t xml:space="preserve"> </w:t>
      </w:r>
      <w:r>
        <w:rPr>
          <w:rtl w:val="true"/>
        </w:rPr>
        <w:t>בעבירות הסגת גבול ואיומים</w:t>
      </w:r>
      <w:r>
        <w:rPr>
          <w:rtl w:val="true"/>
        </w:rPr>
        <w:t xml:space="preserve">. </w:t>
      </w:r>
      <w:r>
        <w:rPr>
          <w:rtl w:val="true"/>
        </w:rPr>
        <w:t>בגדר הרשעה זאת הוטל על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 המשפט ציין כי הצתת רכב היא פעולה אלימה המצדיקה ענישה משמעותית</w:t>
      </w:r>
      <w:r>
        <w:rPr>
          <w:rtl w:val="true"/>
        </w:rPr>
        <w:t xml:space="preserve">, </w:t>
      </w:r>
      <w:r>
        <w:rPr>
          <w:rtl w:val="true"/>
        </w:rPr>
        <w:t xml:space="preserve">ודחה את טענת המערער כי הרקע למעשיו </w:t>
      </w:r>
      <w:r>
        <w:rPr>
          <w:rtl w:val="true"/>
        </w:rPr>
        <w:t>–</w:t>
      </w:r>
      <w:r>
        <w:rPr>
          <w:rtl w:val="true"/>
        </w:rPr>
        <w:t xml:space="preserve"> חשדו לקשר אינטימי בין גרושתו לבין נפגע העבירה </w:t>
      </w:r>
      <w:r>
        <w:rPr>
          <w:rtl w:val="true"/>
        </w:rPr>
        <w:t>–</w:t>
      </w:r>
      <w:r>
        <w:rPr>
          <w:rtl w:val="true"/>
        </w:rPr>
        <w:t xml:space="preserve"> מפחית את חומרתם</w:t>
      </w:r>
      <w:r>
        <w:rPr>
          <w:rtl w:val="true"/>
        </w:rPr>
        <w:t xml:space="preserve">. </w:t>
      </w:r>
      <w:r>
        <w:rPr>
          <w:rtl w:val="true"/>
        </w:rPr>
        <w:t>עוד צוין כי המונית הייתה מקור פרנסתו של הנפגע וכי נגרם לה נזק כבד</w:t>
      </w:r>
      <w:r>
        <w:rPr>
          <w:rtl w:val="true"/>
        </w:rPr>
        <w:t xml:space="preserve">; </w:t>
      </w:r>
      <w:r>
        <w:rPr>
          <w:rtl w:val="true"/>
        </w:rPr>
        <w:t>וכי מדובר באירוע מתוכנן ולא ספונטני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ציין גם כי המונית נמצאה במתחם חניה מבודד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נקבע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תוך שצוין כי הסדר הטיעון משקף את רמת הענישה בעבירות הצתה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לעונש בגדרי המתחם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המערער הוא למעשה </w:t>
      </w:r>
      <w:r>
        <w:rPr>
          <w:rtl w:val="true"/>
        </w:rPr>
        <w:t>"</w:t>
      </w:r>
      <w:r>
        <w:rPr>
          <w:rtl w:val="true"/>
        </w:rPr>
        <w:t>אבי העבירה</w:t>
      </w:r>
      <w:r>
        <w:rPr>
          <w:rtl w:val="true"/>
        </w:rPr>
        <w:t xml:space="preserve">". </w:t>
      </w:r>
      <w:r>
        <w:rPr>
          <w:rtl w:val="true"/>
        </w:rPr>
        <w:t>בית המשפט ציין כי מעשי המערער מלמדים על קו התנהגות אלים</w:t>
      </w:r>
      <w:r>
        <w:rPr>
          <w:rtl w:val="true"/>
        </w:rPr>
        <w:t xml:space="preserve">, </w:t>
      </w:r>
      <w:r>
        <w:rPr>
          <w:rtl w:val="true"/>
        </w:rPr>
        <w:t>וכי העונש שהוטל עליו בהרשעתו האחרונה לא הוביל להפנמה ולהרתעה</w:t>
      </w:r>
      <w:r>
        <w:rPr>
          <w:rtl w:val="true"/>
        </w:rPr>
        <w:t xml:space="preserve">. </w:t>
      </w:r>
      <w:r>
        <w:rPr>
          <w:rtl w:val="true"/>
        </w:rPr>
        <w:t>בית המשפט דחה את בקשת המערער להמתין לקבלת תסקיר משלים</w:t>
      </w:r>
      <w:r>
        <w:rPr>
          <w:rtl w:val="true"/>
        </w:rPr>
        <w:t xml:space="preserve">, </w:t>
      </w:r>
      <w:r>
        <w:rPr>
          <w:rtl w:val="true"/>
        </w:rPr>
        <w:t>שכן חוסר יכולתו להפנים את הפסול שבמעשיו מלמדת על חוסר בשלות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קבע כי עיקרון ההלימה מחייב קביעת עונש מוחשי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נוכח המאסר המותנה העומד לחובת המערער </w:t>
      </w:r>
      <w:r>
        <w:rPr>
          <w:rtl w:val="true"/>
        </w:rPr>
        <w:t>–</w:t>
      </w:r>
      <w:r>
        <w:rPr>
          <w:rtl w:val="true"/>
        </w:rPr>
        <w:t xml:space="preserve"> שבגינו הוא צפוי ממילא לרצות עונש מאסר בפועל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בית המשפט ציין מספר נסיבות מקלות</w:t>
      </w:r>
      <w:r>
        <w:rPr>
          <w:rtl w:val="true"/>
        </w:rPr>
        <w:t xml:space="preserve">: </w:t>
      </w:r>
      <w:r>
        <w:rPr>
          <w:rtl w:val="true"/>
        </w:rPr>
        <w:t>הודאת המערער וקבלת אחריות</w:t>
      </w:r>
      <w:r>
        <w:rPr>
          <w:rtl w:val="true"/>
        </w:rPr>
        <w:t xml:space="preserve">, </w:t>
      </w:r>
      <w:r>
        <w:rPr>
          <w:rtl w:val="true"/>
        </w:rPr>
        <w:t>ולו משפטית</w:t>
      </w:r>
      <w:r>
        <w:rPr>
          <w:rtl w:val="true"/>
        </w:rPr>
        <w:t xml:space="preserve">; </w:t>
      </w:r>
      <w:r>
        <w:rPr>
          <w:rtl w:val="true"/>
        </w:rPr>
        <w:t>נתוניו האישיים של המערער</w:t>
      </w:r>
      <w:r>
        <w:rPr>
          <w:rtl w:val="true"/>
        </w:rPr>
        <w:t xml:space="preserve">, </w:t>
      </w:r>
      <w:r>
        <w:rPr>
          <w:rtl w:val="true"/>
        </w:rPr>
        <w:t>חייו שלא הקלו עמו ומצבו הרפואי המורכב</w:t>
      </w:r>
      <w:r>
        <w:rPr>
          <w:rtl w:val="true"/>
        </w:rPr>
        <w:t xml:space="preserve">; </w:t>
      </w:r>
      <w:r>
        <w:rPr>
          <w:rtl w:val="true"/>
        </w:rPr>
        <w:t>והתקופה שבה שהה במעצר בפיקוח אלקטרוני בתנאים מגבילים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קבע בית המשפט כי יש לגזור את העונש על הצד הנמוך</w:t>
      </w:r>
      <w:r>
        <w:rPr>
          <w:rtl w:val="true"/>
        </w:rPr>
        <w:t xml:space="preserve">, </w:t>
      </w:r>
      <w:r>
        <w:rPr>
          <w:rtl w:val="true"/>
        </w:rPr>
        <w:t xml:space="preserve">הגם שלא ניתן לאמץ את הרף התחתון נוכח העבר הפלילי של המערער </w:t>
      </w:r>
      <w:r>
        <w:rPr>
          <w:rtl w:val="true"/>
        </w:rPr>
        <w:t>–</w:t>
      </w:r>
      <w:r>
        <w:rPr>
          <w:rtl w:val="true"/>
        </w:rPr>
        <w:t xml:space="preserve"> בהינתן הרשעתו האחרונה</w:t>
      </w:r>
      <w:r>
        <w:rPr>
          <w:rtl w:val="true"/>
        </w:rPr>
        <w:t xml:space="preserve">. </w:t>
      </w:r>
      <w:r>
        <w:rPr>
          <w:rtl w:val="true"/>
        </w:rPr>
        <w:t xml:space="preserve">על כן העמיד בית המשפט את עונש המאסר של המערער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בפועל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קבע שיש להפעיל את עונש המאסר המותנה </w:t>
      </w:r>
      <w:r>
        <w:rPr>
          <w:rtl w:val="true"/>
        </w:rPr>
        <w:t>–</w:t>
      </w:r>
      <w:r>
        <w:rPr>
          <w:rtl w:val="true"/>
        </w:rPr>
        <w:t xml:space="preserve">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–</w:t>
      </w:r>
      <w:r>
        <w:rPr>
          <w:rtl w:val="true"/>
        </w:rPr>
        <w:t xml:space="preserve"> באופן מצטבר</w:t>
      </w:r>
      <w:r>
        <w:rPr>
          <w:rtl w:val="true"/>
        </w:rPr>
        <w:t xml:space="preserve">, </w:t>
      </w:r>
      <w:r>
        <w:rPr>
          <w:rtl w:val="true"/>
        </w:rPr>
        <w:t>בהיעדר טעם ממשי להפעילו בחופף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המערער ירצה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בניכוי תקופת מעצרו מיום </w:t>
      </w:r>
      <w:r>
        <w:rPr/>
        <w:t>19.10.2016</w:t>
      </w:r>
      <w:r>
        <w:rPr>
          <w:rtl w:val="true"/>
        </w:rPr>
        <w:t xml:space="preserve"> </w:t>
      </w:r>
      <w:r>
        <w:rPr>
          <w:rtl w:val="true"/>
        </w:rPr>
        <w:t xml:space="preserve">עד ליום </w:t>
      </w:r>
      <w:r>
        <w:rPr/>
        <w:t>15.12.2016</w:t>
      </w:r>
      <w:r>
        <w:rPr>
          <w:rtl w:val="true"/>
        </w:rPr>
        <w:t xml:space="preserve"> (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חודשים בניכוי תקופת המעצר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ע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 xml:space="preserve">על המערער הושתו עונשי מאסר על תנאי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אם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עבירת הצתה או עבירת אלימות נגד גוף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אם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עבירת איומים</w:t>
      </w:r>
      <w:r>
        <w:rPr>
          <w:rtl w:val="true"/>
        </w:rPr>
        <w:t xml:space="preserve">. </w:t>
      </w:r>
      <w:r>
        <w:rPr>
          <w:rtl w:val="true"/>
        </w:rPr>
        <w:t xml:space="preserve">עוד נקבע שהמערער ישלם פיצוי לנפגע העבירה בסך </w:t>
      </w:r>
      <w:r>
        <w:rPr/>
        <w:t>4000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יצוין כי ביום </w:t>
      </w:r>
      <w:r>
        <w:rPr/>
        <w:t>2.11.2017</w:t>
      </w:r>
      <w:r>
        <w:rPr>
          <w:rtl w:val="true"/>
        </w:rPr>
        <w:t xml:space="preserve"> </w:t>
      </w:r>
      <w:r>
        <w:rPr>
          <w:rtl w:val="true"/>
        </w:rPr>
        <w:t xml:space="preserve">עיכב בית משפט זה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בהסכמה </w:t>
      </w:r>
      <w:r>
        <w:rPr>
          <w:rtl w:val="true"/>
        </w:rPr>
        <w:t>–</w:t>
      </w:r>
      <w:r>
        <w:rPr>
          <w:rtl w:val="true"/>
        </w:rPr>
        <w:t xml:space="preserve"> את ביצוע רכיב המאסר בפועל</w:t>
      </w:r>
      <w:r>
        <w:rPr>
          <w:rtl w:val="true"/>
        </w:rPr>
        <w:t xml:space="preserve">, </w:t>
      </w:r>
      <w:r>
        <w:rPr>
          <w:rtl w:val="true"/>
        </w:rPr>
        <w:t>עד להכרעה 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בית המשפט המחוזי שגה 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וכי מדיניות הענישה הנוהגת עומדת על </w:t>
      </w:r>
      <w:r>
        <w:rPr/>
        <w:t>8-6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ממעשיו לא נשקפה סכנה אמיתית</w:t>
      </w:r>
      <w:r>
        <w:rPr>
          <w:rtl w:val="true"/>
        </w:rPr>
        <w:t xml:space="preserve">, </w:t>
      </w:r>
      <w:r>
        <w:rPr>
          <w:rtl w:val="true"/>
        </w:rPr>
        <w:t>ולא נגרם נזק ממשי בשל הכיסוי הביטוחי והפיצויים ששילמו המערער והנאשם הנוסף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טוען כי אין הצדקה לפער בין העונש שהושת עליו לבין העונש שהוטל על הנאשם הנוסף</w:t>
      </w:r>
      <w:r>
        <w:rPr>
          <w:rtl w:val="true"/>
        </w:rPr>
        <w:t xml:space="preserve">, </w:t>
      </w:r>
      <w:r>
        <w:rPr>
          <w:rtl w:val="true"/>
        </w:rPr>
        <w:t xml:space="preserve">שהורשע כמסייע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בלבד</w:t>
      </w:r>
      <w:r>
        <w:rPr>
          <w:rtl w:val="true"/>
        </w:rPr>
        <w:t xml:space="preserve">, </w:t>
      </w:r>
      <w:r>
        <w:rPr>
          <w:rtl w:val="true"/>
        </w:rPr>
        <w:t>שירוצו על דרך של עבודות שירות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 כי היה מקום לסטות ממתחם העונש לקולה לצורכי שיקום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נטען כי היה על בית המשפט לאמץ את המלצת שירות המבחן להשהות את ההליך</w:t>
      </w:r>
      <w:r>
        <w:rPr>
          <w:rtl w:val="true"/>
        </w:rPr>
        <w:t xml:space="preserve">. </w:t>
      </w:r>
      <w:r>
        <w:rPr>
          <w:rtl w:val="true"/>
        </w:rPr>
        <w:t>המערער טוען בנוסף כי לא ניתן משקל ראוי לנסיבותיו האישיות</w:t>
      </w:r>
      <w:r>
        <w:rPr>
          <w:rtl w:val="true"/>
        </w:rPr>
        <w:t xml:space="preserve">, </w:t>
      </w:r>
      <w:r>
        <w:rPr>
          <w:rtl w:val="true"/>
        </w:rPr>
        <w:t>ובהן המשבר שחווה ביחסיו הזוגיים</w:t>
      </w:r>
      <w:r>
        <w:rPr>
          <w:rtl w:val="true"/>
        </w:rPr>
        <w:t xml:space="preserve">; </w:t>
      </w:r>
      <w:r>
        <w:rPr>
          <w:rtl w:val="true"/>
        </w:rPr>
        <w:t>למצבו הבריאותי הירוד</w:t>
      </w:r>
      <w:r>
        <w:rPr>
          <w:rtl w:val="true"/>
        </w:rPr>
        <w:t xml:space="preserve">; </w:t>
      </w:r>
      <w:r>
        <w:rPr>
          <w:rtl w:val="true"/>
        </w:rPr>
        <w:t>לנזק הכלכלי שלו ושל משפחתו</w:t>
      </w:r>
      <w:r>
        <w:rPr>
          <w:rtl w:val="true"/>
        </w:rPr>
        <w:t xml:space="preserve">; </w:t>
      </w:r>
      <w:r>
        <w:rPr>
          <w:rtl w:val="true"/>
        </w:rPr>
        <w:t>ולהיעדר דפוס עברייני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 מבקש שנחשיב בתקופת המאסר גם את הימים שבהם בה היה מצוי בתנאים מגבילים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טוענת כי העונש של המערער נקבע על הצד הנמוך</w:t>
      </w:r>
      <w:r>
        <w:rPr>
          <w:rtl w:val="true"/>
        </w:rPr>
        <w:t xml:space="preserve">, </w:t>
      </w:r>
      <w:r>
        <w:rPr>
          <w:rtl w:val="true"/>
        </w:rPr>
        <w:t>וכי אין הצדקה להתערב בו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הרשעתו הקודמת מלמדת על דפוס התנהגותו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הרקע לביצוע העבירה לא היה התמכרותי כי אם רומנטי</w:t>
      </w:r>
      <w:r>
        <w:rPr>
          <w:rtl w:val="true"/>
        </w:rPr>
        <w:t xml:space="preserve">. </w:t>
      </w:r>
      <w:r>
        <w:rPr>
          <w:rtl w:val="true"/>
        </w:rPr>
        <w:t>עוד נטען כי ניתן משקל לקולה למצבו הרפואי של המערער</w:t>
      </w:r>
      <w:r>
        <w:rPr>
          <w:rtl w:val="true"/>
        </w:rPr>
        <w:t xml:space="preserve">, </w:t>
      </w:r>
      <w:r>
        <w:rPr>
          <w:rtl w:val="true"/>
        </w:rPr>
        <w:t>וכי שאלת הטיפול הרפואי היא עניין לשירות בתי הסוהר לענות בו</w:t>
      </w:r>
      <w:r>
        <w:rPr>
          <w:rtl w:val="true"/>
        </w:rPr>
        <w:t xml:space="preserve">. </w:t>
      </w:r>
      <w:r>
        <w:rPr>
          <w:rtl w:val="true"/>
        </w:rPr>
        <w:t>הוסף כי אין ממש בטענות לפערי הענישה בהשוואה לנאשם הנוסף</w:t>
      </w:r>
      <w:r>
        <w:rPr>
          <w:rtl w:val="true"/>
        </w:rPr>
        <w:t xml:space="preserve">, </w:t>
      </w:r>
      <w:r>
        <w:rPr>
          <w:rtl w:val="true"/>
        </w:rPr>
        <w:t>שכן האחרון הורשע רק בסיוע ונעדר עבר פלילי</w:t>
      </w:r>
      <w:r>
        <w:rPr>
          <w:rtl w:val="true"/>
        </w:rPr>
        <w:t xml:space="preserve">, </w:t>
      </w:r>
      <w:r>
        <w:rPr>
          <w:rtl w:val="true"/>
        </w:rPr>
        <w:t>ומשום שהומלץ על שיקום בעניינו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מיום </w:t>
      </w:r>
      <w:r>
        <w:rPr/>
        <w:t>19.2.2018</w:t>
      </w:r>
      <w:r>
        <w:rPr>
          <w:rtl w:val="true"/>
        </w:rPr>
        <w:t xml:space="preserve">, </w:t>
      </w:r>
      <w:r>
        <w:rPr>
          <w:rtl w:val="true"/>
        </w:rPr>
        <w:t>ציין שירות המבחן כי המערער החל בהליך טיפולי</w:t>
      </w:r>
      <w:r>
        <w:rPr>
          <w:rtl w:val="true"/>
        </w:rPr>
        <w:t xml:space="preserve">, </w:t>
      </w:r>
      <w:r>
        <w:rPr>
          <w:rtl w:val="true"/>
        </w:rPr>
        <w:t>וביטא רצון להתמיד בו</w:t>
      </w:r>
      <w:r>
        <w:rPr>
          <w:rtl w:val="true"/>
        </w:rPr>
        <w:t xml:space="preserve">, </w:t>
      </w:r>
      <w:r>
        <w:rPr>
          <w:rtl w:val="true"/>
        </w:rPr>
        <w:t>והוערך כי הטיפול עשוי להפחית את הסיכון להישנות עבירות דומות</w:t>
      </w:r>
      <w:r>
        <w:rPr>
          <w:rtl w:val="true"/>
        </w:rPr>
        <w:t xml:space="preserve">. </w:t>
      </w:r>
      <w:r>
        <w:rPr>
          <w:rtl w:val="true"/>
        </w:rPr>
        <w:t>עוד פורט כי חלה הגמשה בעמדות המערער</w:t>
      </w:r>
      <w:r>
        <w:rPr>
          <w:rtl w:val="true"/>
        </w:rPr>
        <w:t xml:space="preserve">, </w:t>
      </w:r>
      <w:r>
        <w:rPr>
          <w:rtl w:val="true"/>
        </w:rPr>
        <w:t>וכי הוא מגלה מוטיבציה לבחון את מצבו</w:t>
      </w:r>
      <w:r>
        <w:rPr>
          <w:rtl w:val="true"/>
        </w:rPr>
        <w:t xml:space="preserve">. </w:t>
      </w:r>
      <w:r>
        <w:rPr>
          <w:rtl w:val="true"/>
        </w:rPr>
        <w:t>שירות המבחן המליץ לדחות את הדיון בעניין המערער על מנת למצות את בחינת השתלבותו בהליך הטיפולי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בתסקיר מיום </w:t>
      </w:r>
      <w:r>
        <w:rPr/>
        <w:t>4.6.2018</w:t>
      </w:r>
      <w:r>
        <w:rPr>
          <w:rtl w:val="true"/>
        </w:rPr>
        <w:t xml:space="preserve">, </w:t>
      </w:r>
      <w:r>
        <w:rPr>
          <w:rtl w:val="true"/>
        </w:rPr>
        <w:t>שירות המבחן עמד על כך שהמערער נמצא בטיפול ביחידה לטיפול בהתמכרויות</w:t>
      </w:r>
      <w:r>
        <w:rPr>
          <w:rtl w:val="true"/>
        </w:rPr>
        <w:t xml:space="preserve">, </w:t>
      </w:r>
      <w:r>
        <w:rPr>
          <w:rtl w:val="true"/>
        </w:rPr>
        <w:t>וכי הוא מגיע לפגישות ולטיפול באופן סדיר</w:t>
      </w:r>
      <w:r>
        <w:rPr>
          <w:rtl w:val="true"/>
        </w:rPr>
        <w:t xml:space="preserve">, </w:t>
      </w:r>
      <w:r>
        <w:rPr>
          <w:rtl w:val="true"/>
        </w:rPr>
        <w:t>ומגלה מוטיבציה לניהול אורח חיים תקין</w:t>
      </w:r>
      <w:r>
        <w:rPr>
          <w:rtl w:val="true"/>
        </w:rPr>
        <w:t xml:space="preserve">. </w:t>
      </w:r>
      <w:r>
        <w:rPr>
          <w:rtl w:val="true"/>
        </w:rPr>
        <w:t>שירות המבחן ציין את התרשמותו מתהליך השינוי שעובר 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הומלץ כי המאסר המותנה יוארך וכי המערער יועמד בפיקוח שירות המבחן למשך שנה וחצי</w:t>
      </w:r>
      <w:r>
        <w:rPr>
          <w:rtl w:val="true"/>
        </w:rPr>
        <w:t xml:space="preserve">, </w:t>
      </w:r>
      <w:r>
        <w:rPr>
          <w:rtl w:val="true"/>
        </w:rPr>
        <w:t>שבמהלכן יוסיף להשתתף בתוכניות טיפול בהתמכרויות ובעבריינות</w:t>
      </w:r>
      <w:r>
        <w:rPr>
          <w:rtl w:val="true"/>
        </w:rPr>
        <w:t xml:space="preserve">. </w:t>
      </w:r>
      <w:r>
        <w:rPr>
          <w:rtl w:val="true"/>
        </w:rPr>
        <w:t>עוד צוין כי ייטב להפחית את עונש המאסר בפועל כך שניתן יהיה להמירו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אם כי נוכח מצבו הבריאותי </w:t>
      </w:r>
      <w:r>
        <w:rPr>
          <w:rtl w:val="true"/>
        </w:rPr>
        <w:t>–</w:t>
      </w:r>
      <w:r>
        <w:rPr>
          <w:rtl w:val="true"/>
        </w:rPr>
        <w:t xml:space="preserve"> לא ברור אם יימצא מתאים לכך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7.6.2018</w:t>
      </w:r>
      <w:r>
        <w:rPr>
          <w:rtl w:val="true"/>
        </w:rPr>
        <w:t xml:space="preserve"> </w:t>
      </w:r>
      <w:r>
        <w:rPr>
          <w:rtl w:val="true"/>
        </w:rPr>
        <w:t>קיימנו דיון ושמענו את טיעוני הצדדים במלואם</w:t>
      </w:r>
      <w:r>
        <w:rPr>
          <w:rtl w:val="true"/>
        </w:rPr>
        <w:t xml:space="preserve">. </w:t>
      </w:r>
      <w:r>
        <w:rPr>
          <w:rtl w:val="true"/>
        </w:rPr>
        <w:t>שירות מבחן בא בהמלצה להתחיל בהליך טיפולי של שנה וחצי</w:t>
      </w:r>
      <w:r>
        <w:rPr>
          <w:rtl w:val="true"/>
        </w:rPr>
        <w:t xml:space="preserve">, </w:t>
      </w:r>
      <w:r>
        <w:rPr>
          <w:rtl w:val="true"/>
        </w:rPr>
        <w:t>לצד מאסר בעבודות שירות</w:t>
      </w:r>
      <w:r>
        <w:rPr>
          <w:rtl w:val="true"/>
        </w:rPr>
        <w:t xml:space="preserve">. </w:t>
      </w:r>
      <w:r>
        <w:rPr>
          <w:rtl w:val="true"/>
        </w:rPr>
        <w:t>צוין כי המערער לא טיפל בבעיות ההתמכרות שלו לפני כן</w:t>
      </w:r>
      <w:r>
        <w:rPr>
          <w:rtl w:val="true"/>
        </w:rPr>
        <w:t xml:space="preserve">, </w:t>
      </w:r>
      <w:r>
        <w:rPr>
          <w:rtl w:val="true"/>
        </w:rPr>
        <w:t>אשר מחמירות בעתות משבר</w:t>
      </w:r>
      <w:r>
        <w:rPr>
          <w:rtl w:val="true"/>
        </w:rPr>
        <w:t xml:space="preserve">. </w:t>
      </w:r>
      <w:r>
        <w:rPr>
          <w:rtl w:val="true"/>
        </w:rPr>
        <w:t>בהסכמת הצדדים</w:t>
      </w:r>
      <w:r>
        <w:rPr>
          <w:rtl w:val="true"/>
        </w:rPr>
        <w:t xml:space="preserve">, </w:t>
      </w:r>
      <w:r>
        <w:rPr>
          <w:rtl w:val="true"/>
        </w:rPr>
        <w:t>נקבע כי שירות המבחן יגיש תסקיר משלים נוסף</w:t>
      </w:r>
      <w:r>
        <w:rPr>
          <w:rtl w:val="true"/>
        </w:rPr>
        <w:t xml:space="preserve">, </w:t>
      </w:r>
      <w:r>
        <w:rPr>
          <w:rtl w:val="true"/>
        </w:rPr>
        <w:t>על מנת לבחון את תהליך השיקום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מיום </w:t>
      </w:r>
      <w:r>
        <w:rPr/>
        <w:t>4.12.2018</w:t>
      </w:r>
      <w:r>
        <w:rPr>
          <w:rtl w:val="true"/>
        </w:rPr>
        <w:t xml:space="preserve">, </w:t>
      </w:r>
      <w:r>
        <w:rPr>
          <w:rtl w:val="true"/>
        </w:rPr>
        <w:t>ציין שירות המבחן כי המערער מתמיד בהליך הטיפולי</w:t>
      </w:r>
      <w:r>
        <w:rPr>
          <w:rtl w:val="true"/>
        </w:rPr>
        <w:t xml:space="preserve">, </w:t>
      </w:r>
      <w:r>
        <w:rPr>
          <w:rtl w:val="true"/>
        </w:rPr>
        <w:t>וכי הוא מפגין נכונות לערוך שינויים בחייו</w:t>
      </w:r>
      <w:r>
        <w:rPr>
          <w:rtl w:val="true"/>
        </w:rPr>
        <w:t xml:space="preserve">. </w:t>
      </w:r>
      <w:r>
        <w:rPr>
          <w:rtl w:val="true"/>
        </w:rPr>
        <w:t>שירות המבחין התרשם כי המערער עובר תהליך חיובי ומשמעותי</w:t>
      </w:r>
      <w:r>
        <w:rPr>
          <w:rtl w:val="true"/>
        </w:rPr>
        <w:t xml:space="preserve">, </w:t>
      </w:r>
      <w:r>
        <w:rPr>
          <w:rtl w:val="true"/>
        </w:rPr>
        <w:t>על אף קשייו הרגשיים והרפואיים</w:t>
      </w:r>
      <w:r>
        <w:rPr>
          <w:rtl w:val="true"/>
        </w:rPr>
        <w:t xml:space="preserve">, </w:t>
      </w:r>
      <w:r>
        <w:rPr>
          <w:rtl w:val="true"/>
        </w:rPr>
        <w:t>והמליץ לדחות את הדיון בעניין המערער לתקופה נוספת על מנת לגבש המלצה סופית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בתסקיר מיום </w:t>
      </w:r>
      <w:r>
        <w:rPr/>
        <w:t>17.3.2019</w:t>
      </w:r>
      <w:r>
        <w:rPr>
          <w:rtl w:val="true"/>
        </w:rPr>
        <w:t xml:space="preserve">, </w:t>
      </w:r>
      <w:r>
        <w:rPr>
          <w:rtl w:val="true"/>
        </w:rPr>
        <w:t>שירות המבחן עמד על כך שהמערער מתמיד ככלל בהליך הטיפולי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צוין כי חל שינוי מוגבל בהתנהגות המערער</w:t>
      </w:r>
      <w:r>
        <w:rPr>
          <w:rtl w:val="true"/>
        </w:rPr>
        <w:t xml:space="preserve">, </w:t>
      </w:r>
      <w:r>
        <w:rPr>
          <w:rtl w:val="true"/>
        </w:rPr>
        <w:t>בין היתר על רקע קשייו הבריאותיים שהקשו על סדירות הטיפול</w:t>
      </w:r>
      <w:r>
        <w:rPr>
          <w:rtl w:val="true"/>
        </w:rPr>
        <w:t xml:space="preserve">, </w:t>
      </w:r>
      <w:r>
        <w:rPr>
          <w:rtl w:val="true"/>
        </w:rPr>
        <w:t>ובשל העובדה שהוא מגלה אי יציבות במחויבותו להליך</w:t>
      </w:r>
      <w:r>
        <w:rPr>
          <w:rtl w:val="true"/>
        </w:rPr>
        <w:t xml:space="preserve">. </w:t>
      </w:r>
      <w:r>
        <w:rPr>
          <w:rtl w:val="true"/>
        </w:rPr>
        <w:t>עוד צוין כי מרכז היום שאותו פקד המערער נסגר</w:t>
      </w:r>
      <w:r>
        <w:rPr>
          <w:rtl w:val="true"/>
        </w:rPr>
        <w:t xml:space="preserve">, </w:t>
      </w:r>
      <w:r>
        <w:rPr>
          <w:rtl w:val="true"/>
        </w:rPr>
        <w:t>מה שהסב לו תסכול</w:t>
      </w:r>
      <w:r>
        <w:rPr>
          <w:rtl w:val="true"/>
        </w:rPr>
        <w:t xml:space="preserve">, </w:t>
      </w:r>
      <w:r>
        <w:rPr>
          <w:rtl w:val="true"/>
        </w:rPr>
        <w:t>וכי הוא הגיש בקשה להיקלט במרכז יום חלופי</w:t>
      </w:r>
      <w:r>
        <w:rPr>
          <w:rtl w:val="true"/>
        </w:rPr>
        <w:t xml:space="preserve">. </w:t>
      </w:r>
      <w:r>
        <w:rPr>
          <w:rtl w:val="true"/>
        </w:rPr>
        <w:t>שירות המבחן נמנע מלבוא בהמלצה סופית</w:t>
      </w:r>
      <w:r>
        <w:rPr>
          <w:rtl w:val="true"/>
        </w:rPr>
        <w:t xml:space="preserve">, </w:t>
      </w:r>
      <w:r>
        <w:rPr>
          <w:rtl w:val="true"/>
        </w:rPr>
        <w:t>וציין כי נוכח המוטיבציה הקיימת אצל המערער והצורך הניכר בטיפול אינטנסיבי</w:t>
      </w:r>
      <w:r>
        <w:rPr>
          <w:rtl w:val="true"/>
        </w:rPr>
        <w:t xml:space="preserve">, </w:t>
      </w:r>
      <w:r>
        <w:rPr>
          <w:rtl w:val="true"/>
        </w:rPr>
        <w:t>מומלץ לדחות את הדיון פעם נוספת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20.3.2019</w:t>
      </w:r>
      <w:r>
        <w:rPr>
          <w:rtl w:val="true"/>
        </w:rPr>
        <w:t xml:space="preserve"> </w:t>
      </w:r>
      <w:r>
        <w:rPr>
          <w:rtl w:val="true"/>
        </w:rPr>
        <w:t>ערכנו דיון המשך</w:t>
      </w:r>
      <w:r>
        <w:rPr>
          <w:rtl w:val="true"/>
        </w:rPr>
        <w:t xml:space="preserve">. </w:t>
      </w:r>
      <w:r>
        <w:rPr>
          <w:rtl w:val="true"/>
        </w:rPr>
        <w:t>המערער ביקש לדחות את מועד ההכרעה בערעור</w:t>
      </w:r>
      <w:r>
        <w:rPr>
          <w:rtl w:val="true"/>
        </w:rPr>
        <w:t xml:space="preserve">. </w:t>
      </w:r>
      <w:r>
        <w:rPr>
          <w:rtl w:val="true"/>
        </w:rPr>
        <w:t>נציגת שירות המבחן ציינה כי ניכרת מוטיבציה של המערער להתמיד בטיפול</w:t>
      </w:r>
      <w:r>
        <w:rPr>
          <w:rtl w:val="true"/>
        </w:rPr>
        <w:t xml:space="preserve">, </w:t>
      </w:r>
      <w:r>
        <w:rPr>
          <w:rtl w:val="true"/>
        </w:rPr>
        <w:t>אך כי בעת הנוכחית לא ניתן להצביע על מצב יציב ומאוזן</w:t>
      </w:r>
      <w:r>
        <w:rPr>
          <w:rtl w:val="true"/>
        </w:rPr>
        <w:t xml:space="preserve">. </w:t>
      </w:r>
      <w:r>
        <w:rPr>
          <w:rtl w:val="true"/>
        </w:rPr>
        <w:t>המשיבה מצידה טענה כי אין הצדקה לדחות את ההכרעה</w:t>
      </w:r>
      <w:r>
        <w:rPr>
          <w:rtl w:val="true"/>
        </w:rPr>
        <w:t xml:space="preserve">, </w:t>
      </w:r>
      <w:r>
        <w:rPr>
          <w:rtl w:val="true"/>
        </w:rPr>
        <w:t>שכן לא ניכר שינוי משמעותי בהתנהגות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lang w:eastAsia="he-IL"/>
        </w:rPr>
      </w:pPr>
      <w:r>
        <w:rPr>
          <w:rtl w:val="true"/>
        </w:rPr>
        <w:tab/>
      </w:r>
      <w:r>
        <w:rPr>
          <w:rtl w:val="true"/>
        </w:rPr>
        <w:t>לאחר שעיינו בערעור והאזנו לטיעוני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ובהינתן פרק הזמן הממושך מאז תחילת ההליך</w:t>
      </w:r>
      <w:r>
        <w:rPr>
          <w:rtl w:val="true"/>
        </w:rPr>
        <w:t xml:space="preserve">, </w:t>
      </w:r>
      <w:r>
        <w:rPr>
          <w:rtl w:val="true"/>
        </w:rPr>
        <w:t>לא מצאנו מקום לדחייה נוספת של הדיון</w:t>
      </w:r>
      <w:r>
        <w:rPr>
          <w:rtl w:val="true"/>
        </w:rPr>
        <w:t xml:space="preserve">, </w:t>
      </w:r>
      <w:r>
        <w:rPr>
          <w:rtl w:val="true"/>
        </w:rPr>
        <w:t>וראינו להכריע בערעור לגופו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  <w:t>כידוע</w:t>
      </w:r>
      <w:r>
        <w:rPr>
          <w:rtl w:val="true"/>
          <w:lang w:eastAsia="he-IL"/>
        </w:rPr>
        <w:t xml:space="preserve">, </w:t>
      </w:r>
      <w:r>
        <w:rPr>
          <w:rtl w:val="true"/>
        </w:rPr>
        <w:t>לא בנקל תתערב ערכאת ערעור בחומרת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הסוטים באופן מובהק ממדיניות הענישה הראויה או לחלופין שמתקיימות בהם נסיבות מיוחדות </w:t>
      </w:r>
      <w:r>
        <w:rPr>
          <w:rtl w:val="true"/>
        </w:rPr>
        <w:t>(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6522/15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חאג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25.5.2016</w:t>
      </w:r>
      <w:r>
        <w:rPr>
          <w:rtl w:val="true"/>
        </w:rPr>
        <w:t>);</w:t>
      </w:r>
      <w:r>
        <w:rPr>
          <w:sz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7716/14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27.4.2015</w:t>
      </w:r>
      <w:r>
        <w:rPr>
          <w:rtl w:val="true"/>
        </w:rPr>
        <w:t xml:space="preserve">)). </w:t>
      </w:r>
      <w:r>
        <w:rPr>
          <w:rtl w:val="true"/>
        </w:rPr>
        <w:t>למותר להרחיב בדבר חומרתה של עבירת ההצתה</w:t>
      </w:r>
      <w:r>
        <w:rPr>
          <w:rtl w:val="true"/>
        </w:rPr>
        <w:t xml:space="preserve">, </w:t>
      </w:r>
      <w:r>
        <w:rPr>
          <w:rtl w:val="true"/>
        </w:rPr>
        <w:t>וככלל ראוי להטיל בגינה עונש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אף מבלי שנגרם נזק רחב לרכוש או לגוף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8.11.2012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סורי</w:t>
      </w:r>
      <w:r>
        <w:rPr>
          <w:rtl w:val="true"/>
        </w:rPr>
        <w:t>)).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 xml:space="preserve">איננו סבורים כי מקרה זה חריג בהשוואה למדיניות הענישה בנסיבות דומות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2231/18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בדוואן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25.10.2018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2299/18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21.10.2018</w:t>
      </w:r>
      <w:r>
        <w:rPr>
          <w:rtl w:val="true"/>
        </w:rPr>
        <w:t xml:space="preserve">)), </w:t>
      </w:r>
      <w:r>
        <w:rPr>
          <w:rtl w:val="true"/>
        </w:rPr>
        <w:t>מה גם שהעונש הוא על הצד הנמוך של מתחם העונש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 לעונשו של הנאשם הנוסף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 שהוא הורשע בעבירת סיוע 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וניתנה המלצה שיקומית ברורה 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 שאין ממש בהשגות המערער על הפער בענישה בין השניים</w:t>
      </w:r>
      <w:r>
        <w:rPr>
          <w:rtl w:val="true"/>
          <w:lang w:eastAsia="he-IL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לא מצאנו כי יש מקום לסטות מן המתחם שנקבע לקולה לצורכי שיקום </w:t>
      </w:r>
      <w:r>
        <w:rPr>
          <w:rtl w:val="true"/>
          <w:lang w:eastAsia="he-IL"/>
        </w:rPr>
        <w:t>(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ד</w:t>
        </w:r>
      </w:hyperlink>
      <w:r>
        <w:rPr>
          <w:rtl w:val="true"/>
          <w:lang w:eastAsia="he-IL"/>
        </w:rPr>
        <w:t xml:space="preserve"> ל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6637/17</w:t>
        </w:r>
      </w:hyperlink>
      <w:r>
        <w:rPr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eastAsia="he-IL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  <w:lang w:eastAsia="he-IL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  <w:lang w:eastAsia="he-IL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  <w:lang w:eastAsia="he-IL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  <w:lang w:eastAsia="he-IL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  <w:lang w:eastAsia="he-IL"/>
        </w:rPr>
        <w:t xml:space="preserve">] </w:t>
      </w:r>
      <w:r>
        <w:rPr>
          <w:rtl w:val="true"/>
          <w:lang w:eastAsia="he-IL"/>
        </w:rPr>
        <w:t xml:space="preserve">פסקאות </w:t>
      </w:r>
      <w:r>
        <w:rPr>
          <w:lang w:eastAsia="he-IL"/>
        </w:rPr>
        <w:t>25-20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18.4.2018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קרנדל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בעניין המערער הוגשו בבית משפט זה ארבעה תסקירים משלימים מטעם שירות 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בתקופה שהתפרשה על פני למעלה משנה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בהמשך לתסקיר שהוגש בבית המשפט המחוזי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אם ניכרים סימנים חיוביים בתהליך הטיפולי והשיקומי של המערער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מגמה שיש לברך עליה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אין מדובר בשינוי יסודי ויציב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שמצדיק סטייה מן העונש ההולם שנקבע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השוו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eastAsia="he-IL"/>
        </w:rPr>
        <w:t>קרנדל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פסקאות </w:t>
      </w:r>
      <w:r>
        <w:rPr>
          <w:lang w:eastAsia="he-IL"/>
        </w:rPr>
        <w:t>30-26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מעשיו של המערער חמורים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 בהליך השיקומי כדי לאיינם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אומנם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 המבחן המליץ בשלב מסויים להקל בעונש המאסר בפועל כך שניתן יהיה לרצותו על דרך של עבודות שירות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אך </w:t>
      </w:r>
      <w:r>
        <w:rPr>
          <w:sz w:val="28"/>
          <w:sz w:val="28"/>
          <w:rtl w:val="true"/>
        </w:rPr>
        <w:t>המלצות שירות המבחן אינן מחייבות את בית 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וביכולתו לסטות ממנה מטעמים המצדיקים זאת </w:t>
      </w:r>
      <w:r>
        <w:rPr>
          <w:rFonts w:cs="Century" w:ascii="Century" w:hAnsi="Century"/>
          <w:sz w:val="22"/>
          <w:rtl w:val="true"/>
        </w:rPr>
        <w:t>(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2048/18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14.11.2018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בהינתן עקרון ההלימה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רמת הענישה הראויה והנסיבות שעליהן עמדנו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 קמה עילה להתערבותנו בעונש שנגזר על המערער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  <w:lang w:eastAsia="he-IL"/>
        </w:rPr>
        <w:t>בצד 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בכל הנוגע לאופן הפעלת העונש המותנה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מצאנו כי בנסיבות העניין </w:t>
      </w:r>
      <w:r>
        <w:rPr>
          <w:rtl w:val="true"/>
        </w:rPr>
        <w:t>יש להפעילו באופן חופף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 כי ככלל</w:t>
      </w:r>
      <w:r>
        <w:rPr>
          <w:rtl w:val="true"/>
        </w:rPr>
        <w:t xml:space="preserve">, </w:t>
      </w:r>
      <w:r>
        <w:rPr>
          <w:rtl w:val="true"/>
        </w:rPr>
        <w:t xml:space="preserve">תקופת המאסר המותנה ותקופת המאסר שהוטלה בשל עבירה נוספת ירוצו </w:t>
      </w:r>
      <w:r>
        <w:rPr>
          <w:rtl w:val="true"/>
        </w:rPr>
        <w:t>"</w:t>
      </w:r>
      <w:r>
        <w:rPr>
          <w:rtl w:val="true"/>
        </w:rPr>
        <w:t>בזו אחר זו</w:t>
      </w:r>
      <w:r>
        <w:rPr>
          <w:rtl w:val="true"/>
        </w:rPr>
        <w:t xml:space="preserve">", </w:t>
      </w:r>
      <w:r>
        <w:rPr>
          <w:rtl w:val="true"/>
        </w:rPr>
        <w:t xml:space="preserve">קרי </w:t>
      </w:r>
      <w:r>
        <w:rPr>
          <w:rtl w:val="true"/>
        </w:rPr>
        <w:t>–</w:t>
      </w:r>
      <w:r>
        <w:rPr>
          <w:rtl w:val="true"/>
        </w:rPr>
        <w:t xml:space="preserve"> באופן מצטבר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18-12</w:t>
      </w:r>
      <w:r>
        <w:rPr>
          <w:rtl w:val="true"/>
        </w:rPr>
        <w:t xml:space="preserve"> (</w:t>
      </w:r>
      <w:r>
        <w:rPr/>
        <w:t>22.2.2015</w:t>
      </w:r>
      <w:r>
        <w:rPr>
          <w:rtl w:val="true"/>
        </w:rPr>
        <w:t xml:space="preserve">)).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קובע גם כי תקופות מאסר עשויות להיות מופעלות באופן חופף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שירשמו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בהינתן נסיבותיו האישיות של 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ובייחוד מצבו הבריאותי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ונוכח ניצני השינוי החיובי שהפגין 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אם לא התגבשו בשלב זה כדי סיכוי של ממש לשיקום מלא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ראינו לחרוג מן הכלל ולהורות על הפעלת המאסר על תנאי בחופף</w:t>
      </w:r>
      <w:r>
        <w:rPr>
          <w:rtl w:val="true"/>
          <w:lang w:eastAsia="he-IL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19.10.2016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15.12.2016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–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שנכנסה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1.4.2019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להשקפתנו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יתייצב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5.5.2019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השעה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10:00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כשברשותו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תעודת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בטלפונים</w:t>
      </w:r>
      <w:r>
        <w:rPr>
          <w:sz w:val="28"/>
          <w:rtl w:val="true"/>
        </w:rPr>
        <w:t xml:space="preserve">: </w:t>
      </w:r>
      <w:r>
        <w:rPr>
          <w:sz w:val="28"/>
        </w:rPr>
        <w:t>08-9787377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08-9787336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בניסן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7.4.2019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17084350</w:t>
      </w:r>
      <w:r>
        <w:rPr>
          <w:sz w:val="16"/>
          <w:rtl w:val="true"/>
        </w:rPr>
        <w:t>_</w:t>
      </w:r>
      <w:r>
        <w:rPr>
          <w:sz w:val="16"/>
        </w:rPr>
        <w:t>M09.docx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54678313-8435/17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8435/17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דוד נפתלי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94134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58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/5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58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0618836" TargetMode="External"/><Relationship Id="rId13" Type="http://schemas.openxmlformats.org/officeDocument/2006/relationships/hyperlink" Target="http://www.nevo.co.il/case/18654015" TargetMode="External"/><Relationship Id="rId14" Type="http://schemas.openxmlformats.org/officeDocument/2006/relationships/hyperlink" Target="http://www.nevo.co.il/case/5587202" TargetMode="External"/><Relationship Id="rId15" Type="http://schemas.openxmlformats.org/officeDocument/2006/relationships/hyperlink" Target="http://www.nevo.co.il/case/23793846" TargetMode="External"/><Relationship Id="rId16" Type="http://schemas.openxmlformats.org/officeDocument/2006/relationships/hyperlink" Target="http://www.nevo.co.il/case/23824796" TargetMode="External"/><Relationship Id="rId17" Type="http://schemas.openxmlformats.org/officeDocument/2006/relationships/hyperlink" Target="http://www.nevo.co.il/law/70301/40d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2938500" TargetMode="External"/><Relationship Id="rId20" Type="http://schemas.openxmlformats.org/officeDocument/2006/relationships/hyperlink" Target="http://www.nevo.co.il/case/23775111" TargetMode="External"/><Relationship Id="rId21" Type="http://schemas.openxmlformats.org/officeDocument/2006/relationships/hyperlink" Target="http://www.nevo.co.il/law/70301/5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18654248" TargetMode="External"/><Relationship Id="rId24" Type="http://schemas.openxmlformats.org/officeDocument/2006/relationships/hyperlink" Target="http://www.nevo.co.il/law/70301/5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2019-04-08T10:36:00Z</dcterms:created>
  <dc:creator>h4</dc:creator>
  <dc:description/>
  <cp:keywords/>
  <dc:language>en-IL</dc:language>
  <cp:lastModifiedBy>orly</cp:lastModifiedBy>
  <cp:lastPrinted>2019-04-07T10:19:00Z</cp:lastPrinted>
  <dcterms:modified xsi:type="dcterms:W3CDTF">2019-04-08T10:36:00Z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נפתלי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21941347;20618836;18654015;5587202;23793846;23824796;22938500;23775111;18654248</vt:lpwstr>
  </property>
  <property fmtid="{D5CDD505-2E9C-101B-9397-08002B2CF9AE}" pid="9" name="CITY">
    <vt:lpwstr/>
  </property>
  <property fmtid="{D5CDD505-2E9C-101B-9397-08002B2CF9AE}" pid="10" name="DATE">
    <vt:lpwstr>20190407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מזוז;ג' קרא</vt:lpwstr>
  </property>
  <property fmtid="{D5CDD505-2E9C-101B-9397-08002B2CF9AE}" pid="14" name="LAWLISTTMP1">
    <vt:lpwstr>70301/448.a;040d;058:2</vt:lpwstr>
  </property>
  <property fmtid="{D5CDD505-2E9C-101B-9397-08002B2CF9AE}" pid="15" name="LAWYER">
    <vt:lpwstr>דפנה שמול;בועז קניג;ברכה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</vt:lpwstr>
  </property>
  <property fmtid="{D5CDD505-2E9C-101B-9397-08002B2CF9AE}" pid="37" name="NOSE21">
    <vt:lpwstr>עונש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498;1446;1446;1446;1446</vt:lpwstr>
  </property>
  <property fmtid="{D5CDD505-2E9C-101B-9397-08002B2CF9AE}" pid="48" name="NOSE31">
    <vt:lpwstr>ערעור</vt:lpwstr>
  </property>
  <property fmtid="{D5CDD505-2E9C-101B-9397-08002B2CF9AE}" pid="49" name="NOSE310">
    <vt:lpwstr/>
  </property>
  <property fmtid="{D5CDD505-2E9C-101B-9397-08002B2CF9AE}" pid="50" name="NOSE32">
    <vt:lpwstr>מדיניות ענישה: הצתה</vt:lpwstr>
  </property>
  <property fmtid="{D5CDD505-2E9C-101B-9397-08002B2CF9AE}" pid="51" name="NOSE33">
    <vt:lpwstr>שיקום</vt:lpwstr>
  </property>
  <property fmtid="{D5CDD505-2E9C-101B-9397-08002B2CF9AE}" pid="52" name="NOSE34">
    <vt:lpwstr>תסקיר שירות מבחן</vt:lpwstr>
  </property>
  <property fmtid="{D5CDD505-2E9C-101B-9397-08002B2CF9AE}" pid="53" name="NOSE35">
    <vt:lpwstr>דרכי ענישה: הפעלת מאסר על תנאי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3814;15357;17420;13182;17088</vt:lpwstr>
  </property>
  <property fmtid="{D5CDD505-2E9C-101B-9397-08002B2CF9AE}" pid="59" name="PADIDATE">
    <vt:lpwstr>20190408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8435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410120190407</vt:lpwstr>
  </property>
  <property fmtid="{D5CDD505-2E9C-101B-9397-08002B2CF9AE}" pid="69" name="TYPE_N_DATE">
    <vt:lpwstr>41020190407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