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8439/17</w:t>
            </w:r>
            <w:r>
              <w:rPr>
                <w:sz w:val="28"/>
                <w:szCs w:val="28"/>
                <w:rtl w:val="true"/>
              </w:rPr>
              <w:t xml:space="preserve"> 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start="5987" w:end="0"/>
              <w:jc w:val="start"/>
              <w:rPr>
                <w:sz w:val="28"/>
                <w:szCs w:val="28"/>
              </w:rPr>
            </w:pPr>
            <w:r>
              <w:rPr>
                <w:rFonts w:cs="Times New Roman;Times New Roman"/>
                <w:sz w:val="28"/>
                <w:szCs w:val="28"/>
                <w:rtl w:val="true"/>
              </w:rPr>
              <w:t xml:space="preserve">           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8452/17</w:t>
            </w:r>
          </w:p>
        </w:tc>
      </w:tr>
    </w:tbl>
    <w:p>
      <w:pPr>
        <w:pStyle w:val="Normal"/>
        <w:spacing w:lineRule="auto" w:line="480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גרוסקופף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5133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2" w:name="FirstAppellant"/>
            <w:bookmarkEnd w:id="2"/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8439/17</w:t>
            </w:r>
            <w:r>
              <w:rPr>
                <w:rtl w:val="true"/>
              </w:rPr>
              <w:t>:</w:t>
            </w:r>
          </w:p>
        </w:tc>
        <w:tc>
          <w:tcPr>
            <w:tcW w:w="51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אנטולי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שמאילוב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1"/>
        <w:gridCol w:w="5132"/>
      </w:tblGrid>
      <w:tr>
        <w:trPr/>
        <w:tc>
          <w:tcPr>
            <w:tcW w:w="32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8452/17</w:t>
            </w:r>
            <w:r>
              <w:rPr>
                <w:rtl w:val="true"/>
              </w:rPr>
              <w:t>:</w:t>
            </w:r>
          </w:p>
        </w:tc>
        <w:tc>
          <w:tcPr>
            <w:tcW w:w="51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אזר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אבדייב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2"/>
        <w:gridCol w:w="5131"/>
      </w:tblGrid>
      <w:tr>
        <w:trPr/>
        <w:tc>
          <w:tcPr>
            <w:tcW w:w="323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3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שבע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17.9.2017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19696-12-10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;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ש</w:t>
            </w:r>
            <w:r>
              <w:rPr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>'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אלון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אינפלד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8439/17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אורי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דייגי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עמית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דויטשר</w:t>
            </w:r>
          </w:p>
        </w:tc>
      </w:tr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/>
              <w:t>8452/17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זאב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גורדון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3"/>
        <w:gridCol w:w="5130"/>
      </w:tblGrid>
      <w:tr>
        <w:trPr/>
        <w:tc>
          <w:tcPr>
            <w:tcW w:w="3233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Lawyer"/>
            <w:bookmarkEnd w:id="3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30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עילית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מידן</w:t>
            </w:r>
          </w:p>
        </w:tc>
      </w:tr>
    </w:tbl>
    <w:p>
      <w:pPr>
        <w:pStyle w:val="Ruller31"/>
        <w:ind w:end="0"/>
        <w:jc w:val="start"/>
        <w:rPr>
          <w:rFonts w:cs="Miriam"/>
        </w:rPr>
      </w:pPr>
      <w:r>
        <w:rPr>
          <w:rFonts w:cs="Miriam"/>
          <w:rtl w:val="true"/>
        </w:rPr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bookmarkStart w:id="4" w:name="LawTable"/>
      <w:bookmarkEnd w:id="4"/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hyperlink r:id="rId3"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: </w:t>
      </w:r>
      <w:r>
        <w:rPr>
          <w:rFonts w:ascii="FrankRuehl;Times New Roman" w:hAnsi="FrankRuehl;Times New Roman"/>
          <w:spacing w:val="0"/>
          <w:sz w:val="24"/>
          <w:sz w:val="24"/>
          <w:szCs w:val="24"/>
          <w:rtl w:val="true"/>
        </w:rPr>
        <w:t>סע</w:t>
      </w: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ג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287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403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40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יג</w:t>
        </w:r>
      </w:hyperlink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499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bookmarkStart w:id="5" w:name="ABSTRACT_START"/>
      <w:bookmarkStart w:id="6" w:name="LawTable_End"/>
      <w:bookmarkEnd w:id="5"/>
      <w:bookmarkEnd w:id="6"/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לגבי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בשקלול חלוף הזמן החריג שעמד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שנים בין מועד הגשת כתב האישום לבין 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נסיבותיו האישיות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סבור כי ניתן להקל בעונשו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על דרך העמדתו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במקום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שנים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חלוף הזמן מהווה אינדיקציה לשינוי משמעותי בחייו ובדרכו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אשר למערער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הוחלט להקל גם מעונשו במידה מסוימת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ולהעמידו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שנות מאסר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במקום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נוכח עקרון אחדות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בשאיפה לשמור על פער מתקבל על הדעת בין עונשו של מערער זה לבין עונשם של יתר המעורבים בפרשה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שיקום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אחדות הענישה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 ערעורים על חומרת העונש שהוטלו על המערערים בעקבות הרשעתם בביצוע מספר מעשי שוד אלימים או ניסיון שוד בחבורה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קשירת קשר לביצוע פשע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כניסה והתפרצות למקום מגורים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וכן עבירות נוספות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על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הוטל עונש של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והפעלת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חודשי מאסר על תנאי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בהם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במצטבר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בחופף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שנת מאסר על תנאי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קנס בגובה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ופיצוי כספי לנפגעי העבירה בגובה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75,000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על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הוטל עונש של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: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וחצי שנים מאסר בפועל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הפעלת שנת מאסר על תנאי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מחציתה במצטבר ומחציתה בחופף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שנה וחצי מאסר על תנאי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קנס בגובה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פיצוי לנפגע העבירה באישום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9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בסך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35,000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השופט ע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גרוסקופף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 בהסכמת השופטים נ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סולברג ו ג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קרא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קיבל את הערעורים בחלקם מהטעמים הבאים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המערערים הורשעו בעבירות קשות וחמורות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כאשר מעבר לפגיעות הפיזיות והכלכליות שפגעו בנפגעים והצער שגרמו להם ולמשפחותיהם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ערערו מעשיהם את תחושת הביטחון הכללית של הציבור כשאותתו לאזרחים תמימים שסכנה אורבת להם בד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אמותיו של ביתם הפרטי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מתחמי הענישה שקבע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 משקפים את פגיעת המערערים בערכים החברתיים המוגנים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והמערערים אינם טוענים כנגדם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השאלה הנשאלת איפוא היא האם יש בנסיבות האישיות של המערערים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ובשיקולי אחידות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כדי להקל בעונשם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בין אם באמצעות הפחתתו בתוך מתחם הענישה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ובין אם באמצעות חריגה ממנו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בסופו של יום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לגבי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בשקלול חלוף הזמן החריג שעמד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שנים בין מועד הגשת כתב האישום לבין גזר הדין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יחד עם נסיבותיו האישיות שהשתנו בתקופה שבין קרות המעשים לבין מתן גזר הדין הוחלט להקל בעונשו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על דרך העמדתו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6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שנות מאסר בפועל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במקום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שנים 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-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4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אכן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שציין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שיקול ההרתעה בענישה מאבד מתוקפו עת חולף זמן רב מקרות המעשה עד למתן העונש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ואולם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בהתחשב בהמלצת שירות המבחן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אין הצדקה להתערב בהחלטת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 קמא שלא להוריד משמעותית ממשקל שיקול ההרתעה ביחס למערער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לעומת נאשמים אחרים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יש בשיקולי שיקום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שהתעצמו לנוכח התמשכות ההליך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כדי להצדיק הפחתה מסוימת בעונשו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הפער בין דרכו העבריינית דאז לבין דרכו הנורמטיבית דהיום הוא גדול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בכך מאפשרות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7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השנים בהן התנהלה הפרשה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מתוכן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5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שנים בהן היה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חופשי ולא בתנאי מעצר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ללמוד על השינוי המשמעותי שערך בחייו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בכך יש כדי לצקת משקל נוסף לשיקול השיקום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למען ימשיך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לדבוק בדרכו הנוכחית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אשר למערער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נמצא כי ניתן להקל גם מעונשו במידה מסוימת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ולהעמידו על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10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שנות מאסר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(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במקום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שנות מאסר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).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הטעם לכך הוא השאיפה לשמור על פער מתקבל על הדעת בין עונשו של מערער זה לבין עונשם של יתר המעורבים בפרשה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בהתאם לעיקרון האחידות בענישה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לעמדת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פער של ארבע שנים מעונשו של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די בו על מנת לבטא את החומרה היחסית שיש ליחס למעשיו והתנהלותו של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בייתר הטענות לא נמצא ממש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בין היתר נקבע כי חלוף הזמן אינו יכול לעמוד לזכות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באותו האופן בו עמד לזכות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כפי שצוין לעיל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חלוף הזמן בעניינו של המערער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1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מצדיק הפחתה מעונשו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שכן הוא מהווה אינדיקציה לשינוי משמעותי בחייו ובדרכו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לעומת זאת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 xml:space="preserve">חלוף הזמן ביחס למערער 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</w:rPr>
        <w:t>2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מציג תמונה הפוכה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;Times New Roman" w:hAnsi="Times New Roman;Times New Roman" w:cs="Times New Roman;Times New Roman"/>
          <w:spacing w:val="0"/>
          <w:sz w:val="24"/>
          <w:szCs w:val="26"/>
        </w:rPr>
      </w:pP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לא נמצא להתערב ביתר רכיבי העונש שנגזר למערערים על ידי ביהמ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>"</w:t>
      </w:r>
      <w:r>
        <w:rPr>
          <w:rFonts w:ascii="Times New Roman;Times New Roman" w:hAnsi="Times New Roman;Times New Roman" w:cs="Times New Roman;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;Times New Roman" w:ascii="Times New Roman;Times New Roman" w:hAnsi="Times New Roman;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31"/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pacing w:val="0"/>
          <w:sz w:val="24"/>
          <w:szCs w:val="24"/>
        </w:rPr>
      </w:pPr>
      <w:r>
        <w:rPr>
          <w:rFonts w:cs="FrankRuehl;Times New Roman" w:ascii="FrankRuehl;Times New Roman" w:hAnsi="FrankRuehl;Times New Roman"/>
          <w:spacing w:val="0"/>
          <w:sz w:val="24"/>
          <w:szCs w:val="24"/>
          <w:rtl w:val="true"/>
        </w:rPr>
      </w:r>
      <w:bookmarkStart w:id="7" w:name="ABSTRACT_END"/>
      <w:bookmarkStart w:id="8" w:name="ABSTRACT_END"/>
      <w:bookmarkEnd w:id="8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ע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גרוסקופף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2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Start_Write"/>
      <w:bookmarkStart w:id="14" w:name="Start_Write"/>
      <w:bookmarkEnd w:id="14"/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בבאר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17.9.2017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19696-12-10</w:t>
        </w:r>
      </w:hyperlink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Cs w:val="24"/>
          <w:rtl w:val="true"/>
        </w:rPr>
        <w:t xml:space="preserve">]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אינפלד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יחדיו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המערערים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tl w:val="true"/>
        </w:rPr>
        <w:t xml:space="preserve">)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קשירת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כניסה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והתפרצות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מגורים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, </w:t>
      </w:r>
      <w:r>
        <w:rPr>
          <w:rtl w:val="true"/>
        </w:rPr>
        <w:t>ובהם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קנסות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צמצמו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ערעורם</w:t>
      </w:r>
      <w:r>
        <w:rPr>
          <w:rtl w:val="true"/>
        </w:rPr>
        <w:t xml:space="preserve">, </w:t>
      </w:r>
      <w:r>
        <w:rPr>
          <w:rtl w:val="true"/>
        </w:rPr>
        <w:t>והפנו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tl w:val="true"/>
        </w:rPr>
        <w:t xml:space="preserve">. 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המקרה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השתתפו</w:t>
      </w:r>
      <w:r>
        <w:rPr>
          <w:rtl w:val="true"/>
        </w:rPr>
        <w:t xml:space="preserve">, </w:t>
      </w:r>
      <w:r>
        <w:rPr>
          <w:rtl w:val="true"/>
        </w:rPr>
        <w:t>כל אחד לפי חלקו</w:t>
      </w:r>
      <w:r>
        <w:rPr>
          <w:rtl w:val="true"/>
        </w:rPr>
        <w:t xml:space="preserve">, </w:t>
      </w:r>
      <w:r>
        <w:rPr>
          <w:rtl w:val="true"/>
        </w:rPr>
        <w:t xml:space="preserve">בביצוע מספר מעשי שוד אלימים ברחבי הארץ במהלך תקופה שתחילתה בסוף שנת </w:t>
      </w:r>
      <w:r>
        <w:rPr/>
        <w:t>2009</w:t>
      </w:r>
      <w:r>
        <w:rPr>
          <w:rtl w:val="true"/>
        </w:rPr>
        <w:t xml:space="preserve"> </w:t>
      </w:r>
      <w:r>
        <w:rPr>
          <w:rtl w:val="true"/>
        </w:rPr>
        <w:t xml:space="preserve">וסיומה במעצרם בחודש נובמבר </w:t>
      </w:r>
      <w:r>
        <w:rPr/>
        <w:t>2010</w:t>
      </w:r>
      <w:r>
        <w:rPr>
          <w:rtl w:val="true"/>
        </w:rPr>
        <w:t xml:space="preserve">. </w:t>
      </w:r>
      <w:r>
        <w:rPr>
          <w:rtl w:val="true"/>
        </w:rPr>
        <w:t xml:space="preserve">המערערים פעלו במסגרת קבוצה עבריינית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החבורה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), </w:t>
      </w:r>
      <w:r>
        <w:rPr>
          <w:rtl w:val="true"/>
        </w:rPr>
        <w:t>אליה חברו מעורבים שונים על פי הזמנה</w:t>
      </w:r>
      <w:r>
        <w:rPr>
          <w:rtl w:val="true"/>
        </w:rPr>
        <w:t xml:space="preserve">, </w:t>
      </w:r>
      <w:r>
        <w:rPr>
          <w:rtl w:val="true"/>
        </w:rPr>
        <w:t>ותקיפותיהם התרחשו לאחר איסוף מודיעין</w:t>
      </w:r>
      <w:r>
        <w:rPr>
          <w:rtl w:val="true"/>
        </w:rPr>
        <w:t xml:space="preserve">, </w:t>
      </w:r>
      <w:r>
        <w:rPr>
          <w:rtl w:val="true"/>
        </w:rPr>
        <w:t>תכנון והכנה</w:t>
      </w:r>
      <w:r>
        <w:rPr>
          <w:rtl w:val="true"/>
        </w:rPr>
        <w:t xml:space="preserve">. </w:t>
      </w:r>
      <w:r>
        <w:rPr>
          <w:rtl w:val="true"/>
        </w:rPr>
        <w:t>המערערים היו דמויות מרכזיות בחבורה</w:t>
      </w:r>
      <w:r>
        <w:rPr>
          <w:rtl w:val="true"/>
        </w:rPr>
        <w:t xml:space="preserve">, </w:t>
      </w:r>
      <w:r>
        <w:rPr>
          <w:rtl w:val="true"/>
        </w:rPr>
        <w:t xml:space="preserve">כאשר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נמצא בדירוג בכיר יותר מהמערער </w:t>
      </w:r>
      <w:r>
        <w:rPr/>
        <w:t>1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tl w:val="true"/>
        </w:rPr>
        <w:t xml:space="preserve">ביום </w:t>
      </w:r>
      <w:r>
        <w:rPr/>
        <w:t>12.12.2010</w:t>
      </w:r>
      <w:r>
        <w:rPr>
          <w:rtl w:val="true"/>
        </w:rPr>
        <w:t xml:space="preserve"> </w:t>
      </w:r>
      <w:r>
        <w:rPr>
          <w:rtl w:val="true"/>
        </w:rPr>
        <w:t>הוגש לבית המשפט המחוזי בבאר שבע כתב אישום אשר מנה כ</w:t>
      </w:r>
      <w:r>
        <w:rPr>
          <w:rtl w:val="true"/>
        </w:rPr>
        <w:t>-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 xml:space="preserve">אישומים וכוון נגד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tl w:val="true"/>
        </w:rPr>
        <w:t xml:space="preserve">. </w:t>
      </w:r>
      <w:r>
        <w:rPr>
          <w:rtl w:val="true"/>
        </w:rPr>
        <w:t>במסגרת הדיונים בפרשה שמע בית המשפט קמא ראיות רבות</w:t>
      </w:r>
      <w:r>
        <w:rPr>
          <w:rtl w:val="true"/>
        </w:rPr>
        <w:t xml:space="preserve">, </w:t>
      </w:r>
      <w:r>
        <w:rPr>
          <w:rtl w:val="true"/>
        </w:rPr>
        <w:t>בהן האזנות סתר</w:t>
      </w:r>
      <w:r>
        <w:rPr>
          <w:rtl w:val="true"/>
        </w:rPr>
        <w:t xml:space="preserve">, </w:t>
      </w:r>
      <w:r>
        <w:rPr>
          <w:rtl w:val="true"/>
        </w:rPr>
        <w:t>מעקבים</w:t>
      </w:r>
      <w:r>
        <w:rPr>
          <w:rtl w:val="true"/>
        </w:rPr>
        <w:t xml:space="preserve">, </w:t>
      </w:r>
      <w:r>
        <w:rPr>
          <w:rtl w:val="true"/>
        </w:rPr>
        <w:t>תוצרי חקירה ועוד</w:t>
      </w:r>
      <w:r>
        <w:rPr>
          <w:rtl w:val="true"/>
        </w:rPr>
        <w:t xml:space="preserve">, </w:t>
      </w:r>
      <w:r>
        <w:rPr>
          <w:rtl w:val="true"/>
        </w:rPr>
        <w:t>כאשר במוקד הראיות לעצם קיום החבורה</w:t>
      </w:r>
      <w:r>
        <w:rPr>
          <w:rtl w:val="true"/>
        </w:rPr>
        <w:t xml:space="preserve">, </w:t>
      </w:r>
      <w:r>
        <w:rPr>
          <w:rtl w:val="true"/>
        </w:rPr>
        <w:t>ודרכי פעולתה</w:t>
      </w:r>
      <w:r>
        <w:rPr>
          <w:rtl w:val="true"/>
        </w:rPr>
        <w:t xml:space="preserve">, </w:t>
      </w:r>
      <w:r>
        <w:rPr>
          <w:rtl w:val="true"/>
        </w:rPr>
        <w:t>ניצבה עדות של אחד המעורבים המרכזיים בחבורה</w:t>
      </w:r>
      <w:r>
        <w:rPr>
          <w:rtl w:val="true"/>
        </w:rPr>
        <w:t xml:space="preserve">, </w:t>
      </w:r>
      <w:r>
        <w:rPr>
          <w:rtl w:val="true"/>
        </w:rPr>
        <w:t xml:space="preserve">אשר עמו נחתם הסכם עד מדינה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המדינה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). </w:t>
      </w:r>
      <w:r>
        <w:rPr>
          <w:rtl w:val="true"/>
        </w:rPr>
        <w:t xml:space="preserve">עוד צוין כי במהלך ההליכים בבית המשפט קמא ברח מן הארץ אחד הנאשמים בכתב האישום </w:t>
      </w:r>
      <w:r>
        <w:rPr>
          <w:rtl w:val="true"/>
        </w:rPr>
        <w:t>(</w:t>
      </w:r>
      <w:r>
        <w:rPr>
          <w:rtl w:val="true"/>
        </w:rPr>
        <w:t xml:space="preserve">הנאשם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 xml:space="preserve">וחמישה נאשמים אחרים הגיעו להסדרי טיעון ועניינם הופרד </w:t>
      </w:r>
      <w:r>
        <w:rPr>
          <w:rtl w:val="true"/>
        </w:rPr>
        <w:t>(</w:t>
      </w:r>
      <w:r>
        <w:rPr>
          <w:rtl w:val="true"/>
        </w:rPr>
        <w:t xml:space="preserve">הנאשמים </w:t>
      </w:r>
      <w:r>
        <w:rPr/>
        <w:t>8-4</w:t>
      </w:r>
      <w:r>
        <w:rPr>
          <w:rtl w:val="true"/>
        </w:rPr>
        <w:t xml:space="preserve">). </w:t>
      </w:r>
      <w:r>
        <w:rPr>
          <w:rtl w:val="true"/>
        </w:rPr>
        <w:t xml:space="preserve">הכרעת הדין וגזר הדין התייחסו לפיכך לארבעה נאשמים מכתב האישום </w:t>
      </w:r>
      <w:r>
        <w:rPr>
          <w:rtl w:val="true"/>
        </w:rPr>
        <w:t>(</w:t>
      </w:r>
      <w:r>
        <w:rPr>
          <w:rtl w:val="true"/>
        </w:rPr>
        <w:t xml:space="preserve">נאשמים </w:t>
      </w:r>
      <w:r>
        <w:rPr/>
        <w:t>2</w:t>
      </w:r>
      <w:r>
        <w:rPr>
          <w:rtl w:val="true"/>
        </w:rPr>
        <w:t xml:space="preserve">, </w:t>
      </w:r>
      <w:r>
        <w:rPr/>
        <w:t>3</w:t>
      </w:r>
      <w:r>
        <w:rPr>
          <w:rtl w:val="true"/>
        </w:rPr>
        <w:t xml:space="preserve">,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10</w:t>
      </w:r>
      <w:r>
        <w:rPr>
          <w:rtl w:val="true"/>
        </w:rPr>
        <w:t xml:space="preserve">), </w:t>
      </w:r>
      <w:r>
        <w:rPr>
          <w:rtl w:val="true"/>
        </w:rPr>
        <w:t xml:space="preserve">בהם המערערים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שלפנינו </w:t>
      </w:r>
      <w:r>
        <w:rPr>
          <w:rtl w:val="true"/>
        </w:rPr>
        <w:t>(</w:t>
      </w:r>
      <w:r>
        <w:rPr>
          <w:rtl w:val="true"/>
        </w:rPr>
        <w:t xml:space="preserve">הנאשמים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בהתאמה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</w:rPr>
      </w:pPr>
      <w:r>
        <w:rPr>
          <w:rFonts w:eastAsia="Garamond"/>
          <w:rtl w:val="true"/>
        </w:rPr>
        <w:t xml:space="preserve"> </w:t>
      </w:r>
      <w:r>
        <w:rPr>
          <w:rtl w:val="true"/>
        </w:rPr>
        <w:t xml:space="preserve">ביום </w:t>
      </w:r>
      <w:r>
        <w:rPr/>
        <w:t>29.3.2017</w:t>
      </w:r>
      <w:r>
        <w:rPr>
          <w:rtl w:val="true"/>
        </w:rPr>
        <w:t xml:space="preserve"> </w:t>
      </w:r>
      <w:r>
        <w:rPr>
          <w:rtl w:val="true"/>
        </w:rPr>
        <w:t>נתן בית המשפט קמא את הכרעת הדין בפרשה</w:t>
      </w:r>
      <w:r>
        <w:rPr>
          <w:rtl w:val="true"/>
        </w:rPr>
        <w:t xml:space="preserve">, </w:t>
      </w:r>
      <w:r>
        <w:rPr>
          <w:rtl w:val="true"/>
        </w:rPr>
        <w:t>ומובאים בה בפירוט ובהרחבה האישומים בהם הורשעו המערערים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תוך התייחסות גם לאישומים השונים מהם זוכו </w:t>
      </w:r>
      <w:r>
        <w:rPr>
          <w:rtl w:val="true"/>
        </w:rPr>
        <w:t>(</w:t>
      </w:r>
      <w:r>
        <w:rPr>
          <w:rtl w:val="true"/>
        </w:rPr>
        <w:t>אשר מהווים חלק לא מבוטל מהמעשים שיוחסו להם בכתב האישום</w:t>
      </w:r>
      <w:r>
        <w:rPr>
          <w:rtl w:val="true"/>
        </w:rPr>
        <w:t xml:space="preserve">), </w:t>
      </w:r>
      <w:r>
        <w:rPr>
          <w:rtl w:val="true"/>
        </w:rPr>
        <w:t>וכן להליך החקירה</w:t>
      </w:r>
      <w:r>
        <w:rPr>
          <w:rtl w:val="true"/>
        </w:rPr>
        <w:t xml:space="preserve">, </w:t>
      </w:r>
      <w:r>
        <w:rPr>
          <w:rtl w:val="true"/>
        </w:rPr>
        <w:t>לחוקרים</w:t>
      </w:r>
      <w:r>
        <w:rPr>
          <w:rtl w:val="true"/>
        </w:rPr>
        <w:t xml:space="preserve">, </w:t>
      </w:r>
      <w:r>
        <w:rPr>
          <w:rtl w:val="true"/>
        </w:rPr>
        <w:t>למהימנות עד המדינה ולשאר הראיות השונות שהובאו בפניו</w:t>
      </w:r>
      <w:r>
        <w:rPr>
          <w:rtl w:val="true"/>
        </w:rPr>
        <w:t xml:space="preserve">. </w:t>
      </w:r>
      <w:r>
        <w:rPr>
          <w:rtl w:val="true"/>
        </w:rPr>
        <w:t>להלן יובאו בקיצור נמרץ עיקרי ההרשעה בלבד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 באופן מלא או חלקי בארבעה מתוך שבעת האישומים שיוחסו לו</w:t>
      </w:r>
      <w:r>
        <w:rPr>
          <w:rtl w:val="true"/>
        </w:rPr>
        <w:t xml:space="preserve">, </w:t>
      </w:r>
      <w:r>
        <w:rPr>
          <w:rtl w:val="true"/>
        </w:rPr>
        <w:t>וזאת בהתאם למפורט להלן</w:t>
      </w:r>
      <w:r>
        <w:rPr>
          <w:rtl w:val="true"/>
        </w:rPr>
        <w:t xml:space="preserve">: </w:t>
      </w:r>
      <w:r>
        <w:rPr>
          <w:rtl w:val="true"/>
        </w:rPr>
        <w:t xml:space="preserve">קשירת קשר ושוד בחבורה תוך שימוש באלימות </w:t>
      </w:r>
      <w:r>
        <w:rPr>
          <w:rtl w:val="true"/>
        </w:rPr>
        <w:t>(</w:t>
      </w:r>
      <w:hyperlink r:id="rId1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3"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החוק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"</w:t>
      </w:r>
      <w:r>
        <w:rPr>
          <w:rFonts w:cs="Times New Roman;Times New Roman" w:ascii="Times New Roman;Times New Roman" w:hAnsi="Times New Roman;Times New Roman"/>
          <w:rtl w:val="true"/>
        </w:rPr>
        <w:t>)</w:t>
      </w:r>
      <w:r>
        <w:rPr>
          <w:rtl w:val="true"/>
        </w:rPr>
        <w:t xml:space="preserve">), </w:t>
      </w:r>
      <w:r>
        <w:rPr>
          <w:rtl w:val="true"/>
        </w:rPr>
        <w:t xml:space="preserve">בעקבות שוד אלים שאירע בירושלים במסגרתו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ושותפים נוספים היכו וכפתו אדם מבוגר</w:t>
      </w:r>
      <w:r>
        <w:rPr>
          <w:rtl w:val="true"/>
        </w:rPr>
        <w:t xml:space="preserve">, </w:t>
      </w:r>
      <w:r>
        <w:rPr>
          <w:rtl w:val="true"/>
        </w:rPr>
        <w:t>איימו עליו</w:t>
      </w:r>
      <w:r>
        <w:rPr>
          <w:rtl w:val="true"/>
        </w:rPr>
        <w:t xml:space="preserve">, </w:t>
      </w:r>
      <w:r>
        <w:rPr>
          <w:rtl w:val="true"/>
        </w:rPr>
        <w:t>וגנבו כ</w:t>
      </w:r>
      <w:r>
        <w:rPr>
          <w:rtl w:val="true"/>
        </w:rPr>
        <w:t>-</w:t>
      </w:r>
      <w:r>
        <w:rPr/>
        <w:t>100,000</w:t>
      </w:r>
      <w:r>
        <w:rPr>
          <w:rtl w:val="true"/>
        </w:rPr>
        <w:t xml:space="preserve"> </w:t>
      </w:r>
      <w:r>
        <w:rPr>
          <w:rtl w:val="true"/>
        </w:rPr>
        <w:t xml:space="preserve">דולר וזהב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); </w:t>
      </w:r>
      <w:r>
        <w:rPr>
          <w:rtl w:val="true"/>
        </w:rPr>
        <w:t xml:space="preserve">קשירת קשר וניסיון שוד בחבורה </w:t>
      </w:r>
      <w:r>
        <w:rPr>
          <w:rtl w:val="true"/>
        </w:rPr>
        <w:t>(</w:t>
      </w:r>
      <w:hyperlink r:id="rId1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6"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 xml:space="preserve">), </w:t>
      </w:r>
      <w:r>
        <w:rPr>
          <w:rtl w:val="true"/>
        </w:rPr>
        <w:t>בעקבות ניסיון לשדוד דירה בירושלים</w:t>
      </w:r>
      <w:r>
        <w:rPr>
          <w:rtl w:val="true"/>
        </w:rPr>
        <w:t xml:space="preserve">, </w:t>
      </w:r>
      <w:r>
        <w:rPr>
          <w:rtl w:val="true"/>
        </w:rPr>
        <w:t>אשר סוכל בזכות נוכחות דיירי הבית במקום</w:t>
      </w:r>
      <w:r>
        <w:rPr>
          <w:rtl w:val="true"/>
        </w:rPr>
        <w:t xml:space="preserve">. </w:t>
      </w:r>
      <w:r>
        <w:rPr>
          <w:rtl w:val="true"/>
        </w:rPr>
        <w:t xml:space="preserve">במסגרת אירוע זה נקבעה אחריות פלילית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ביחס לאלימות קשה שהפעיל עד המדינה כלפי קשיש בן </w:t>
      </w:r>
      <w:r>
        <w:rPr/>
        <w:t>80</w:t>
      </w:r>
      <w:r>
        <w:rPr>
          <w:rtl w:val="true"/>
        </w:rPr>
        <w:t xml:space="preserve"> </w:t>
      </w:r>
      <w:r>
        <w:rPr>
          <w:rtl w:val="true"/>
        </w:rPr>
        <w:t>ששהה בבית</w:t>
      </w:r>
      <w:r>
        <w:rPr>
          <w:rtl w:val="true"/>
        </w:rPr>
        <w:t xml:space="preserve">, </w:t>
      </w:r>
      <w:r>
        <w:rPr>
          <w:rtl w:val="true"/>
        </w:rPr>
        <w:t xml:space="preserve">משום היותם מבצעים בצוותא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4</w:t>
      </w:r>
      <w:r>
        <w:rPr>
          <w:rtl w:val="true"/>
        </w:rPr>
        <w:t xml:space="preserve">); </w:t>
      </w:r>
      <w:r>
        <w:rPr>
          <w:rtl w:val="true"/>
        </w:rPr>
        <w:t xml:space="preserve">קשירת קשר ושוד בחבורה תוך שימוש באלימות </w:t>
      </w:r>
      <w:r>
        <w:rPr>
          <w:rtl w:val="true"/>
        </w:rPr>
        <w:t>(</w:t>
      </w:r>
      <w:hyperlink r:id="rId17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8"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כניסת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יחד עם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ועד המדינה</w:t>
      </w:r>
      <w:r>
        <w:rPr>
          <w:rtl w:val="true"/>
        </w:rPr>
        <w:t xml:space="preserve">, </w:t>
      </w:r>
      <w:r>
        <w:rPr>
          <w:rtl w:val="true"/>
        </w:rPr>
        <w:t>לדירתו של אדם זקן בשדרות תוך שהם מפעילים כלפיו אלימות קשה</w:t>
      </w:r>
      <w:r>
        <w:rPr>
          <w:rtl w:val="true"/>
        </w:rPr>
        <w:t xml:space="preserve">, </w:t>
      </w:r>
      <w:r>
        <w:rPr>
          <w:rtl w:val="true"/>
        </w:rPr>
        <w:t>כופתים אותו ומכסים את פניו</w:t>
      </w:r>
      <w:r>
        <w:rPr>
          <w:rtl w:val="true"/>
        </w:rPr>
        <w:t xml:space="preserve">, </w:t>
      </w:r>
      <w:r>
        <w:rPr>
          <w:rtl w:val="true"/>
        </w:rPr>
        <w:t>וכן גניבה של כ</w:t>
      </w:r>
      <w:r>
        <w:rPr>
          <w:rtl w:val="true"/>
        </w:rPr>
        <w:t>-</w:t>
      </w:r>
      <w:r>
        <w:rPr/>
        <w:t>23,000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 xml:space="preserve">ח וכמה מאות דולרים מהדירה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9</w:t>
      </w:r>
      <w:r>
        <w:rPr>
          <w:rtl w:val="true"/>
        </w:rPr>
        <w:t xml:space="preserve">); </w:t>
      </w:r>
      <w:r>
        <w:rPr>
          <w:rtl w:val="true"/>
        </w:rPr>
        <w:t xml:space="preserve">קשירת קשר וניסיון התפרצות לבית מגורים בכוונה לגנוב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0"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תכנית שלא יצאה לפועל לשדוד קורבן מסוים בביתו ברמת גן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11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הורשע באופן מלא או חלקי בשבעה מתוך שנים עשר האישומים שיוחסו לו</w:t>
      </w:r>
      <w:r>
        <w:rPr>
          <w:rtl w:val="true"/>
        </w:rPr>
        <w:t xml:space="preserve">, </w:t>
      </w:r>
      <w:r>
        <w:rPr>
          <w:rtl w:val="true"/>
        </w:rPr>
        <w:t>וזאת כמפורט להלן</w:t>
      </w:r>
      <w:r>
        <w:rPr>
          <w:rtl w:val="true"/>
        </w:rPr>
        <w:t xml:space="preserve">: </w:t>
      </w:r>
      <w:r>
        <w:rPr>
          <w:rtl w:val="true"/>
        </w:rPr>
        <w:t xml:space="preserve">קשירת קשר וניסיון שוד בחבורה </w:t>
      </w:r>
      <w:r>
        <w:rPr>
          <w:rtl w:val="true"/>
        </w:rPr>
        <w:t>(</w:t>
      </w:r>
      <w:hyperlink r:id="rId21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חלקו בהתארגנות לשדידת חנות בנתיבות אשר לא יצאה לפועל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6</w:t>
      </w:r>
      <w:r>
        <w:rPr>
          <w:rtl w:val="true"/>
        </w:rPr>
        <w:t xml:space="preserve">); </w:t>
      </w:r>
      <w:r>
        <w:rPr>
          <w:rtl w:val="true"/>
        </w:rPr>
        <w:t xml:space="preserve">קשירת קשר לשוד </w:t>
      </w:r>
      <w:r>
        <w:rPr>
          <w:rtl w:val="true"/>
        </w:rPr>
        <w:t>(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התארגנות לשדידת חנות בנתיבות אשר לא יצאה לפועל אף היא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7</w:t>
      </w:r>
      <w:r>
        <w:rPr>
          <w:rtl w:val="true"/>
        </w:rPr>
        <w:t xml:space="preserve">); </w:t>
      </w:r>
      <w:r>
        <w:rPr>
          <w:rtl w:val="true"/>
        </w:rPr>
        <w:t xml:space="preserve">קשירת קשר ושוד בחבורה תוך שימוש באלימות </w:t>
      </w:r>
      <w:r>
        <w:rPr>
          <w:rtl w:val="true"/>
        </w:rPr>
        <w:t>(</w:t>
      </w:r>
      <w:hyperlink r:id="rId24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499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5">
        <w:r>
          <w:rPr>
            <w:rStyle w:val="Hyperlink"/>
            <w:color w:val="0000FF"/>
            <w:u w:val="single"/>
          </w:rPr>
          <w:t>402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אירוע שפורט לעיל תחת אישום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ביחס למערער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 xml:space="preserve">קשירת קשר וניסיון התפרצות לבית מגורים בכוונה לגנוב </w:t>
      </w:r>
      <w:r>
        <w:rPr>
          <w:rtl w:val="true"/>
        </w:rPr>
        <w:t>(</w:t>
      </w:r>
      <w:hyperlink r:id="rId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7">
        <w:r>
          <w:rPr>
            <w:rStyle w:val="Hyperlink"/>
            <w:color w:val="0000FF"/>
            <w:u w:val="single"/>
          </w:rPr>
          <w:t>406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אירוע שפורט לעיל תחת אישום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 xml:space="preserve">ביחס למערער </w:t>
      </w:r>
      <w:r>
        <w:rPr/>
        <w:t>1</w:t>
      </w:r>
      <w:r>
        <w:rPr>
          <w:rtl w:val="true"/>
        </w:rPr>
        <w:t xml:space="preserve">; </w:t>
      </w:r>
      <w:r>
        <w:rPr>
          <w:rtl w:val="true"/>
        </w:rPr>
        <w:t xml:space="preserve">קשירת קשר לביצוע שוד בחבורה </w:t>
      </w:r>
      <w:r>
        <w:rPr>
          <w:rtl w:val="true"/>
        </w:rPr>
        <w:t>(</w:t>
      </w:r>
      <w:hyperlink r:id="rId2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תכנית שלא יצאה לפועל לשדוד סוכן תכשיטים בשדרות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16</w:t>
      </w:r>
      <w:r>
        <w:rPr>
          <w:rtl w:val="true"/>
        </w:rPr>
        <w:t xml:space="preserve">); </w:t>
      </w:r>
      <w:r>
        <w:rPr>
          <w:rtl w:val="true"/>
        </w:rPr>
        <w:t xml:space="preserve">שתי עבירות קשירת קשר לשוד ושתי עבירות ניסיון שוד בחבורה </w:t>
      </w:r>
      <w:r>
        <w:rPr>
          <w:rtl w:val="true"/>
        </w:rPr>
        <w:t>(</w:t>
      </w:r>
      <w:hyperlink r:id="rId2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</w:rPr>
          <w:t>403</w:t>
        </w:r>
      </w:hyperlink>
      <w:r>
        <w:rPr>
          <w:rtl w:val="true"/>
        </w:rPr>
        <w:t xml:space="preserve"> </w:t>
      </w:r>
      <w:r>
        <w:rPr>
          <w:rtl w:val="true"/>
        </w:rPr>
        <w:t>סיפא 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ניסיון שלא צלח לשדוד דירה מסוימת בחיפה וניסיון שלא צלח לשדוד חנות בעיר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18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הורשע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בעבירות רבות של הפרת הוראה חוקית </w:t>
      </w:r>
      <w:r>
        <w:rPr>
          <w:rtl w:val="true"/>
        </w:rPr>
        <w:t>(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בעקבות מספר פעמים שבהם הפר מעצר בית שנקבע לו </w:t>
      </w:r>
      <w:r>
        <w:rPr>
          <w:rtl w:val="true"/>
        </w:rPr>
        <w:t>(</w:t>
      </w:r>
      <w:r>
        <w:rPr>
          <w:rtl w:val="true"/>
        </w:rPr>
        <w:t xml:space="preserve">אישום </w:t>
      </w:r>
      <w:r>
        <w:rPr/>
        <w:t>22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17.9.2017</w:t>
      </w:r>
      <w:r>
        <w:rPr>
          <w:rtl w:val="true"/>
        </w:rPr>
        <w:t xml:space="preserve"> </w:t>
      </w:r>
      <w:r>
        <w:rPr>
          <w:rtl w:val="true"/>
        </w:rPr>
        <w:t>נתן בית המשפט קמא את גזרי דינם של המערערים</w:t>
      </w:r>
      <w:r>
        <w:rPr>
          <w:rtl w:val="true"/>
        </w:rPr>
        <w:t xml:space="preserve">, </w:t>
      </w:r>
      <w:r>
        <w:rPr>
          <w:rtl w:val="true"/>
        </w:rPr>
        <w:t>כל אחד על פי מעשיו</w:t>
      </w:r>
      <w:r>
        <w:rPr>
          <w:rtl w:val="true"/>
        </w:rPr>
        <w:t xml:space="preserve">, </w:t>
      </w:r>
      <w:r>
        <w:rPr>
          <w:rtl w:val="true"/>
        </w:rPr>
        <w:t>ובהתאם לחלקו היחסי ונסיבותיו</w:t>
      </w:r>
      <w:r>
        <w:rPr>
          <w:rtl w:val="true"/>
        </w:rPr>
        <w:t xml:space="preserve">. </w:t>
      </w:r>
      <w:r>
        <w:rPr>
          <w:rtl w:val="true"/>
        </w:rPr>
        <w:t>תחילה עמד בית המשפט קמא על הערכים החברתיים שנפגעו ממעשי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ובהתאם לפסק דין נוסף שניתן בפרשה על ידי מותב אחר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 xml:space="preserve">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tl w:val="true"/>
        </w:rPr>
        <w:t xml:space="preserve">) </w:t>
      </w:r>
      <w:r>
        <w:rPr>
          <w:rtl w:val="true"/>
        </w:rPr>
        <w:t>ציין את הפגיעות שפגעו ב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כבוד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האד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וחירותו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רכושו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שלמות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הגוף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והזכות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לאוטונומיה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וכן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בתחושת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הביטחון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האישי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והציבורי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70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 xml:space="preserve">לאחר מכן קבע בית המשפט קמא את מתחמי הענישה בהתאם לעיקרון ההלימה </w:t>
      </w:r>
      <w:r>
        <w:rPr>
          <w:rtl w:val="true"/>
        </w:rPr>
        <w:t>(</w:t>
      </w:r>
      <w:hyperlink r:id="rId3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), </w:t>
      </w:r>
      <w:r>
        <w:rPr>
          <w:rtl w:val="true"/>
        </w:rPr>
        <w:t xml:space="preserve">וכנקודת מוצא לקביעתם שימש גזר דינו של הנאשם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אשר ניתן עובר לגזרי הדין מושא ערעור זה על ידי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יואל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עדן</w:t>
      </w:r>
      <w:r>
        <w:rPr>
          <w:rtl w:val="true"/>
        </w:rPr>
        <w:t xml:space="preserve">. </w:t>
      </w:r>
      <w:r>
        <w:rPr>
          <w:rtl w:val="true"/>
        </w:rPr>
        <w:t xml:space="preserve">הנאשם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אומנם הורשע במסגרת עסקת טיעון</w:t>
      </w:r>
      <w:r>
        <w:rPr>
          <w:rtl w:val="true"/>
        </w:rPr>
        <w:t xml:space="preserve">, </w:t>
      </w:r>
      <w:r>
        <w:rPr>
          <w:rtl w:val="true"/>
        </w:rPr>
        <w:t>אך הואיל ומתחם הענישה בעניינו לא סוכם מראש</w:t>
      </w:r>
      <w:r>
        <w:rPr>
          <w:rtl w:val="true"/>
        </w:rPr>
        <w:t xml:space="preserve">, </w:t>
      </w:r>
      <w:r>
        <w:rPr>
          <w:rtl w:val="true"/>
        </w:rPr>
        <w:t xml:space="preserve">והצדדים טענו לגביו באופן </w:t>
      </w:r>
      <w:r>
        <w:rPr>
          <w:rtl w:val="true"/>
        </w:rPr>
        <w:t>"</w:t>
      </w:r>
      <w:r>
        <w:rPr>
          <w:rtl w:val="true"/>
        </w:rPr>
        <w:t>פתוח</w:t>
      </w:r>
      <w:r>
        <w:rPr>
          <w:rtl w:val="true"/>
        </w:rPr>
        <w:t xml:space="preserve">", </w:t>
      </w:r>
      <w:r>
        <w:rPr>
          <w:rtl w:val="true"/>
        </w:rPr>
        <w:t>התייחס אליו בית המשפט קמא בקביעת מתחם הענישה לכל אחד מהמערערים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יודגש כי חלקו של הנאשם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בפעילות החבורה היה קטן משל המערערים</w:t>
      </w:r>
      <w:r>
        <w:rPr>
          <w:rtl w:val="true"/>
        </w:rPr>
        <w:t xml:space="preserve">, </w:t>
      </w:r>
      <w:r>
        <w:rPr>
          <w:rtl w:val="true"/>
        </w:rPr>
        <w:t xml:space="preserve">והמסכת העובדתית בה הורשע הייתה שונה </w:t>
      </w:r>
      <w:r>
        <w:rPr>
          <w:rtl w:val="true"/>
        </w:rPr>
        <w:t>(</w:t>
      </w:r>
      <w:r>
        <w:rPr>
          <w:rtl w:val="true"/>
        </w:rPr>
        <w:t xml:space="preserve">וביחס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התקיימה השקה קטנה בלבד</w:t>
      </w:r>
      <w:r>
        <w:rPr>
          <w:rtl w:val="true"/>
        </w:rPr>
        <w:t xml:space="preserve">). </w:t>
      </w:r>
      <w:r>
        <w:rPr>
          <w:rtl w:val="true"/>
        </w:rPr>
        <w:t xml:space="preserve">ההבחנות האמורות עומדות בבסיס הפערים בין המתחם שנקבע לנאשם </w:t>
      </w:r>
      <w:r>
        <w:rPr/>
        <w:t>5</w:t>
      </w:r>
      <w:r>
        <w:rPr>
          <w:rtl w:val="true"/>
        </w:rPr>
        <w:t xml:space="preserve">, </w:t>
      </w:r>
      <w:r>
        <w:rPr/>
        <w:t>6-3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לבין המתחמים שנקבעו למערערים ויפורטו להלן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ביחס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התייחס בית המשפט קמא למרכזיותו בחבורה</w:t>
      </w:r>
      <w:r>
        <w:rPr>
          <w:rtl w:val="true"/>
        </w:rPr>
        <w:t xml:space="preserve">, </w:t>
      </w:r>
      <w:r>
        <w:rPr>
          <w:rtl w:val="true"/>
        </w:rPr>
        <w:t>ליתר דיוק עמד על</w:t>
      </w:r>
      <w:r>
        <w:rPr>
          <w:rtl w:val="true"/>
        </w:rPr>
        <w:t xml:space="preserve"> </w:t>
      </w:r>
      <w:r>
        <w:rPr>
          <w:rtl w:val="true"/>
        </w:rPr>
        <w:t xml:space="preserve">היותו </w:t>
      </w:r>
      <w:r>
        <w:rPr>
          <w:rtl w:val="true"/>
        </w:rPr>
        <w:t>"</w:t>
      </w:r>
      <w:r>
        <w:rPr>
          <w:rtl w:val="true"/>
        </w:rPr>
        <w:t>מעורב בכיר</w:t>
      </w:r>
      <w:r>
        <w:rPr>
          <w:rtl w:val="true"/>
        </w:rPr>
        <w:t xml:space="preserve">" </w:t>
      </w:r>
      <w:r>
        <w:rPr>
          <w:rtl w:val="true"/>
        </w:rPr>
        <w:t xml:space="preserve">ולא </w:t>
      </w:r>
      <w:r>
        <w:rPr>
          <w:rtl w:val="true"/>
        </w:rPr>
        <w:t>"</w:t>
      </w:r>
      <w:r>
        <w:rPr>
          <w:rtl w:val="true"/>
        </w:rPr>
        <w:t>מנהל</w:t>
      </w:r>
      <w:r>
        <w:rPr>
          <w:rtl w:val="true"/>
        </w:rPr>
        <w:t xml:space="preserve">", </w:t>
      </w:r>
      <w:r>
        <w:rPr>
          <w:rtl w:val="true"/>
        </w:rPr>
        <w:t xml:space="preserve">וכן למעורבותו בשני מעשי שוד חמורים </w:t>
      </w:r>
      <w:r>
        <w:rPr>
          <w:rtl w:val="true"/>
        </w:rPr>
        <w:t>(</w:t>
      </w:r>
      <w:r>
        <w:rPr>
          <w:rtl w:val="true"/>
        </w:rPr>
        <w:t xml:space="preserve">אישומים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). </w:t>
      </w:r>
      <w:r>
        <w:rPr>
          <w:rtl w:val="true"/>
        </w:rPr>
        <w:t xml:space="preserve">מתחם הענישה שנקבע לו עומד על </w:t>
      </w:r>
      <w:r>
        <w:rPr/>
        <w:t>13-6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ביחס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הובאו בחשבון דירוגו הבכיר בחבורה </w:t>
      </w:r>
      <w:r>
        <w:rPr>
          <w:rtl w:val="true"/>
        </w:rPr>
        <w:t>(</w:t>
      </w:r>
      <w:r>
        <w:rPr>
          <w:rtl w:val="true"/>
        </w:rPr>
        <w:t xml:space="preserve">שהיה כאמור גבוה משל המערער 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וחלקו המרכזי בכינון שיטת העבודה שלה</w:t>
      </w:r>
      <w:r>
        <w:rPr>
          <w:rtl w:val="true"/>
        </w:rPr>
        <w:t xml:space="preserve">, </w:t>
      </w:r>
      <w:r>
        <w:rPr>
          <w:rtl w:val="true"/>
        </w:rPr>
        <w:t>שכללה סימון מטרות מראש וכן תכנון והכנה קפדניים</w:t>
      </w:r>
      <w:r>
        <w:rPr>
          <w:rtl w:val="true"/>
        </w:rPr>
        <w:t xml:space="preserve">. </w:t>
      </w:r>
      <w:r>
        <w:rPr>
          <w:rtl w:val="true"/>
        </w:rPr>
        <w:t xml:space="preserve">בנוסף לאירועים בהם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השתתף בפועל והורשע </w:t>
      </w:r>
      <w:r>
        <w:rPr>
          <w:rtl w:val="true"/>
        </w:rPr>
        <w:t>(</w:t>
      </w:r>
      <w:r>
        <w:rPr>
          <w:rtl w:val="true"/>
        </w:rPr>
        <w:t xml:space="preserve">שיש לציין שכללו שוד אחד לעומת השניים בהם הורשע המערער </w:t>
      </w:r>
      <w:r>
        <w:rPr/>
        <w:t>1</w:t>
      </w:r>
      <w:r>
        <w:rPr>
          <w:rtl w:val="true"/>
        </w:rPr>
        <w:t xml:space="preserve">), </w:t>
      </w:r>
      <w:r>
        <w:rPr>
          <w:rtl w:val="true"/>
        </w:rPr>
        <w:t>צוינה האחריות המוסרית הרובצת עליו בגין מעשי עד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שכן היה זה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שקישר בינו לבין החבורה</w:t>
      </w:r>
      <w:r>
        <w:rPr>
          <w:rtl w:val="true"/>
        </w:rPr>
        <w:t xml:space="preserve">. </w:t>
      </w:r>
      <w:r>
        <w:rPr>
          <w:rtl w:val="true"/>
        </w:rPr>
        <w:t>בנוסף שוקללה הרשעתו בהפרת תנאי מעצר הבית אותו ריצה</w:t>
      </w:r>
      <w:r>
        <w:rPr>
          <w:rtl w:val="true"/>
        </w:rPr>
        <w:t xml:space="preserve">. </w:t>
      </w:r>
      <w:r>
        <w:rPr>
          <w:rtl w:val="true"/>
        </w:rPr>
        <w:t xml:space="preserve">מתחם הענישה שנקבע לו הועמד על </w:t>
      </w:r>
      <w:r>
        <w:rPr/>
        <w:t>14-7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בבוא בית המשפט קמא לגזור את דין המערערים בתוך מתחמי הענישה שנקבעו להם</w:t>
      </w:r>
      <w:r>
        <w:rPr>
          <w:rtl w:val="true"/>
        </w:rPr>
        <w:t xml:space="preserve">, </w:t>
      </w:r>
      <w:r>
        <w:rPr>
          <w:rtl w:val="true"/>
        </w:rPr>
        <w:t>נלקח בחשבון הזמן שחלף בין הגשת כתב האישום לבין מתן גזר הדין</w:t>
      </w:r>
      <w:r>
        <w:rPr>
          <w:rtl w:val="true"/>
        </w:rPr>
        <w:t xml:space="preserve">, </w:t>
      </w:r>
      <w:r>
        <w:rPr>
          <w:rtl w:val="true"/>
        </w:rPr>
        <w:t xml:space="preserve">אשר עומד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זהו פרק זמן חריג</w:t>
      </w:r>
      <w:r>
        <w:rPr>
          <w:rtl w:val="true"/>
        </w:rPr>
        <w:t xml:space="preserve">, </w:t>
      </w:r>
      <w:r>
        <w:rPr>
          <w:rtl w:val="true"/>
        </w:rPr>
        <w:t>אף ביחס להיקף הפרשה</w:t>
      </w:r>
      <w:r>
        <w:rPr>
          <w:rtl w:val="true"/>
        </w:rPr>
        <w:t xml:space="preserve">, </w:t>
      </w:r>
      <w:r>
        <w:rPr>
          <w:rtl w:val="true"/>
        </w:rPr>
        <w:t>ונבע מדחיות שונות ומגוונות שעיקרן נעוץ</w:t>
      </w:r>
      <w:r>
        <w:rPr>
          <w:rtl w:val="true"/>
        </w:rPr>
        <w:t xml:space="preserve">, </w:t>
      </w:r>
      <w:r>
        <w:rPr>
          <w:rtl w:val="true"/>
        </w:rPr>
        <w:t>כפי שציין בית המשפט קמא</w:t>
      </w:r>
      <w:r>
        <w:rPr>
          <w:rtl w:val="true"/>
        </w:rPr>
        <w:t xml:space="preserve">, </w:t>
      </w:r>
      <w:r>
        <w:rPr>
          <w:rtl w:val="true"/>
        </w:rPr>
        <w:t>בכשלי הניהול של התביעה ובית המשפט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כדי לאזן בין הפגיעה בנאשמים שעמדו מולו</w:t>
      </w:r>
      <w:r>
        <w:rPr>
          <w:rtl w:val="true"/>
        </w:rPr>
        <w:t xml:space="preserve">, </w:t>
      </w:r>
      <w:r>
        <w:rPr>
          <w:rtl w:val="true"/>
        </w:rPr>
        <w:t>אשר נאלצו להתגונן מפני האישומים נגדם במשך מספר שנים</w:t>
      </w:r>
      <w:r>
        <w:rPr>
          <w:rtl w:val="true"/>
        </w:rPr>
        <w:t xml:space="preserve">, </w:t>
      </w:r>
      <w:r>
        <w:rPr>
          <w:rtl w:val="true"/>
        </w:rPr>
        <w:t>לבין הנחת היסוד כי עבירה שנעברה מחייבת עונש הולם</w:t>
      </w:r>
      <w:r>
        <w:rPr>
          <w:rtl w:val="true"/>
        </w:rPr>
        <w:t xml:space="preserve">, </w:t>
      </w:r>
      <w:r>
        <w:rPr>
          <w:rtl w:val="true"/>
        </w:rPr>
        <w:t>ועל העבריין לרצות עונש זה במוקדם או במאוחר</w:t>
      </w:r>
      <w:r>
        <w:rPr>
          <w:rtl w:val="true"/>
        </w:rPr>
        <w:t xml:space="preserve">, </w:t>
      </w:r>
      <w:r>
        <w:rPr>
          <w:rtl w:val="true"/>
        </w:rPr>
        <w:t>נקבע כי לחלוף הזמן יינתן משקל משמעותי בגזירת דין המערערים בתוך מתחמי הענישה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בגזירת עונשו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בית המשפט קמא זקף לזכותו את נסיבותיו האישיות</w:t>
      </w:r>
      <w:r>
        <w:rPr>
          <w:rtl w:val="true"/>
        </w:rPr>
        <w:t xml:space="preserve">, </w:t>
      </w:r>
      <w:r>
        <w:rPr>
          <w:rtl w:val="true"/>
        </w:rPr>
        <w:t>בין היתר קשיים שחווה בצעירותו ובעת מאסרו</w:t>
      </w:r>
      <w:r>
        <w:rPr>
          <w:rtl w:val="true"/>
        </w:rPr>
        <w:t xml:space="preserve">, </w:t>
      </w:r>
      <w:r>
        <w:rPr>
          <w:rtl w:val="true"/>
        </w:rPr>
        <w:t>וכן את השינוי החיובי שחולל בחייו לאחר קרות האירועים</w:t>
      </w:r>
      <w:r>
        <w:rPr>
          <w:rtl w:val="true"/>
        </w:rPr>
        <w:t xml:space="preserve">; </w:t>
      </w:r>
      <w:r>
        <w:rPr>
          <w:rtl w:val="true"/>
        </w:rPr>
        <w:t xml:space="preserve">מעדות בת זוגו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ומתסקיר שירות המבחן אשר הוגש בעניינו</w:t>
      </w:r>
      <w:r>
        <w:rPr>
          <w:rtl w:val="true"/>
        </w:rPr>
        <w:t xml:space="preserve">, </w:t>
      </w:r>
      <w:r>
        <w:rPr>
          <w:rtl w:val="true"/>
        </w:rPr>
        <w:t xml:space="preserve">עלה כי עת נדונה הפרשה בבית המשפט קמא שינה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את דרכיו לטובה</w:t>
      </w:r>
      <w:r>
        <w:rPr>
          <w:rtl w:val="true"/>
        </w:rPr>
        <w:t xml:space="preserve">, </w:t>
      </w:r>
      <w:r>
        <w:rPr>
          <w:rtl w:val="true"/>
        </w:rPr>
        <w:t>הקים משפחה והחל מתפרנס מעבודה קבועה ומסודרת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תסקיר שירות המבחן לא היה חיובי באופן מלא</w:t>
      </w:r>
      <w:r>
        <w:rPr>
          <w:rtl w:val="true"/>
        </w:rPr>
        <w:t xml:space="preserve">. </w:t>
      </w:r>
      <w:r>
        <w:rPr>
          <w:rtl w:val="true"/>
        </w:rPr>
        <w:t>אומנם צוין כי קיים פוטנציאל שיקום חיובי</w:t>
      </w:r>
      <w:r>
        <w:rPr>
          <w:rtl w:val="true"/>
        </w:rPr>
        <w:t xml:space="preserve">, </w:t>
      </w:r>
      <w:r>
        <w:rPr>
          <w:rtl w:val="true"/>
        </w:rPr>
        <w:t xml:space="preserve">אך גם צוין כי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 לקח אחריות על מעשיו במסגרת הפרשה</w:t>
      </w:r>
      <w:r>
        <w:rPr>
          <w:rtl w:val="true"/>
        </w:rPr>
        <w:t xml:space="preserve">, </w:t>
      </w:r>
      <w:r>
        <w:rPr>
          <w:rtl w:val="true"/>
        </w:rPr>
        <w:t>נמנע מביצוע בדיקות סמים שנתבקש לערוך</w:t>
      </w:r>
      <w:r>
        <w:rPr>
          <w:rtl w:val="true"/>
        </w:rPr>
        <w:t xml:space="preserve">, </w:t>
      </w:r>
      <w:r>
        <w:rPr>
          <w:rtl w:val="true"/>
        </w:rPr>
        <w:t>ורמת הסיכון להישנות עבירות מצדו הוערכה כגבוהה</w:t>
      </w:r>
      <w:r>
        <w:rPr>
          <w:rtl w:val="true"/>
        </w:rPr>
        <w:t xml:space="preserve">.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היה נתון במעצר בית ממושך באיזוק אלקטרוני</w:t>
      </w:r>
      <w:r>
        <w:rPr>
          <w:rtl w:val="true"/>
        </w:rPr>
        <w:t xml:space="preserve">, </w:t>
      </w:r>
      <w:r>
        <w:rPr>
          <w:rtl w:val="true"/>
        </w:rPr>
        <w:t>אך למרות זאת המליץ שירות המבחן על ענישה במאסר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למען יומחש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מחיר מעשיו </w:t>
      </w:r>
      <w:r>
        <w:rPr>
          <w:rtl w:val="true"/>
        </w:rPr>
        <w:t>(</w:t>
      </w:r>
      <w:r>
        <w:rPr>
          <w:rtl w:val="true"/>
        </w:rPr>
        <w:t>המחשה שטרם הופנמה</w:t>
      </w:r>
      <w:r>
        <w:rPr>
          <w:rtl w:val="true"/>
        </w:rPr>
        <w:t xml:space="preserve">, </w:t>
      </w:r>
      <w:r>
        <w:rPr>
          <w:rtl w:val="true"/>
        </w:rPr>
        <w:t>להערכת שירות המבחן</w:t>
      </w:r>
      <w:r>
        <w:rPr>
          <w:rtl w:val="true"/>
        </w:rPr>
        <w:t xml:space="preserve">). </w:t>
      </w:r>
      <w:r>
        <w:rPr>
          <w:rtl w:val="true"/>
        </w:rPr>
        <w:t xml:space="preserve">דברים אלו זקף בית המשפט קמא לחובת המערער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התחשב בית המשפט קמא בעברו הפלילי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הכולל הרשעה בהליך שהתנהל בזמן התרחשות האירועים בפרשה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ביצע את העבירות אשר נגד עונשם הוא מערער</w:t>
      </w:r>
      <w:r>
        <w:rPr>
          <w:rtl w:val="true"/>
        </w:rPr>
        <w:t xml:space="preserve">, </w:t>
      </w:r>
      <w:r>
        <w:rPr>
          <w:rtl w:val="true"/>
        </w:rPr>
        <w:t>בזמן שהיה תלוי ועומד תיק אחר בעניינו</w:t>
      </w:r>
      <w:r>
        <w:rPr>
          <w:rtl w:val="true"/>
        </w:rPr>
        <w:t xml:space="preserve">, </w:t>
      </w:r>
      <w:r>
        <w:rPr>
          <w:rtl w:val="true"/>
        </w:rPr>
        <w:t>וכן לאחר שניתן בו פסק דין שקבע לו מאסר על תנאי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קמא כי אין בנסיבות עניינו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כדי להצדיק חריגה לקולא ממתחם הענישה</w:t>
      </w:r>
      <w:r>
        <w:rPr>
          <w:rtl w:val="true"/>
        </w:rPr>
        <w:t xml:space="preserve">, </w:t>
      </w:r>
      <w:r>
        <w:rPr>
          <w:rtl w:val="true"/>
        </w:rPr>
        <w:t>אף כי יש לראות בהן נסיבות מקלות משמעותית במסגרתו</w:t>
      </w:r>
      <w:r>
        <w:rPr>
          <w:rtl w:val="true"/>
        </w:rPr>
        <w:t xml:space="preserve">. </w:t>
      </w:r>
      <w:r>
        <w:rPr>
          <w:rtl w:val="true"/>
        </w:rPr>
        <w:t>העונשים שהושתו עליו היו לפיכך כדלקמן</w:t>
      </w:r>
      <w:r>
        <w:rPr>
          <w:rtl w:val="true"/>
        </w:rPr>
        <w:t xml:space="preserve">: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 מאסר בפועל</w:t>
      </w:r>
      <w:r>
        <w:rPr>
          <w:rtl w:val="true"/>
        </w:rPr>
        <w:t xml:space="preserve">, </w:t>
      </w:r>
      <w:r>
        <w:rPr>
          <w:rtl w:val="true"/>
        </w:rPr>
        <w:t xml:space="preserve">והפעלת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על תנאי </w:t>
      </w:r>
      <w:r>
        <w:rPr>
          <w:rtl w:val="true"/>
        </w:rPr>
        <w:t>(</w:t>
      </w:r>
      <w:r>
        <w:rPr>
          <w:rtl w:val="true"/>
        </w:rPr>
        <w:t xml:space="preserve">בהם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במצטבר ו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); </w:t>
      </w:r>
      <w:r>
        <w:rPr>
          <w:rtl w:val="true"/>
        </w:rPr>
        <w:t>שנת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קנס בגובה </w:t>
      </w:r>
      <w:r>
        <w:rPr/>
        <w:t>7,000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ופיצוי כספי לנפגעי העבירה בגובה </w:t>
      </w:r>
      <w:r>
        <w:rPr/>
        <w:t>75,000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בגזירת עונשו של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הביא בית המשפט קמא בחשבון את חלוף הזמן כאמור</w:t>
      </w:r>
      <w:r>
        <w:rPr>
          <w:rtl w:val="true"/>
        </w:rPr>
        <w:t xml:space="preserve">, </w:t>
      </w:r>
      <w:r>
        <w:rPr>
          <w:rtl w:val="true"/>
        </w:rPr>
        <w:t>אך נקבע כי משקלו של שיקול זה יופחת</w:t>
      </w:r>
      <w:r>
        <w:rPr>
          <w:rtl w:val="true"/>
        </w:rPr>
        <w:t xml:space="preserve">, </w:t>
      </w:r>
      <w:r>
        <w:rPr>
          <w:rtl w:val="true"/>
        </w:rPr>
        <w:t>משום שבעת שהיה המשפט נשוא ערעור זה תלוי ועומד</w:t>
      </w:r>
      <w:r>
        <w:rPr>
          <w:rtl w:val="true"/>
        </w:rPr>
        <w:t xml:space="preserve">, </w:t>
      </w:r>
      <w:r>
        <w:rPr>
          <w:rtl w:val="true"/>
        </w:rPr>
        <w:t xml:space="preserve">ביצע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עבירות שוד נוספת </w:t>
      </w:r>
      <w:r>
        <w:rPr>
          <w:rtl w:val="true"/>
        </w:rPr>
        <w:t>(</w:t>
      </w:r>
      <w:r>
        <w:rPr>
          <w:rtl w:val="true"/>
        </w:rPr>
        <w:t>בגינה נשפט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 שנות מאסר בפועל</w:t>
      </w:r>
      <w:r>
        <w:rPr>
          <w:rtl w:val="true"/>
        </w:rPr>
        <w:t xml:space="preserve">).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הובא בחשבון עברו הפלילי</w:t>
      </w:r>
      <w:r>
        <w:rPr>
          <w:rtl w:val="true"/>
        </w:rPr>
        <w:t xml:space="preserve">, </w:t>
      </w:r>
      <w:r>
        <w:rPr>
          <w:rtl w:val="true"/>
        </w:rPr>
        <w:t xml:space="preserve">הכולל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הרשעות וכן מאסרים קודמים שריצה</w:t>
      </w:r>
      <w:r>
        <w:rPr>
          <w:rtl w:val="true"/>
        </w:rPr>
        <w:t xml:space="preserve">, </w:t>
      </w:r>
      <w:r>
        <w:rPr>
          <w:rtl w:val="true"/>
        </w:rPr>
        <w:t xml:space="preserve">ושוקללה התנערותו מאחריות על מעשיו בפרשה והיעדר כל חרטה לגביהם </w:t>
      </w:r>
      <w:r>
        <w:rPr>
          <w:rtl w:val="true"/>
        </w:rPr>
        <w:t>(</w:t>
      </w:r>
      <w:r>
        <w:rPr>
          <w:rtl w:val="true"/>
        </w:rPr>
        <w:t>שכן לא הודה באף אחד מהם</w:t>
      </w:r>
      <w:r>
        <w:rPr>
          <w:rtl w:val="true"/>
        </w:rPr>
        <w:t xml:space="preserve">). </w:t>
      </w:r>
      <w:r>
        <w:rPr>
          <w:rtl w:val="true"/>
        </w:rPr>
        <w:t>על שום כך</w:t>
      </w:r>
      <w:r>
        <w:rPr>
          <w:rtl w:val="true"/>
        </w:rPr>
        <w:t xml:space="preserve">, </w:t>
      </w:r>
      <w:r>
        <w:rPr>
          <w:rtl w:val="true"/>
        </w:rPr>
        <w:t xml:space="preserve">נידון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לעונשים הבאים</w:t>
      </w:r>
      <w:r>
        <w:rPr>
          <w:rtl w:val="true"/>
        </w:rPr>
        <w:t xml:space="preserve">: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וחצי שנים מאסר בפועל</w:t>
      </w:r>
      <w:r>
        <w:rPr>
          <w:rtl w:val="true"/>
        </w:rPr>
        <w:t xml:space="preserve">; </w:t>
      </w:r>
      <w:r>
        <w:rPr>
          <w:rtl w:val="true"/>
        </w:rPr>
        <w:t xml:space="preserve">הפעלת שנת מאסר על תנאי </w:t>
      </w:r>
      <w:r>
        <w:rPr>
          <w:rtl w:val="true"/>
        </w:rPr>
        <w:t>(</w:t>
      </w:r>
      <w:r>
        <w:rPr>
          <w:rtl w:val="true"/>
        </w:rPr>
        <w:t>מחציתה במצטבר ומחציתה בחופף</w:t>
      </w:r>
      <w:r>
        <w:rPr>
          <w:rtl w:val="true"/>
        </w:rPr>
        <w:t xml:space="preserve">); </w:t>
      </w:r>
      <w:r>
        <w:rPr>
          <w:rtl w:val="true"/>
        </w:rPr>
        <w:t>שנה וחצי מאסר על תנאי</w:t>
      </w:r>
      <w:r>
        <w:rPr>
          <w:rtl w:val="true"/>
        </w:rPr>
        <w:t xml:space="preserve">; </w:t>
      </w:r>
      <w:r>
        <w:rPr>
          <w:rtl w:val="true"/>
        </w:rPr>
        <w:t xml:space="preserve">קנס בגובה </w:t>
      </w:r>
      <w:r>
        <w:rPr/>
        <w:t>10,000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; </w:t>
      </w:r>
      <w:r>
        <w:rPr>
          <w:rtl w:val="true"/>
        </w:rPr>
        <w:t xml:space="preserve">פיצוי לנפגע העבירה באישום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בסך </w:t>
      </w:r>
      <w:r>
        <w:rPr/>
        <w:t>35,000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הערעורים</w:t>
      </w:r>
    </w:p>
    <w:p>
      <w:pPr>
        <w:pStyle w:val="Ruller42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30.10.2017</w:t>
      </w:r>
      <w:r>
        <w:rPr>
          <w:rtl w:val="true"/>
        </w:rPr>
        <w:t xml:space="preserve"> </w:t>
      </w:r>
      <w:r>
        <w:rPr>
          <w:rtl w:val="true"/>
        </w:rPr>
        <w:t>הוגשו לבית משפט זה הודעות ערעור על הכרעת דינו של בית המשפט קמא וכן על גזרי הדין שקבע</w:t>
      </w:r>
      <w:r>
        <w:rPr>
          <w:rtl w:val="true"/>
        </w:rPr>
        <w:t xml:space="preserve">. </w:t>
      </w:r>
      <w:r>
        <w:rPr>
          <w:rtl w:val="true"/>
        </w:rPr>
        <w:t xml:space="preserve">הערעורים נשמעו לפנינו ביום </w:t>
      </w:r>
      <w:r>
        <w:rPr/>
        <w:t>18.2.2019</w:t>
      </w:r>
      <w:r>
        <w:rPr>
          <w:rtl w:val="true"/>
        </w:rPr>
        <w:t xml:space="preserve">, </w:t>
      </w:r>
      <w:r>
        <w:rPr>
          <w:rtl w:val="true"/>
        </w:rPr>
        <w:t>כאשר בסוף הדיון המערערים חזרו בהם מערעורם על הכרעת הדין</w:t>
      </w:r>
      <w:r>
        <w:rPr>
          <w:rtl w:val="true"/>
        </w:rPr>
        <w:t xml:space="preserve">. </w:t>
      </w:r>
      <w:r>
        <w:rPr>
          <w:rtl w:val="true"/>
        </w:rPr>
        <w:t>משום כך</w:t>
      </w:r>
      <w:r>
        <w:rPr>
          <w:rtl w:val="true"/>
        </w:rPr>
        <w:t xml:space="preserve">, </w:t>
      </w:r>
      <w:r>
        <w:rPr>
          <w:rtl w:val="true"/>
        </w:rPr>
        <w:t>הטענות שעלו בערעור לעניין הכרעת הדין לא יפורטו במסגרת זו</w:t>
      </w:r>
      <w:r>
        <w:rPr>
          <w:rtl w:val="true"/>
        </w:rPr>
        <w:t xml:space="preserve">. </w:t>
      </w:r>
      <w:r>
        <w:rPr>
          <w:rtl w:val="true"/>
        </w:rPr>
        <w:t>טענות המערערים נגד גזרי הדין נותרו בעינן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8439/17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3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b/>
          <w:spacing w:val="0"/>
          <w:sz w:val="22"/>
          <w:szCs w:val="24"/>
        </w:rPr>
      </w:pPr>
      <w:r>
        <w:rPr>
          <w:rFonts w:cs="Century" w:ascii="Century" w:hAnsi="Century"/>
          <w:b/>
          <w:spacing w:val="0"/>
          <w:sz w:val="22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 טוען נגד מתחם הענישה שנקבע בעניינו</w:t>
      </w:r>
      <w:r>
        <w:rPr>
          <w:rtl w:val="true"/>
        </w:rPr>
        <w:t xml:space="preserve">, </w:t>
      </w:r>
      <w:r>
        <w:rPr>
          <w:rtl w:val="true"/>
        </w:rPr>
        <w:t>אך טוען כי יש מקום לחרוג ממנו לקולא</w:t>
      </w:r>
      <w:r>
        <w:rPr>
          <w:rtl w:val="true"/>
        </w:rPr>
        <w:t xml:space="preserve">. </w:t>
      </w:r>
      <w:r>
        <w:rPr>
          <w:rtl w:val="true"/>
        </w:rPr>
        <w:t>את טענתו</w:t>
      </w:r>
      <w:r>
        <w:rPr>
          <w:rtl w:val="true"/>
        </w:rPr>
        <w:t xml:space="preserve">, </w:t>
      </w:r>
      <w:r>
        <w:rPr>
          <w:rtl w:val="true"/>
        </w:rPr>
        <w:t>כפי שהובאה בנימוקי הערעור ובדיון שנערך לפנינו</w:t>
      </w:r>
      <w:r>
        <w:rPr>
          <w:rtl w:val="true"/>
        </w:rPr>
        <w:t xml:space="preserve">, </w:t>
      </w:r>
      <w:r>
        <w:rPr>
          <w:rtl w:val="true"/>
        </w:rPr>
        <w:t xml:space="preserve">מבקש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לבסס על הטעמים הבאים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לדידו</w:t>
      </w:r>
      <w:r>
        <w:rPr>
          <w:rtl w:val="true"/>
        </w:rPr>
        <w:t xml:space="preserve">, </w:t>
      </w:r>
      <w:r>
        <w:rPr>
          <w:rtl w:val="true"/>
        </w:rPr>
        <w:t>בית המשפט קמא לא נתן משקל מספק לחלוף הזמן</w:t>
      </w:r>
      <w:r>
        <w:rPr>
          <w:rtl w:val="true"/>
        </w:rPr>
        <w:t xml:space="preserve">, </w:t>
      </w:r>
      <w:r>
        <w:rPr>
          <w:rtl w:val="true"/>
        </w:rPr>
        <w:t xml:space="preserve">שכאמור היה חריג ועמד על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בין מועד הגשת כתב האישום לבין גזר הדין</w:t>
      </w:r>
      <w:r>
        <w:rPr>
          <w:rtl w:val="true"/>
        </w:rPr>
        <w:t xml:space="preserve">, </w:t>
      </w:r>
      <w:r>
        <w:rPr>
          <w:rtl w:val="true"/>
        </w:rPr>
        <w:t>בגדרי מתחם הענישה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 xml:space="preserve">היה על בית המשפט קמא לחרוג ממתחם הענישה בהינתן סיכויי השיקום של המערער </w:t>
      </w:r>
      <w:r>
        <w:rPr/>
        <w:t>1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 xml:space="preserve">בית המשפט קמא שגה במשקל המועט שהעניק לגזרי דינם של הנאשמים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 xml:space="preserve">שהם נמוכים בהשוואה לגזר דינו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ועולים לכדי הפלייתו לרעה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רביעית</w:t>
      </w:r>
      <w:r>
        <w:rPr>
          <w:rtl w:val="true"/>
        </w:rPr>
        <w:t xml:space="preserve">, </w:t>
      </w:r>
      <w:r>
        <w:rPr>
          <w:rtl w:val="true"/>
        </w:rPr>
        <w:t xml:space="preserve">היה על בית המשפט קמא להשוות בין עונשו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לבין עונשו של עד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ולהשתמש בעונש הקל שהושת על האחרון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 </w:t>
      </w:r>
      <w:r>
        <w:rPr>
          <w:rtl w:val="true"/>
        </w:rPr>
        <w:t>כנקודת ייחוס בהקשר לעונשו שלו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בעיקר בהינתן הדמיון בין הדרג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והדרג של עד המדינה בחבורה</w:t>
      </w:r>
      <w:r>
        <w:rPr>
          <w:rtl w:val="true"/>
        </w:rPr>
        <w:t xml:space="preserve">, </w:t>
      </w:r>
      <w:r>
        <w:rPr>
          <w:rtl w:val="true"/>
        </w:rPr>
        <w:t>וכן בהינתן מעורבות עד המדינה במספר רב יותר של אירועים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להשלמת התמונה יצוין כי יחד עם כתב הערעור על פסק הדין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הגיש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בקשה לעיכוב ביצוע גזר דינו עד להכרעה בערעור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25.4.2018</w:t>
      </w:r>
      <w:r>
        <w:rPr>
          <w:rtl w:val="true"/>
        </w:rPr>
        <w:t xml:space="preserve"> </w:t>
      </w:r>
      <w:r>
        <w:rPr>
          <w:rtl w:val="true"/>
        </w:rPr>
        <w:t xml:space="preserve">דחה כבוד השופט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דוד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מינץ</w:t>
      </w:r>
      <w:r>
        <w:rPr>
          <w:rtl w:val="true"/>
        </w:rPr>
        <w:t xml:space="preserve"> את הבקשה</w:t>
      </w:r>
      <w:r>
        <w:rPr>
          <w:rtl w:val="true"/>
        </w:rPr>
        <w:t xml:space="preserve">, </w:t>
      </w:r>
      <w:r>
        <w:rPr>
          <w:rtl w:val="true"/>
        </w:rPr>
        <w:t xml:space="preserve">משום שסבר כי עניינו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אינו בא בגדר המקרים החריגים המצדיקים סטייה מן העיקרון הידוע</w:t>
      </w:r>
      <w:r>
        <w:rPr>
          <w:rtl w:val="true"/>
        </w:rPr>
        <w:t xml:space="preserve">, </w:t>
      </w:r>
      <w:r>
        <w:rPr>
          <w:rtl w:val="true"/>
        </w:rPr>
        <w:t>לפיו נאשם שהורשע בדין יחל בריצוי עונשו מיד לאחר מתן גזר הדין</w:t>
      </w:r>
      <w:r>
        <w:rPr>
          <w:rtl w:val="true"/>
        </w:rPr>
        <w:t xml:space="preserve">. </w:t>
      </w:r>
      <w:r>
        <w:rPr>
          <w:rtl w:val="true"/>
        </w:rPr>
        <w:t>בהתאם לכך</w:t>
      </w:r>
      <w:r>
        <w:rPr>
          <w:rtl w:val="true"/>
        </w:rPr>
        <w:t xml:space="preserve">, </w:t>
      </w:r>
      <w:r>
        <w:rPr>
          <w:rtl w:val="true"/>
        </w:rPr>
        <w:t xml:space="preserve">נקבע כי על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להתייצב לריצוי עונש המאסר שנגזר עליו ביום שנקבע בגזר דינו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בטיעוניה הכתובים וכן בדיון שנערך לפנינו</w:t>
      </w:r>
      <w:r>
        <w:rPr>
          <w:rtl w:val="true"/>
        </w:rPr>
        <w:t xml:space="preserve">, </w:t>
      </w:r>
      <w:r>
        <w:rPr>
          <w:rtl w:val="true"/>
        </w:rPr>
        <w:t xml:space="preserve">טענה כי העונש שנגזר על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הוא עונש ראוי</w:t>
      </w:r>
      <w:r>
        <w:rPr>
          <w:rtl w:val="true"/>
        </w:rPr>
        <w:t xml:space="preserve">, </w:t>
      </w:r>
      <w:r>
        <w:rPr>
          <w:rtl w:val="true"/>
        </w:rPr>
        <w:t>בהינתן חומרת המעשים בהם הורשע</w:t>
      </w:r>
      <w:r>
        <w:rPr>
          <w:rtl w:val="true"/>
        </w:rPr>
        <w:t xml:space="preserve">, </w:t>
      </w:r>
      <w:r>
        <w:rPr>
          <w:rtl w:val="true"/>
        </w:rPr>
        <w:t>עברו הפלילי וקביעת שירות המבחן כי קיימת מסוכנות להישנות עבירות מצדו</w:t>
      </w:r>
      <w:r>
        <w:rPr>
          <w:rtl w:val="true"/>
        </w:rPr>
        <w:t xml:space="preserve">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עונשו נקבע לאחר שבית המשפט קמא שקל את מכלול השיקולים הרלוונטיים לעניין</w:t>
      </w:r>
      <w:r>
        <w:rPr>
          <w:rtl w:val="true"/>
        </w:rPr>
        <w:t xml:space="preserve">, </w:t>
      </w:r>
      <w:r>
        <w:rPr>
          <w:rtl w:val="true"/>
        </w:rPr>
        <w:t xml:space="preserve">לרבות חלוף הזמן ונסיבותיו האישיות של המערער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שיקולים אלה מתבטאים</w:t>
      </w:r>
      <w:r>
        <w:rPr>
          <w:rtl w:val="true"/>
        </w:rPr>
        <w:t xml:space="preserve">, </w:t>
      </w: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בכך שעונשו נגזר בתחתית מתחם הענישה שנקבע</w:t>
      </w:r>
      <w:r>
        <w:rPr>
          <w:rtl w:val="true"/>
        </w:rPr>
        <w:t xml:space="preserve">. </w:t>
      </w:r>
      <w:r>
        <w:rPr>
          <w:rtl w:val="true"/>
        </w:rPr>
        <w:t xml:space="preserve">עוד הוסיפה המשיבה כי השוואת עונש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לעונשים שהושתו על הנאשמים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אינה עניינית</w:t>
      </w:r>
      <w:r>
        <w:rPr>
          <w:rtl w:val="true"/>
        </w:rPr>
        <w:t xml:space="preserve">, </w:t>
      </w:r>
      <w:r>
        <w:rPr>
          <w:rtl w:val="true"/>
        </w:rPr>
        <w:t>שכן הראשון הודה והורשע במסגרת הסדר טיעון סגור</w:t>
      </w:r>
      <w:r>
        <w:rPr>
          <w:rtl w:val="true"/>
        </w:rPr>
        <w:t xml:space="preserve">, </w:t>
      </w:r>
      <w:r>
        <w:rPr>
          <w:rtl w:val="true"/>
        </w:rPr>
        <w:t>ולגבי האחרון הוגשו תסקירים חיוביים המלמדים על הליך שיקום משמעותי</w:t>
      </w:r>
      <w:r>
        <w:rPr>
          <w:rtl w:val="true"/>
        </w:rPr>
        <w:t xml:space="preserve">. </w:t>
      </w:r>
      <w:r>
        <w:rPr>
          <w:rtl w:val="true"/>
        </w:rPr>
        <w:t xml:space="preserve">לטענות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ביחס לעונש שנגזר על עד המדינה לא ראתה המשיבה צורך להידרש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8452/17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כמו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אינו טוען נגד מתחם הענישה שנקבע לו</w:t>
      </w:r>
      <w:r>
        <w:rPr>
          <w:rtl w:val="true"/>
        </w:rPr>
        <w:t xml:space="preserve">, </w:t>
      </w:r>
      <w:r>
        <w:rPr>
          <w:rtl w:val="true"/>
        </w:rPr>
        <w:t>אך הוא סבור</w:t>
      </w:r>
      <w:r>
        <w:rPr>
          <w:rtl w:val="true"/>
        </w:rPr>
        <w:t xml:space="preserve">, </w:t>
      </w:r>
      <w:r>
        <w:rPr>
          <w:rtl w:val="true"/>
        </w:rPr>
        <w:t>כפי שטען בנימוקי הערעור</w:t>
      </w:r>
      <w:r>
        <w:rPr>
          <w:rtl w:val="true"/>
        </w:rPr>
        <w:t xml:space="preserve">, </w:t>
      </w:r>
      <w:r>
        <w:rPr>
          <w:rtl w:val="true"/>
        </w:rPr>
        <w:t>וכן בדיון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כי יש להקל בחומרת עונשו</w:t>
      </w:r>
      <w:r>
        <w:rPr>
          <w:rtl w:val="true"/>
        </w:rPr>
        <w:t xml:space="preserve">. </w:t>
      </w:r>
      <w:r>
        <w:rPr>
          <w:rtl w:val="true"/>
        </w:rPr>
        <w:t>בקשה זו התבססה על מספר טעמים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מאחר שבסופו של ההליך לא הורשע ברוב העבירות מושא כתב האישום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שכן העונשים אשר הוטלו על שאר הנאשמים בפרשה היו קלים מן העונש שהושת עליו</w:t>
      </w:r>
      <w:r>
        <w:rPr>
          <w:rtl w:val="true"/>
        </w:rPr>
        <w:t xml:space="preserve">;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כיוון שלא היה מקום לרכיבי הקנס והפיצוי</w:t>
      </w:r>
      <w:r>
        <w:rPr>
          <w:rtl w:val="true"/>
        </w:rPr>
        <w:t xml:space="preserve">, </w:t>
      </w:r>
      <w:r>
        <w:rPr>
          <w:rtl w:val="true"/>
        </w:rPr>
        <w:t>נוכח אורך תקופת המאסר שנקבעה לו והקשיים הכלכליים בהם הוא נתון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ביחס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המשיבה עמדה על חומרת מעשיו כפי שפורטו לעיל</w:t>
      </w:r>
      <w:r>
        <w:rPr>
          <w:rtl w:val="true"/>
        </w:rPr>
        <w:t xml:space="preserve">, </w:t>
      </w:r>
      <w:r>
        <w:rPr>
          <w:rtl w:val="true"/>
        </w:rPr>
        <w:t xml:space="preserve">ועל מעמדו הבכיר בחבורה </w:t>
      </w:r>
      <w:r>
        <w:rPr>
          <w:rtl w:val="true"/>
        </w:rPr>
        <w:t>–</w:t>
      </w:r>
      <w:r>
        <w:rPr>
          <w:rtl w:val="true"/>
        </w:rPr>
        <w:t xml:space="preserve"> היותו חוליה מרכזית ומנהל החבורה הלכה למעשה</w:t>
      </w:r>
      <w:r>
        <w:rPr>
          <w:rtl w:val="true"/>
        </w:rPr>
        <w:t xml:space="preserve">. </w:t>
      </w:r>
      <w:r>
        <w:rPr>
          <w:rtl w:val="true"/>
        </w:rPr>
        <w:t>כן עמדה על עברו הפלילי ועל הרשעתו בעבירות רכוש עת התנהל ההליך מושא ערעור זה</w:t>
      </w:r>
      <w:r>
        <w:rPr>
          <w:rtl w:val="true"/>
        </w:rPr>
        <w:t xml:space="preserve">. </w:t>
      </w:r>
      <w:r>
        <w:rPr>
          <w:rtl w:val="true"/>
        </w:rPr>
        <w:t xml:space="preserve">המשיבה סוברת כי גם בגזירת עונשו של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נתן בית המשפט קמא משקל מספק לחלוף הזמן</w:t>
      </w:r>
      <w:r>
        <w:rPr>
          <w:rtl w:val="true"/>
        </w:rPr>
        <w:t xml:space="preserve">, </w:t>
      </w:r>
      <w:r>
        <w:rPr>
          <w:rtl w:val="true"/>
        </w:rPr>
        <w:t xml:space="preserve">כפי שעשה ביחס למערער </w:t>
      </w:r>
      <w:r>
        <w:rPr/>
        <w:t>1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המערערים הורשעו בעבירות קשות וחמורות</w:t>
      </w:r>
      <w:r>
        <w:rPr>
          <w:rtl w:val="true"/>
        </w:rPr>
        <w:t xml:space="preserve">, </w:t>
      </w:r>
      <w:r>
        <w:rPr>
          <w:rtl w:val="true"/>
        </w:rPr>
        <w:t>כאשר מעבר לפגיעות הפיזיות והכלכליות שפגעו בנפגעים והצער שגרמו להם ולמשפחותיהם</w:t>
      </w:r>
      <w:r>
        <w:rPr>
          <w:rtl w:val="true"/>
        </w:rPr>
        <w:t xml:space="preserve">, </w:t>
      </w:r>
      <w:r>
        <w:rPr>
          <w:rtl w:val="true"/>
        </w:rPr>
        <w:t>ערערו מעשיהם את תחושת הביטחון הכללית של הציבור כשאותתו לאזרחים תמימים שסכנה אורבת להם בד</w:t>
      </w:r>
      <w:r>
        <w:rPr>
          <w:rtl w:val="true"/>
        </w:rPr>
        <w:t xml:space="preserve">' </w:t>
      </w:r>
      <w:r>
        <w:rPr>
          <w:rtl w:val="true"/>
        </w:rPr>
        <w:t>אמותיו של ביתם הפרטי</w:t>
      </w:r>
      <w:r>
        <w:rPr>
          <w:rtl w:val="true"/>
        </w:rPr>
        <w:t xml:space="preserve">. </w:t>
      </w:r>
      <w:r>
        <w:rPr>
          <w:rtl w:val="true"/>
        </w:rPr>
        <w:t>מתחמי הענישה שקבע בית המשפט קמא משקפים את פגיעת המערערים בערכים החברתיים המוגנים</w:t>
      </w:r>
      <w:r>
        <w:rPr>
          <w:rtl w:val="true"/>
        </w:rPr>
        <w:t xml:space="preserve">, </w:t>
      </w:r>
      <w:r>
        <w:rPr>
          <w:rtl w:val="true"/>
        </w:rPr>
        <w:t>ובערעור זה לא נתבקשנו לדון בהם</w:t>
      </w:r>
      <w:r>
        <w:rPr>
          <w:rtl w:val="true"/>
        </w:rPr>
        <w:t xml:space="preserve">. </w:t>
      </w:r>
      <w:r>
        <w:rPr>
          <w:rtl w:val="true"/>
        </w:rPr>
        <w:t>השאלה הנשאלת איפוא היא האם יש בנסיבות האישיות של המערערים</w:t>
      </w:r>
      <w:r>
        <w:rPr>
          <w:rtl w:val="true"/>
        </w:rPr>
        <w:t xml:space="preserve">, </w:t>
      </w:r>
      <w:r>
        <w:rPr>
          <w:rtl w:val="true"/>
        </w:rPr>
        <w:t>ובשיקולי אחידות הענישה</w:t>
      </w:r>
      <w:r>
        <w:rPr>
          <w:rtl w:val="true"/>
        </w:rPr>
        <w:t xml:space="preserve">, </w:t>
      </w:r>
      <w:r>
        <w:rPr>
          <w:rtl w:val="true"/>
        </w:rPr>
        <w:t>כדי להקל בעונשם</w:t>
      </w:r>
      <w:r>
        <w:rPr>
          <w:rtl w:val="true"/>
        </w:rPr>
        <w:t xml:space="preserve">, </w:t>
      </w:r>
      <w:r>
        <w:rPr>
          <w:rtl w:val="true"/>
        </w:rPr>
        <w:t>בין אם באמצעות הפחתתו בתוך מתחם הענישה</w:t>
      </w:r>
      <w:r>
        <w:rPr>
          <w:rtl w:val="true"/>
        </w:rPr>
        <w:t xml:space="preserve">, </w:t>
      </w:r>
      <w:r>
        <w:rPr>
          <w:rtl w:val="true"/>
        </w:rPr>
        <w:t>ובין אם באמצעות חריגה ממנו</w:t>
      </w:r>
      <w:r>
        <w:rPr>
          <w:rtl w:val="true"/>
        </w:rPr>
        <w:t xml:space="preserve">. </w:t>
      </w:r>
      <w:r>
        <w:rPr>
          <w:rtl w:val="true"/>
        </w:rPr>
        <w:t>לשאלה זו נפנה עתה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מבלי שההליכים שניהלו המערערים יזקפו לחובתם</w:t>
      </w:r>
      <w:r>
        <w:rPr>
          <w:rtl w:val="true"/>
        </w:rPr>
        <w:t xml:space="preserve">, </w:t>
      </w:r>
      <w:r>
        <w:rPr>
          <w:rtl w:val="true"/>
        </w:rPr>
        <w:t>לאור זיכויים מחלק לא מבוטל מהאישומים</w:t>
      </w:r>
      <w:r>
        <w:rPr>
          <w:rtl w:val="true"/>
        </w:rPr>
        <w:t xml:space="preserve">, </w:t>
      </w:r>
      <w:r>
        <w:rPr>
          <w:rtl w:val="true"/>
        </w:rPr>
        <w:t>ובשים לב להלכה הנהוגה לפיה אין ערכאת הערעור מתערבת בחומרת העונש שגזרה הערכאה הדיונית</w:t>
      </w:r>
      <w:r>
        <w:rPr>
          <w:rtl w:val="true"/>
        </w:rPr>
        <w:t xml:space="preserve">, </w:t>
      </w:r>
      <w:r>
        <w:rPr>
          <w:rtl w:val="true"/>
        </w:rPr>
        <w:t xml:space="preserve">אלא במקרים חריגים בלבד </w:t>
      </w:r>
      <w:r>
        <w:rPr>
          <w:rtl w:val="true"/>
        </w:rPr>
        <w:t>(</w:t>
      </w:r>
      <w:r>
        <w:rPr>
          <w:rtl w:val="true"/>
        </w:rPr>
        <w:t xml:space="preserve">ראו לעניין זה </w:t>
      </w:r>
      <w:hyperlink r:id="rId3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5432/17</w:t>
        </w:r>
      </w:hyperlink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קשוע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15</w:t>
      </w:r>
      <w:r>
        <w:rPr>
          <w:rtl w:val="true"/>
        </w:rPr>
        <w:t xml:space="preserve"> (</w:t>
      </w:r>
      <w:r>
        <w:rPr/>
        <w:t>24.1.2018</w:t>
      </w:r>
      <w:r>
        <w:rPr>
          <w:rtl w:val="true"/>
        </w:rPr>
        <w:t xml:space="preserve">); </w:t>
      </w:r>
      <w:hyperlink r:id="rId3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607/16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פלונית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פסקה </w:t>
      </w:r>
      <w:r>
        <w:rPr>
          <w:sz w:val="28"/>
        </w:rPr>
        <w:t>7</w:t>
      </w:r>
      <w:r>
        <w:rPr>
          <w:sz w:val="28"/>
          <w:rtl w:val="true"/>
        </w:rPr>
        <w:t xml:space="preserve"> (</w:t>
      </w:r>
      <w:r>
        <w:rPr>
          <w:sz w:val="28"/>
        </w:rPr>
        <w:t>12.4.2016</w:t>
      </w:r>
      <w:r>
        <w:rPr>
          <w:sz w:val="28"/>
          <w:rtl w:val="true"/>
        </w:rPr>
        <w:t>)</w:t>
      </w:r>
      <w:r>
        <w:rPr>
          <w:rtl w:val="true"/>
        </w:rPr>
        <w:t>).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8439/17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1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בשקלול חלוף הזמן יחד עם נסיבותיו האישיות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אני סבור כי ניתן להקל בעונשו</w:t>
      </w:r>
      <w:r>
        <w:rPr>
          <w:rtl w:val="true"/>
        </w:rPr>
        <w:t xml:space="preserve">, </w:t>
      </w:r>
      <w:r>
        <w:rPr>
          <w:rtl w:val="true"/>
        </w:rPr>
        <w:t xml:space="preserve">על דרך העמדתו על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בפועל </w:t>
      </w:r>
      <w:r>
        <w:rPr>
          <w:rtl w:val="true"/>
        </w:rPr>
        <w:t>(</w:t>
      </w:r>
      <w:r>
        <w:rPr>
          <w:rtl w:val="true"/>
        </w:rPr>
        <w:t xml:space="preserve">במקום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בבואו לגזור את דינו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שקל בית המשפט קמא לקולא את פוטנציאל השיקום החיובי שזיהה שירות המבחן לגביו</w:t>
      </w:r>
      <w:r>
        <w:rPr>
          <w:rtl w:val="true"/>
        </w:rPr>
        <w:t xml:space="preserve">, </w:t>
      </w:r>
      <w:r>
        <w:rPr>
          <w:rtl w:val="true"/>
        </w:rPr>
        <w:t>ואת נסיבותיו האישיות שהשתנו בתקופה שבין קרות המעשים לבין מתן גזר הדין</w:t>
      </w:r>
      <w:r>
        <w:rPr>
          <w:rtl w:val="true"/>
        </w:rPr>
        <w:t xml:space="preserve">. </w:t>
      </w:r>
      <w:r>
        <w:rPr>
          <w:rtl w:val="true"/>
        </w:rPr>
        <w:t>לחומרא נשקלו הקשיים ששירות המבחן העלה לגביו</w:t>
      </w:r>
      <w:r>
        <w:rPr>
          <w:rtl w:val="true"/>
        </w:rPr>
        <w:t xml:space="preserve">, </w:t>
      </w:r>
      <w:r>
        <w:rPr>
          <w:rtl w:val="true"/>
        </w:rPr>
        <w:t>אשר הצדיקו מתן משקל להרתעה אישית בעניינו על אף חלוף הזמן</w:t>
      </w:r>
      <w:r>
        <w:rPr>
          <w:rtl w:val="true"/>
        </w:rPr>
        <w:t xml:space="preserve">, </w:t>
      </w:r>
      <w:r>
        <w:rPr>
          <w:rtl w:val="true"/>
        </w:rPr>
        <w:t>וכן עברו הפלילי</w:t>
      </w:r>
      <w:r>
        <w:rPr>
          <w:rtl w:val="true"/>
        </w:rPr>
        <w:t xml:space="preserve">, </w:t>
      </w:r>
      <w:r>
        <w:rPr>
          <w:rtl w:val="true"/>
        </w:rPr>
        <w:t>בייחוד העובדה שהמעשים מושא ערעור זה התרחשו עת עמד נגדו הליך בעניין אחר</w:t>
      </w:r>
      <w:r>
        <w:rPr>
          <w:rtl w:val="true"/>
        </w:rPr>
        <w:t xml:space="preserve">. </w:t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כפי שציין בית המשפט קמא</w:t>
      </w:r>
      <w:r>
        <w:rPr>
          <w:rtl w:val="true"/>
        </w:rPr>
        <w:t xml:space="preserve">, </w:t>
      </w:r>
      <w:r>
        <w:rPr>
          <w:rtl w:val="true"/>
        </w:rPr>
        <w:t>שיקול ההרתעה בענישה מאבד מתוקפו עת חולף זמן רב מקרות המעשה עד למתן העונש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בהתחשב בהמלצת שירות המבחן</w:t>
      </w:r>
      <w:r>
        <w:rPr>
          <w:rtl w:val="true"/>
        </w:rPr>
        <w:t xml:space="preserve">, </w:t>
      </w:r>
      <w:r>
        <w:rPr>
          <w:rtl w:val="true"/>
        </w:rPr>
        <w:t xml:space="preserve">אין הצדקה להתערב בהחלטת בית המשפט קמא שלא להוריד משמעותית ממשקל שיקול ההרתעה ביחס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לעומת נאשמים אחרים </w:t>
      </w:r>
      <w:r>
        <w:rPr>
          <w:rtl w:val="true"/>
        </w:rPr>
        <w:t>(</w:t>
      </w:r>
      <w:r>
        <w:rPr>
          <w:rtl w:val="true"/>
        </w:rPr>
        <w:t xml:space="preserve">ראו פסקה </w:t>
      </w:r>
      <w:r>
        <w:rPr/>
        <w:t>112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יש בשיקולי שיקום</w:t>
      </w:r>
      <w:r>
        <w:rPr>
          <w:rtl w:val="true"/>
        </w:rPr>
        <w:t xml:space="preserve">, </w:t>
      </w:r>
      <w:r>
        <w:rPr>
          <w:rtl w:val="true"/>
        </w:rPr>
        <w:t>שהתעצמו לנוכח התמשכות ההליך</w:t>
      </w:r>
      <w:r>
        <w:rPr>
          <w:rtl w:val="true"/>
        </w:rPr>
        <w:t xml:space="preserve">, </w:t>
      </w:r>
      <w:r>
        <w:rPr>
          <w:rtl w:val="true"/>
        </w:rPr>
        <w:t>כדי להצדיק הפחתה מסוימת בעונשו</w:t>
      </w:r>
      <w:r>
        <w:rPr>
          <w:rtl w:val="true"/>
        </w:rPr>
        <w:t>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במהלך התקופה הארוכה בה נוהל ההליך נמנע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מכל פעילות עבריינית</w:t>
      </w:r>
      <w:r>
        <w:rPr>
          <w:rtl w:val="true"/>
        </w:rPr>
        <w:t xml:space="preserve">, </w:t>
      </w:r>
      <w:r>
        <w:rPr>
          <w:rtl w:val="true"/>
        </w:rPr>
        <w:t>וכאמור שינה את אורח חייו באופן משמעותי</w:t>
      </w:r>
      <w:r>
        <w:rPr>
          <w:rtl w:val="true"/>
        </w:rPr>
        <w:t xml:space="preserve">. </w:t>
      </w:r>
      <w:r>
        <w:rPr>
          <w:rtl w:val="true"/>
        </w:rPr>
        <w:t>הדברים מתבטאים בעיקר בעבודתו הקבועה</w:t>
      </w:r>
      <w:r>
        <w:rPr>
          <w:rtl w:val="true"/>
        </w:rPr>
        <w:t xml:space="preserve">, </w:t>
      </w:r>
      <w:r>
        <w:rPr>
          <w:rtl w:val="true"/>
        </w:rPr>
        <w:t>אבהותו</w:t>
      </w:r>
      <w:r>
        <w:rPr>
          <w:rtl w:val="true"/>
        </w:rPr>
        <w:t xml:space="preserve">, </w:t>
      </w:r>
      <w:r>
        <w:rPr>
          <w:rtl w:val="true"/>
        </w:rPr>
        <w:t>והתרשמות בית המשפט קמא מעדותה של בת זוגתו</w:t>
      </w:r>
      <w:r>
        <w:rPr>
          <w:rtl w:val="true"/>
        </w:rPr>
        <w:t xml:space="preserve">. </w:t>
      </w:r>
      <w:r>
        <w:rPr>
          <w:rtl w:val="true"/>
        </w:rPr>
        <w:t>דהיינו</w:t>
      </w:r>
      <w:r>
        <w:rPr>
          <w:rtl w:val="true"/>
        </w:rPr>
        <w:t xml:space="preserve">, </w:t>
      </w:r>
      <w:r>
        <w:rPr>
          <w:rtl w:val="true"/>
        </w:rPr>
        <w:t>הפער בין דרכו העבריינית דאז לבין דרכו הנורמטיבית דהיום הוא גדול</w:t>
      </w:r>
      <w:r>
        <w:rPr>
          <w:rtl w:val="true"/>
        </w:rPr>
        <w:t xml:space="preserve">. </w:t>
      </w:r>
      <w:r>
        <w:rPr>
          <w:rtl w:val="true"/>
        </w:rPr>
        <w:t xml:space="preserve">בכך מאפשרות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השנים בהן התנהלה הפרשה</w:t>
      </w:r>
      <w:r>
        <w:rPr>
          <w:rtl w:val="true"/>
        </w:rPr>
        <w:t xml:space="preserve">, </w:t>
      </w:r>
      <w:r>
        <w:rPr>
          <w:rtl w:val="true"/>
        </w:rPr>
        <w:t xml:space="preserve">מתוכן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שנים בהן היה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חופשי ולא בתנאי מעצר</w:t>
      </w:r>
      <w:r>
        <w:rPr>
          <w:rtl w:val="true"/>
        </w:rPr>
        <w:t xml:space="preserve">, </w:t>
      </w:r>
      <w:r>
        <w:rPr>
          <w:rtl w:val="true"/>
        </w:rPr>
        <w:t>ללמוד על השינוי המשמעותי שערך בחייו</w:t>
      </w:r>
      <w:r>
        <w:rPr>
          <w:rtl w:val="true"/>
        </w:rPr>
        <w:t xml:space="preserve">. </w:t>
      </w:r>
      <w:r>
        <w:rPr>
          <w:rtl w:val="true"/>
        </w:rPr>
        <w:t>בכך יש כדי לצקת משקל נוסף לשיקול השיקום</w:t>
      </w:r>
      <w:r>
        <w:rPr>
          <w:rtl w:val="true"/>
        </w:rPr>
        <w:t xml:space="preserve">, </w:t>
      </w:r>
      <w:r>
        <w:rPr>
          <w:rtl w:val="true"/>
        </w:rPr>
        <w:t xml:space="preserve">למען ימשיך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לדבוק בדרכו הנוכחית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4345/18</w:t>
        </w:r>
      </w:hyperlink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אבו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עמאר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29.11.2018</w:t>
      </w:r>
      <w:r>
        <w:rPr>
          <w:rtl w:val="true"/>
        </w:rPr>
        <w:t xml:space="preserve">); </w:t>
      </w:r>
      <w:hyperlink r:id="rId3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6637/17</w:t>
        </w:r>
      </w:hyperlink>
      <w:r>
        <w:rPr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קרנדל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/>
          <w:b/>
          <w:spacing w:val="0"/>
          <w:sz w:val="22"/>
          <w:szCs w:val="24"/>
          <w:rtl w:val="true"/>
        </w:rPr>
        <w:t xml:space="preserve">'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eastAsia="Garamond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 xml:space="preserve">פסקאות </w:t>
      </w:r>
      <w:r>
        <w:rPr>
          <w:sz w:val="28"/>
        </w:rPr>
        <w:t>19-25</w:t>
      </w:r>
      <w:r>
        <w:rPr>
          <w:sz w:val="28"/>
          <w:rtl w:val="true"/>
        </w:rPr>
        <w:t xml:space="preserve"> </w:t>
      </w:r>
      <w:r>
        <w:rPr>
          <w:sz w:val="28"/>
          <w:sz w:val="28"/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sz w:val="28"/>
          <w:sz w:val="28"/>
          <w:rtl w:val="true"/>
        </w:rPr>
        <w:t xml:space="preserve"> </w:t>
      </w:r>
      <w:r>
        <w:rPr>
          <w:sz w:val="28"/>
          <w:rtl w:val="true"/>
        </w:rPr>
        <w:t>(</w:t>
      </w:r>
      <w:r>
        <w:rPr>
          <w:sz w:val="28"/>
        </w:rPr>
        <w:t>18.4.2018</w:t>
      </w:r>
      <w:r>
        <w:rPr>
          <w:sz w:val="28"/>
          <w:rtl w:val="true"/>
        </w:rPr>
        <w:t>)</w:t>
      </w:r>
      <w:r>
        <w:rPr>
          <w:rtl w:val="true"/>
        </w:rPr>
        <w:t xml:space="preserve">).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ביחס לטענת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כי יש להשוות את גזר דינו לגזר דינם של הנאשמים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לא מצאתי טעם לשנות מהחלטת בית המשפט קמא</w:t>
      </w:r>
      <w:r>
        <w:rPr>
          <w:rtl w:val="true"/>
        </w:rPr>
        <w:t xml:space="preserve">. </w:t>
      </w:r>
      <w:r>
        <w:rPr>
          <w:rtl w:val="true"/>
        </w:rPr>
        <w:t xml:space="preserve">גזר הדין של הנאשם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לא רק עמד לנגד עיני בית המשפט קמא עת שירטט את מתחם הענישה ההולם את מעשי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וגזר את דינו</w:t>
      </w:r>
      <w:r>
        <w:rPr>
          <w:rtl w:val="true"/>
        </w:rPr>
        <w:t xml:space="preserve">, </w:t>
      </w:r>
      <w:r>
        <w:rPr>
          <w:rtl w:val="true"/>
        </w:rPr>
        <w:t>אלא היווה נקודת ייחוס ושימש קנה מידה לכך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למרות שמעשים בהם הורשע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חמורים משמעותית מהמעשים בהם הורשע הנאשם </w:t>
      </w:r>
      <w:r>
        <w:rPr/>
        <w:t>5</w:t>
      </w:r>
      <w:r>
        <w:rPr>
          <w:rtl w:val="true"/>
        </w:rPr>
        <w:t xml:space="preserve"> (</w:t>
      </w:r>
      <w:r>
        <w:rPr>
          <w:rtl w:val="true"/>
        </w:rPr>
        <w:t xml:space="preserve">להרחבה בעניין זה ראו פסקאות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75</w:t>
      </w:r>
      <w:r>
        <w:rPr>
          <w:rtl w:val="true"/>
        </w:rPr>
        <w:t xml:space="preserve"> </w:t>
      </w:r>
      <w:r>
        <w:rPr>
          <w:rtl w:val="true"/>
        </w:rPr>
        <w:t>לגזר הדין</w:t>
      </w:r>
      <w:r>
        <w:rPr>
          <w:rtl w:val="true"/>
        </w:rPr>
        <w:t xml:space="preserve">). </w:t>
      </w:r>
      <w:r>
        <w:rPr>
          <w:rtl w:val="true"/>
        </w:rPr>
        <w:t>משעמד בית המשפט קמא על קווי הדמיון והשוני בין הרשעות השניים</w:t>
      </w:r>
      <w:r>
        <w:rPr>
          <w:rtl w:val="true"/>
        </w:rPr>
        <w:t xml:space="preserve">, </w:t>
      </w:r>
      <w:r>
        <w:rPr>
          <w:rtl w:val="true"/>
        </w:rPr>
        <w:t xml:space="preserve">ושקלל זאת במניין השיקולים הנדרשים לגזר דינו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אין עילה להתערבות בשיקול דעתו בעניין זה</w:t>
      </w:r>
      <w:r>
        <w:rPr>
          <w:rtl w:val="true"/>
        </w:rPr>
        <w:t xml:space="preserve">. </w:t>
      </w:r>
      <w:r>
        <w:rPr>
          <w:rtl w:val="true"/>
        </w:rPr>
        <w:t xml:space="preserve">מסקנה דומה מתבקשת גם ביחס לבקשת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להשוות את גזר דינו לזה שניתן בעניין הנאשם 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אשר דינו נגזר במסגרת הסדר טיעון סגור</w:t>
      </w:r>
      <w:r>
        <w:rPr>
          <w:rtl w:val="true"/>
        </w:rPr>
        <w:t xml:space="preserve">, </w:t>
      </w:r>
      <w:r>
        <w:rPr>
          <w:rtl w:val="true"/>
        </w:rPr>
        <w:t>וכן ביחס לבקשת ההשוואה לגזר דינו של עד המדינה</w:t>
      </w:r>
      <w:r>
        <w:rPr>
          <w:rtl w:val="true"/>
        </w:rPr>
        <w:t xml:space="preserve">, </w:t>
      </w:r>
      <w:r>
        <w:rPr>
          <w:rtl w:val="true"/>
        </w:rPr>
        <w:t xml:space="preserve">בהינתן ההלכה הנהוגה לפיה עקרון האחידות בענישה לא יעמוד מקום בו הופחת עונשו של אדם בעקבות שיתוף פעולה עם רשויות אכיפת החוק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37">
        <w:r>
          <w:rPr>
            <w:rStyle w:val="Hyperlink"/>
            <w:color w:val="0000FF"/>
            <w:u w:val="single"/>
            <w:rtl w:val="true"/>
          </w:rPr>
          <w:t>רע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6163/07</w:t>
        </w:r>
      </w:hyperlink>
      <w:r>
        <w:rPr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חדורה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;Times New Roman" w:hAnsi="Times New Roman;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;Times New Roman" w:hAnsi="Times New Roman;Times New Roman" w:cs="Times New Roman;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;Times New Roman" w:hAnsi="Times New Roman;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12</w:t>
      </w:r>
      <w:r>
        <w:rPr>
          <w:rtl w:val="true"/>
        </w:rPr>
        <w:t xml:space="preserve"> (</w:t>
      </w:r>
      <w:r>
        <w:rPr/>
        <w:t>22.5.2008</w:t>
      </w:r>
      <w:r>
        <w:rPr>
          <w:rtl w:val="true"/>
        </w:rPr>
        <w:t>)).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</w:t>
      </w:r>
      <w:r>
        <w:rPr>
          <w:rFonts w:cs="Miriam" w:ascii="Century" w:hAnsi="Century"/>
          <w:b/>
          <w:spacing w:val="0"/>
          <w:szCs w:val="24"/>
          <w:rtl w:val="true"/>
        </w:rPr>
        <w:t>"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8452/17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–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</w:rPr>
        <w:t>2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אשר למערער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מצאתי כי ניתן להקל גם מעונשו במידה מסוימת</w:t>
      </w:r>
      <w:r>
        <w:rPr>
          <w:rtl w:val="true"/>
        </w:rPr>
        <w:t xml:space="preserve">, </w:t>
      </w:r>
      <w:r>
        <w:rPr>
          <w:rtl w:val="true"/>
        </w:rPr>
        <w:t xml:space="preserve">ולהעמידו על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>
          <w:rtl w:val="true"/>
        </w:rPr>
        <w:t xml:space="preserve">במקום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). </w:t>
      </w:r>
      <w:r>
        <w:rPr>
          <w:rtl w:val="true"/>
        </w:rPr>
        <w:t>הטעם לכך הוא השאיפה לשמור על פער מתקבל על הדעת בין עונשו של מערער זה לבין עונשם של יתר המעורבים בפרשה</w:t>
      </w:r>
      <w:r>
        <w:rPr>
          <w:rtl w:val="true"/>
        </w:rPr>
        <w:t xml:space="preserve">. </w:t>
      </w:r>
      <w:r>
        <w:rPr>
          <w:rtl w:val="true"/>
        </w:rPr>
        <w:t>על עיקרון האחידות בענישה</w:t>
      </w:r>
      <w:r>
        <w:rPr>
          <w:rtl w:val="true"/>
        </w:rPr>
        <w:t xml:space="preserve">, </w:t>
      </w:r>
      <w:r>
        <w:rPr>
          <w:rtl w:val="true"/>
        </w:rPr>
        <w:t>המחייב מדרג הולם בענישת מעורבים באותה פרשה</w:t>
      </w:r>
      <w:r>
        <w:rPr>
          <w:rtl w:val="true"/>
        </w:rPr>
        <w:t xml:space="preserve">, </w:t>
      </w:r>
      <w:r>
        <w:rPr>
          <w:rtl w:val="true"/>
        </w:rPr>
        <w:t>לעמוד לנגד עיני בית המשפט בבואו לגזור את דין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העיקרון יפה לענייננו בייחוד לאור כך שבית המשפט קמא קבע כי כלל פעולות החבורה ייראו כאירוע אחד לצורך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יג</w:t>
        </w:r>
      </w:hyperlink>
      <w:r>
        <w:rPr>
          <w:rtl w:val="true"/>
        </w:rPr>
        <w:t xml:space="preserve"> ל</w:t>
      </w:r>
      <w:hyperlink r:id="rId3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בהינתן שוני משמעותי בין מורשעים מוצדק כי יהיה שוני מהותי גם בענישה </w:t>
      </w:r>
      <w:r>
        <w:rPr>
          <w:rtl w:val="true"/>
        </w:rPr>
        <w:t>(</w:t>
      </w:r>
      <w:r>
        <w:rPr>
          <w:rtl w:val="true"/>
        </w:rPr>
        <w:t xml:space="preserve">ראו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945/18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סלאימה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14.1.2019</w:t>
      </w:r>
      <w:r>
        <w:rPr>
          <w:rtl w:val="true"/>
        </w:rPr>
        <w:t xml:space="preserve">); 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 xml:space="preserve">פ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שירזי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Fonts w:cs="Times New Roman;Times New Roman" w:ascii="Times New Roman;Times New Roman" w:hAnsi="Times New Roman;Times New Roman"/>
        </w:rPr>
        <w:t>10.12.2018</w:t>
      </w:r>
      <w:r>
        <w:rPr>
          <w:rtl w:val="true"/>
        </w:rPr>
        <w:t xml:space="preserve">)). </w:t>
      </w:r>
      <w:r>
        <w:rPr>
          <w:rtl w:val="true"/>
        </w:rPr>
        <w:t xml:space="preserve">לחובת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עומדים לרועץ שיקולים שאינם מתקיימים לגבי שאר המורשעים בגזר הדין של בית המשפט קמא</w:t>
      </w:r>
      <w:r>
        <w:rPr>
          <w:rtl w:val="true"/>
        </w:rPr>
        <w:t xml:space="preserve">: </w:t>
      </w:r>
      <w:r>
        <w:rPr>
          <w:rtl w:val="true"/>
        </w:rPr>
        <w:t xml:space="preserve">הוא נמצא במדרג ניהולי גבוה יותר מן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ומן המורשעים האחרים</w:t>
      </w:r>
      <w:r>
        <w:rPr>
          <w:rtl w:val="true"/>
        </w:rPr>
        <w:t xml:space="preserve">; </w:t>
      </w:r>
      <w:r>
        <w:rPr>
          <w:rtl w:val="true"/>
        </w:rPr>
        <w:t>העבירות בהן הורשע רבות יותר</w:t>
      </w:r>
      <w:r>
        <w:rPr>
          <w:rtl w:val="true"/>
        </w:rPr>
        <w:t xml:space="preserve">; </w:t>
      </w:r>
      <w:r>
        <w:rPr>
          <w:rtl w:val="true"/>
        </w:rPr>
        <w:t>ועברו הפלילי כולל עברות קודמות ומאוחרות</w:t>
      </w:r>
      <w:r>
        <w:rPr>
          <w:rtl w:val="true"/>
        </w:rPr>
        <w:t xml:space="preserve">, </w:t>
      </w:r>
      <w:r>
        <w:rPr>
          <w:rtl w:val="true"/>
        </w:rPr>
        <w:t>שאף לוו בעונשי מאסר בפועל</w:t>
      </w:r>
      <w:r>
        <w:rPr>
          <w:rtl w:val="true"/>
        </w:rPr>
        <w:t xml:space="preserve">, </w:t>
      </w:r>
      <w:r>
        <w:rPr>
          <w:rtl w:val="true"/>
        </w:rPr>
        <w:t>אשר לא הרתיעו אותו מלשוב ולבצע עבירות שוד</w:t>
      </w:r>
      <w:r>
        <w:rPr>
          <w:rtl w:val="true"/>
        </w:rPr>
        <w:t xml:space="preserve">. </w:t>
      </w:r>
      <w:r>
        <w:rPr>
          <w:rtl w:val="true"/>
        </w:rPr>
        <w:t>בשים לב לכך</w:t>
      </w:r>
      <w:r>
        <w:rPr>
          <w:rtl w:val="true"/>
        </w:rPr>
        <w:t xml:space="preserve">, </w:t>
      </w:r>
      <w:r>
        <w:rPr>
          <w:rtl w:val="true"/>
        </w:rPr>
        <w:t>נכון עשה בית המשפט קמא בהבחנה שערך בין המורשעים בפרשה</w:t>
      </w:r>
      <w:r>
        <w:rPr>
          <w:rtl w:val="true"/>
        </w:rPr>
        <w:t xml:space="preserve">, </w:t>
      </w:r>
      <w:r>
        <w:rPr>
          <w:rtl w:val="true"/>
        </w:rPr>
        <w:t>ובעונשים שגזר בהתאם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 xml:space="preserve">בהינתן התוצאה העונשית הסופית שנקבעה בעניינו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וביחס לעונשים שנגזרו על יתר המעורבים בפרשה</w:t>
      </w:r>
      <w:r>
        <w:rPr>
          <w:rtl w:val="true"/>
        </w:rPr>
        <w:t xml:space="preserve">, </w:t>
      </w:r>
      <w:r>
        <w:rPr>
          <w:rtl w:val="true"/>
        </w:rPr>
        <w:t xml:space="preserve">נראה כי פער של ארבע שנים מעונשו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די בו על מנת לבטא את החומרה היחסית שיש ליחס למעשיו והתנהלותו של המערער </w:t>
      </w:r>
      <w:r>
        <w:rPr/>
        <w:t>2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טען כאמור לעיל כי יש להקל מחומרת העונש שנגזר עליו גם מאחר שלא הורשע ברוב האישומים שיוחסו לו בכתב האישום</w:t>
      </w:r>
      <w:r>
        <w:rPr>
          <w:rtl w:val="true"/>
        </w:rPr>
        <w:t xml:space="preserve">. </w:t>
      </w:r>
      <w:r>
        <w:rPr>
          <w:rtl w:val="true"/>
        </w:rPr>
        <w:t>אין לקבל טענה זו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קמא גזר את דינו של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בהלימה למעשים בהם הורשע</w:t>
      </w:r>
      <w:r>
        <w:rPr>
          <w:rtl w:val="true"/>
        </w:rPr>
        <w:t xml:space="preserve">, </w:t>
      </w:r>
      <w:r>
        <w:rPr>
          <w:rtl w:val="true"/>
        </w:rPr>
        <w:t>קרי לאחר שניפה את האישומים בהם לא הורשע ממערך שיקוליו</w:t>
      </w:r>
      <w:r>
        <w:rPr>
          <w:rtl w:val="true"/>
        </w:rPr>
        <w:t xml:space="preserve">, </w:t>
      </w:r>
      <w:r>
        <w:rPr>
          <w:rtl w:val="true"/>
        </w:rPr>
        <w:t>ובהתאם לנסיבותיו האישיות</w:t>
      </w:r>
      <w:r>
        <w:rPr>
          <w:rtl w:val="true"/>
        </w:rPr>
        <w:t xml:space="preserve">. </w:t>
      </w:r>
      <w:r>
        <w:rPr>
          <w:rtl w:val="true"/>
        </w:rPr>
        <w:t xml:space="preserve">תקופת המאסר שנגזרה על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היא אכן ארוכה וחמורה</w:t>
      </w:r>
      <w:r>
        <w:rPr>
          <w:rtl w:val="true"/>
        </w:rPr>
        <w:t xml:space="preserve">, </w:t>
      </w:r>
      <w:r>
        <w:rPr>
          <w:rtl w:val="true"/>
        </w:rPr>
        <w:t>אך אינה חורגת מן הנהוג והמקובל בהינתן מספר העבירות הרב בהן הורשע</w:t>
      </w:r>
      <w:r>
        <w:rPr>
          <w:rtl w:val="true"/>
        </w:rPr>
        <w:t xml:space="preserve">, </w:t>
      </w:r>
      <w:r>
        <w:rPr>
          <w:rtl w:val="true"/>
        </w:rPr>
        <w:t xml:space="preserve">ובייחוד בהינתן הנסיבות המחמירות של אישום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שכללו תקיפת אדם מבוגר בביתו</w:t>
      </w:r>
      <w:r>
        <w:rPr>
          <w:rtl w:val="true"/>
        </w:rPr>
        <w:t xml:space="preserve">, </w:t>
      </w:r>
      <w:r>
        <w:rPr>
          <w:rtl w:val="true"/>
        </w:rPr>
        <w:t xml:space="preserve">עברו הפלילי והעדר כל אינדיקציה לשיקום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8515/17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24.10.2018</w:t>
      </w:r>
      <w:r>
        <w:rPr>
          <w:rtl w:val="true"/>
        </w:rPr>
        <w:t xml:space="preserve">), </w:t>
      </w:r>
      <w:r>
        <w:rPr>
          <w:rtl w:val="true"/>
        </w:rPr>
        <w:t>בו נדחה ערעורו של אדם בעל עבר פלילי שנשפט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וחצי שנות מאסר בגין מקרה יחיד של שוד קשישה שתוכנן מראש</w:t>
      </w:r>
      <w:r>
        <w:rPr>
          <w:rtl w:val="true"/>
        </w:rPr>
        <w:t xml:space="preserve">; 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5931/11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עבדולייב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ישראל</w:t>
      </w:r>
      <w:r>
        <w:rPr>
          <w:rtl w:val="true"/>
        </w:rPr>
        <w:t xml:space="preserve">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>(</w:t>
      </w:r>
      <w:r>
        <w:rPr>
          <w:sz w:val="26"/>
          <w:szCs w:val="30"/>
        </w:rPr>
        <w:t>22.10.2013</w:t>
      </w:r>
      <w:r>
        <w:rPr>
          <w:rtl w:val="true"/>
        </w:rPr>
        <w:t xml:space="preserve">) </w:t>
      </w:r>
      <w:r>
        <w:rPr>
          <w:rtl w:val="true"/>
        </w:rPr>
        <w:t>בו נשפט אדם ל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 מאסר בפועל יחד עם שנתיים שנות מאסר על תנאי שהופעלו</w:t>
      </w:r>
      <w:r>
        <w:rPr>
          <w:rtl w:val="true"/>
        </w:rPr>
        <w:t xml:space="preserve">) </w:t>
      </w:r>
      <w:r>
        <w:rPr>
          <w:rtl w:val="true"/>
        </w:rPr>
        <w:t>בגין שוד קשישה ועבירות גניבה והונאה בכרטיס חיוב</w:t>
      </w:r>
      <w:r>
        <w:rPr>
          <w:rtl w:val="true"/>
        </w:rPr>
        <w:t>).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על אף שלא העלה באופן סדור את חלוף הזמן כעילה להפחתת עונשו </w:t>
      </w:r>
      <w:r>
        <w:rPr>
          <w:rtl w:val="true"/>
        </w:rPr>
        <w:t>(</w:t>
      </w:r>
      <w:r>
        <w:rPr>
          <w:rtl w:val="true"/>
        </w:rPr>
        <w:t>הדבר לא עלה בנימוקי הערעור</w:t>
      </w:r>
      <w:r>
        <w:rPr>
          <w:rtl w:val="true"/>
        </w:rPr>
        <w:t xml:space="preserve">, </w:t>
      </w:r>
      <w:r>
        <w:rPr>
          <w:rtl w:val="true"/>
        </w:rPr>
        <w:t xml:space="preserve">כאשר בדיון שנערך לפנינו בא כוחו של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הצטרף לדברי בא כוחו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ביחס לכך</w:t>
      </w:r>
      <w:r>
        <w:rPr>
          <w:rtl w:val="true"/>
        </w:rPr>
        <w:t xml:space="preserve">), </w:t>
      </w:r>
      <w:r>
        <w:rPr>
          <w:rtl w:val="true"/>
        </w:rPr>
        <w:t xml:space="preserve">ראוי להידרש לסוגיה ולציין כי חלוף הזמן אינו יכול לעמוד לזכות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באותו האופן בו עמד לזכות המערער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כפי שצוין לעיל</w:t>
      </w:r>
      <w:r>
        <w:rPr>
          <w:rtl w:val="true"/>
        </w:rPr>
        <w:t xml:space="preserve">, </w:t>
      </w:r>
      <w:r>
        <w:rPr>
          <w:rtl w:val="true"/>
        </w:rPr>
        <w:t xml:space="preserve">חלוף הזמן בעניינו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מצדיק הפחתה מעונשו</w:t>
      </w:r>
      <w:r>
        <w:rPr>
          <w:rtl w:val="true"/>
        </w:rPr>
        <w:t xml:space="preserve">, </w:t>
      </w:r>
      <w:r>
        <w:rPr>
          <w:rtl w:val="true"/>
        </w:rPr>
        <w:t>שכן הוא מהווה אינדיקציה לשינוי משמעותי בחייו ובדרכו</w:t>
      </w:r>
      <w:r>
        <w:rPr>
          <w:rtl w:val="true"/>
        </w:rPr>
        <w:t xml:space="preserve">. </w:t>
      </w: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 xml:space="preserve">חלוף הזמן ביחס למערער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מציג תמונה הפוכה</w:t>
      </w:r>
      <w:r>
        <w:rPr>
          <w:rtl w:val="true"/>
        </w:rPr>
        <w:t xml:space="preserve">. </w:t>
      </w:r>
      <w:r>
        <w:rPr>
          <w:rtl w:val="true"/>
        </w:rPr>
        <w:t>כפי שצוין בגזר הדין של בית המשפט קמא</w:t>
      </w:r>
      <w:r>
        <w:rPr>
          <w:rtl w:val="true"/>
        </w:rPr>
        <w:t xml:space="preserve">, </w:t>
      </w:r>
      <w:r>
        <w:rPr>
          <w:rtl w:val="true"/>
        </w:rPr>
        <w:t xml:space="preserve">עת נדונה הפרשה מושא הערעור ביצע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עבירת שוד נוספת</w:t>
      </w:r>
      <w:r>
        <w:rPr>
          <w:rtl w:val="true"/>
        </w:rPr>
        <w:t xml:space="preserve">, </w:t>
      </w:r>
      <w:r>
        <w:rPr>
          <w:rtl w:val="true"/>
        </w:rPr>
        <w:t>שוד של חנות עם אקדח דמה</w:t>
      </w:r>
      <w:r>
        <w:rPr>
          <w:rtl w:val="true"/>
        </w:rPr>
        <w:t xml:space="preserve">, </w:t>
      </w:r>
      <w:r>
        <w:rPr>
          <w:rtl w:val="true"/>
        </w:rPr>
        <w:t>בגינה נשפט ל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וחצי שנות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עבירה זו מצטרפת לשרשרת עבירות אלימות ורכוש בהן הורשע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ועומדות לחובתו גם ביחס לערעור שלפנינו</w:t>
      </w:r>
      <w:r>
        <w:rPr>
          <w:rtl w:val="true"/>
        </w:rPr>
        <w:t xml:space="preserve">. </w:t>
      </w:r>
      <w:r>
        <w:rPr>
          <w:rtl w:val="true"/>
        </w:rPr>
        <w:t>הזמן אומנם אינו חולף בעניינו של האחד ועוצר מלכת בעניינו של האחר</w:t>
      </w:r>
      <w:r>
        <w:rPr>
          <w:rtl w:val="true"/>
        </w:rPr>
        <w:t xml:space="preserve">, </w:t>
      </w:r>
      <w:r>
        <w:rPr>
          <w:rtl w:val="true"/>
        </w:rPr>
        <w:t>אך ההתנהלות השונה של המערערים צובעת נסיבה זו בצבעים שונים</w:t>
      </w:r>
      <w:r>
        <w:rPr>
          <w:rtl w:val="true"/>
        </w:rPr>
        <w:t xml:space="preserve">, </w:t>
      </w:r>
      <w:r>
        <w:rPr>
          <w:rtl w:val="true"/>
        </w:rPr>
        <w:t>אשר מחייבים התייחסות שונה</w:t>
      </w:r>
      <w:r>
        <w:rPr>
          <w:rtl w:val="true"/>
        </w:rPr>
        <w:t xml:space="preserve">. </w:t>
      </w:r>
      <w:r>
        <w:rPr>
          <w:rtl w:val="true"/>
        </w:rPr>
        <w:t xml:space="preserve">בנסיבותיו של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בהן חלוף הזמן לא מהווה אינדיקציה לשינוי בהתנהגות</w:t>
      </w:r>
      <w:r>
        <w:rPr>
          <w:rtl w:val="true"/>
        </w:rPr>
        <w:t>ו</w:t>
      </w:r>
      <w:r>
        <w:rPr>
          <w:rtl w:val="true"/>
        </w:rPr>
        <w:t xml:space="preserve">, </w:t>
      </w:r>
      <w:r>
        <w:rPr>
          <w:rtl w:val="true"/>
        </w:rPr>
        <w:t>התנהלותו ודרכי חשיבתו</w:t>
      </w:r>
      <w:r>
        <w:rPr>
          <w:rtl w:val="true"/>
        </w:rPr>
        <w:t xml:space="preserve">, </w:t>
      </w:r>
      <w:r>
        <w:rPr>
          <w:rtl w:val="true"/>
        </w:rPr>
        <w:t xml:space="preserve">נראה כי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השנים שחלפו בין כתב האישום לבין מתן גזר הדין קיבלו את מלוא המשקל שניתן להעניק להן</w:t>
      </w:r>
      <w:r>
        <w:rPr>
          <w:rtl w:val="true"/>
        </w:rPr>
        <w:t xml:space="preserve">. </w:t>
      </w:r>
      <w:r>
        <w:rPr>
          <w:rtl w:val="true"/>
        </w:rPr>
        <w:t>זאת הן במסגרת התייחסות בית המשפט קמא לחלוף הזמן כשיקול לקולא</w:t>
      </w:r>
      <w:r>
        <w:rPr>
          <w:rtl w:val="true"/>
        </w:rPr>
        <w:t xml:space="preserve">, </w:t>
      </w:r>
      <w:r>
        <w:rPr>
          <w:rtl w:val="true"/>
        </w:rPr>
        <w:t xml:space="preserve">והן במסגרת הצעתי לחבריי להפחית מעונשו של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בשל השאיפה לשמור על עקרון אחידות הענישה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את טענת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כי יש להפחית מסכום הקנס והפיצויים שנקבעו לו ראוי לדחות</w:t>
      </w:r>
      <w:r>
        <w:rPr>
          <w:rtl w:val="true"/>
        </w:rPr>
        <w:t xml:space="preserve">. </w:t>
      </w:r>
      <w:r>
        <w:rPr>
          <w:rtl w:val="true"/>
        </w:rPr>
        <w:t>בית המשפט קמא קבע את גובה הקנס משום אופיין הכלכלי של העבירות מושא הערעור</w:t>
      </w:r>
      <w:r>
        <w:rPr>
          <w:rtl w:val="true"/>
        </w:rPr>
        <w:t xml:space="preserve">, </w:t>
      </w:r>
      <w:r>
        <w:rPr>
          <w:rtl w:val="true"/>
        </w:rPr>
        <w:t xml:space="preserve">תוך שהוא לוקח בחשבון את עונש המאסר הממושך שהושת על המערער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 xml:space="preserve">בהתאם לחשיבות הנודעת לסנקציה כלכלית בעבירות כלכליות וכחלק מרכיב ההרתעה בענישה </w:t>
      </w:r>
      <w:r>
        <w:rPr>
          <w:rtl w:val="true"/>
        </w:rPr>
        <w:t>(</w:t>
      </w:r>
      <w:r>
        <w:rPr>
          <w:rtl w:val="true"/>
        </w:rPr>
        <w:t xml:space="preserve">ראו והשוו 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4522/18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אסאבן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13</w:t>
      </w:r>
      <w:r>
        <w:rPr>
          <w:rtl w:val="true"/>
        </w:rPr>
        <w:t xml:space="preserve"> (</w:t>
      </w:r>
      <w:r>
        <w:rPr/>
        <w:t>11.11.2018</w:t>
      </w:r>
      <w:r>
        <w:rPr>
          <w:rtl w:val="true"/>
        </w:rPr>
        <w:t xml:space="preserve">); </w:t>
      </w:r>
      <w:hyperlink r:id="rId4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8045/17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בראנסי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36</w:t>
      </w:r>
      <w:r>
        <w:rPr>
          <w:rtl w:val="true"/>
        </w:rPr>
        <w:t xml:space="preserve"> (</w:t>
      </w:r>
      <w:r>
        <w:rPr/>
        <w:t>16.8.2018</w:t>
      </w:r>
      <w:r>
        <w:rPr>
          <w:rtl w:val="true"/>
        </w:rPr>
        <w:t xml:space="preserve">)). </w:t>
      </w:r>
      <w:r>
        <w:rPr>
          <w:rtl w:val="true"/>
        </w:rPr>
        <w:t>לעניין תשלום הפיצוי ציין בית המשפט קמא כי אין להתחשב ביכולת התשלום של נאשם שהורשע</w:t>
      </w:r>
      <w:r>
        <w:rPr>
          <w:rtl w:val="true"/>
        </w:rPr>
        <w:t xml:space="preserve">, </w:t>
      </w:r>
      <w:r>
        <w:rPr>
          <w:rtl w:val="true"/>
        </w:rPr>
        <w:t xml:space="preserve">וקבע את גובה הפיצוי בהתחשב בפגיעה החמורה שפגע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באדם המבוגר אותו שדד</w:t>
      </w:r>
      <w:r>
        <w:rPr>
          <w:rtl w:val="true"/>
        </w:rPr>
        <w:t xml:space="preserve">, </w:t>
      </w:r>
      <w:r>
        <w:rPr>
          <w:rtl w:val="true"/>
        </w:rPr>
        <w:t xml:space="preserve">על פי אישום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 xml:space="preserve">כפי שפורט לעיל </w:t>
      </w:r>
      <w:r>
        <w:rPr>
          <w:rtl w:val="true"/>
        </w:rPr>
        <w:t>(</w:t>
      </w:r>
      <w:r>
        <w:rPr>
          <w:rtl w:val="true"/>
        </w:rPr>
        <w:t xml:space="preserve">לשלילת אפשרות התחשבות במצבו הכלכלי של מבצע עבירה לשם קביעת גובה הפיצוי בו יחויב ראו </w:t>
      </w:r>
      <w:hyperlink r:id="rId4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1076/15</w:t>
        </w:r>
      </w:hyperlink>
      <w:r>
        <w:rPr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טווק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מדינה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rtl w:val="true"/>
        </w:rPr>
        <w:t xml:space="preserve">פסקה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 xml:space="preserve">לפסק דינה של השופטת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דפנה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ברק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>-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ארז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7.6.2016</w:t>
      </w:r>
      <w:r>
        <w:rPr>
          <w:rtl w:val="true"/>
        </w:rPr>
        <w:t xml:space="preserve">); </w:t>
      </w:r>
      <w:hyperlink r:id="rId4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5761/05</w:t>
        </w:r>
      </w:hyperlink>
      <w:r>
        <w:rPr>
          <w:sz w:val="28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מג</w:t>
      </w:r>
      <w:r>
        <w:rPr>
          <w:rFonts w:cs="Miriam"/>
          <w:spacing w:val="0"/>
          <w:szCs w:val="24"/>
          <w:rtl w:val="true"/>
        </w:rPr>
        <w:t>'</w:t>
      </w:r>
      <w:r>
        <w:rPr>
          <w:rFonts w:cs="Miriam"/>
          <w:spacing w:val="0"/>
          <w:szCs w:val="24"/>
          <w:rtl w:val="true"/>
        </w:rPr>
        <w:t>דלאוי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נ</w:t>
      </w:r>
      <w:r>
        <w:rPr>
          <w:rFonts w:cs="Miriam"/>
          <w:spacing w:val="0"/>
          <w:szCs w:val="24"/>
          <w:rtl w:val="true"/>
        </w:rPr>
        <w:t xml:space="preserve">' </w:t>
      </w:r>
      <w:r>
        <w:rPr>
          <w:rFonts w:cs="Miriam"/>
          <w:spacing w:val="0"/>
          <w:szCs w:val="24"/>
          <w:rtl w:val="true"/>
        </w:rPr>
        <w:t>מדינת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ישראל</w:t>
      </w:r>
      <w:r>
        <w:rPr>
          <w:sz w:val="28"/>
          <w:rtl w:val="true"/>
        </w:rPr>
        <w:t xml:space="preserve">, 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>[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;Times New Roman" w:hAnsi="Times New Roman;Times New Roman" w:cs="Times New Roman;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;Times New Roman" w:hAnsi="Times New Roman;Times New Roman" w:cs="David;Times New Roman"/>
          <w:spacing w:val="0"/>
          <w:sz w:val="22"/>
          <w:sz w:val="22"/>
          <w:szCs w:val="24"/>
          <w:rtl w:val="true"/>
        </w:rPr>
        <w:t>בנבו</w:t>
      </w:r>
      <w:r>
        <w:rPr>
          <w:rFonts w:cs="David;Times New Roman" w:ascii="Times New Roman;Times New Roman" w:hAnsi="Times New Roman;Times New Roman"/>
          <w:spacing w:val="0"/>
          <w:sz w:val="22"/>
          <w:szCs w:val="24"/>
          <w:rtl w:val="true"/>
        </w:rPr>
        <w:t xml:space="preserve">] </w:t>
      </w:r>
      <w:r>
        <w:rPr>
          <w:sz w:val="28"/>
          <w:sz w:val="28"/>
          <w:rtl w:val="true"/>
        </w:rPr>
        <w:t>פסקה ט</w:t>
      </w:r>
      <w:r>
        <w:rPr>
          <w:sz w:val="28"/>
          <w:rtl w:val="true"/>
        </w:rPr>
        <w:t>' (</w:t>
      </w:r>
      <w:r>
        <w:rPr>
          <w:sz w:val="28"/>
        </w:rPr>
        <w:t>24.7.2006</w:t>
      </w:r>
      <w:r>
        <w:rPr>
          <w:sz w:val="28"/>
          <w:rtl w:val="true"/>
        </w:rPr>
        <w:t>))</w:t>
      </w:r>
      <w:r>
        <w:rPr>
          <w:rtl w:val="true"/>
        </w:rPr>
        <w:t xml:space="preserve">. </w:t>
      </w:r>
      <w:r>
        <w:rPr>
          <w:rtl w:val="true"/>
        </w:rPr>
        <w:t>משלא נפל כל דופי בקביעת רכיבי הקנס והפיצוי</w:t>
      </w:r>
      <w:r>
        <w:rPr>
          <w:rtl w:val="true"/>
        </w:rPr>
        <w:t xml:space="preserve">, </w:t>
      </w:r>
      <w:r>
        <w:rPr>
          <w:rtl w:val="true"/>
        </w:rPr>
        <w:t>ומשלא הוצג שיקול שבית המשפט קמא לא התחשב בו</w:t>
      </w:r>
      <w:r>
        <w:rPr>
          <w:rtl w:val="true"/>
        </w:rPr>
        <w:t xml:space="preserve">, </w:t>
      </w:r>
      <w:r>
        <w:rPr>
          <w:rtl w:val="true"/>
        </w:rPr>
        <w:t>התשלומים שנקבעו יעמדו בעינם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3"/>
        <w:numPr>
          <w:ilvl w:val="0"/>
          <w:numId w:val="1"/>
        </w:numPr>
        <w:ind w:hanging="0" w:start="0" w:end="0"/>
        <w:jc w:val="both"/>
        <w:rPr/>
      </w:pPr>
      <w:r>
        <w:rPr>
          <w:rFonts w:cs="Miriam"/>
          <w:spacing w:val="0"/>
          <w:szCs w:val="24"/>
          <w:rtl w:val="true"/>
        </w:rPr>
        <w:t>סוף</w:t>
      </w:r>
      <w:r>
        <w:rPr>
          <w:rFonts w:eastAsia="Garamond"/>
          <w:spacing w:val="0"/>
          <w:szCs w:val="24"/>
          <w:rtl w:val="true"/>
        </w:rPr>
        <w:t xml:space="preserve"> </w:t>
      </w:r>
      <w:r>
        <w:rPr>
          <w:rFonts w:cs="Miriam"/>
          <w:spacing w:val="0"/>
          <w:szCs w:val="24"/>
          <w:rtl w:val="true"/>
        </w:rPr>
        <w:t>דבר</w:t>
      </w:r>
      <w:r>
        <w:rPr>
          <w:rtl w:val="true"/>
        </w:rPr>
        <w:t xml:space="preserve">: </w:t>
      </w:r>
      <w:r>
        <w:rPr>
          <w:rtl w:val="true"/>
        </w:rPr>
        <w:t xml:space="preserve">אציע לחבריי לקבל את ערעורו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במובן זה שעונש המאסר בפועל הכולל שהושת עליו יופחת מ</w:t>
      </w:r>
      <w:r>
        <w:rPr>
          <w:rtl w:val="true"/>
        </w:rPr>
        <w:t>-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שנים 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 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וזאת בתקווה שישוב בתום ריצוי העונש למסלול החיים הנורמטיבי בו החל עובר למעצרו</w:t>
      </w:r>
      <w:r>
        <w:rPr>
          <w:rtl w:val="true"/>
        </w:rPr>
        <w:t xml:space="preserve">. </w:t>
      </w:r>
      <w:r>
        <w:rPr>
          <w:rtl w:val="true"/>
        </w:rPr>
        <w:t xml:space="preserve">כן אציע לקבל במידה מתונה יותר את ערעורו של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כך שעונש המאסר בפועל הכולל שהושת עליו יופחת מ</w:t>
      </w:r>
      <w:r>
        <w:rPr>
          <w:rtl w:val="true"/>
        </w:rPr>
        <w:t xml:space="preserve">-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שנים ל</w:t>
      </w:r>
      <w:r>
        <w:rPr>
          <w:rtl w:val="true"/>
        </w:rPr>
        <w:t xml:space="preserve">-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אין שינוי ביתר רכיבי העונש שנגזר למערערים על ידי בית המשפט קמא</w:t>
      </w:r>
      <w:r>
        <w:rPr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tl w:val="true"/>
        </w:rPr>
      </w:r>
    </w:p>
    <w:p>
      <w:pPr>
        <w:pStyle w:val="Ruller42"/>
        <w:ind w:end="0"/>
        <w:jc w:val="both"/>
        <w:rPr/>
      </w:pPr>
      <w:r>
        <w:rPr>
          <w:rtl w:val="true"/>
        </w:rPr>
        <w:tab/>
        <w:tab/>
        <w:tab/>
        <w:tab/>
        <w:tab/>
        <w:tab/>
        <w:tab/>
        <w:tab/>
        <w:tab/>
      </w: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2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סולברג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16"/>
          <w:szCs w:val="22"/>
        </w:rPr>
      </w:pPr>
      <w:r>
        <w:rPr>
          <w:rFonts w:cs="Century" w:ascii="Century" w:hAnsi="Century"/>
          <w:sz w:val="16"/>
          <w:szCs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ש ו פ ט</w:t>
      </w:r>
    </w:p>
    <w:p>
      <w:pPr>
        <w:pStyle w:val="Ruller42"/>
        <w:ind w:end="0"/>
        <w:jc w:val="both"/>
        <w:rPr>
          <w:rFonts w:ascii="Century" w:hAnsi="Century" w:cs="Century"/>
          <w:sz w:val="14"/>
          <w:szCs w:val="20"/>
        </w:rPr>
      </w:pPr>
      <w:r>
        <w:rPr>
          <w:rFonts w:cs="Century" w:ascii="Century" w:hAnsi="Century"/>
          <w:sz w:val="14"/>
          <w:szCs w:val="20"/>
          <w:rtl w:val="true"/>
        </w:rPr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קרא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2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Miriam" w:ascii="Century" w:hAnsi="Century"/>
          <w:b/>
          <w:spacing w:val="0"/>
          <w:szCs w:val="24"/>
          <w:rtl w:val="true"/>
        </w:rPr>
        <w:tab/>
      </w:r>
      <w:r>
        <w:rPr>
          <w:rFonts w:ascii="Century" w:hAnsi="Century" w:cs="Century"/>
          <w:rtl w:val="true"/>
        </w:rPr>
        <w:t>אני מסכים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  <w:sz w:val="16"/>
          <w:szCs w:val="22"/>
        </w:rPr>
      </w:pPr>
      <w:r>
        <w:rPr>
          <w:rFonts w:cs="Century" w:ascii="Century" w:hAnsi="Century"/>
          <w:sz w:val="16"/>
          <w:szCs w:val="22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  <w:tab/>
        <w:tab/>
        <w:tab/>
        <w:tab/>
        <w:tab/>
        <w:tab/>
        <w:tab/>
        <w:tab/>
      </w:r>
      <w:r>
        <w:rPr>
          <w:rFonts w:ascii="Century" w:hAnsi="Century" w:cs="Century"/>
          <w:rtl w:val="true"/>
        </w:rPr>
        <w:t>ש ו פ ט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הוחלט כאמור בפסק דינו של השופט ע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גרוסקופף</w:t>
      </w:r>
      <w:r>
        <w:rPr>
          <w:rFonts w:cs="Century" w:ascii="Century" w:hAnsi="Century"/>
          <w:rtl w:val="true"/>
        </w:rPr>
        <w:t>.</w:t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2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color w:val="FFFFFF"/>
          <w:sz w:val="2"/>
          <w:szCs w:val="2"/>
        </w:rPr>
        <w:t>5129371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>, ‏</w:t>
      </w:r>
      <w:r>
        <w:rPr>
          <w:rFonts w:ascii="Century" w:hAnsi="Century" w:cs="Century"/>
          <w:rtl w:val="true"/>
        </w:rPr>
        <w:t>כ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ז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באדר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התשע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ט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3.4.2019</w:t>
      </w:r>
      <w:r>
        <w:rPr>
          <w:rFonts w:cs="Century" w:ascii="Century" w:hAnsi="Century"/>
          <w:rtl w:val="true"/>
        </w:rPr>
        <w:t xml:space="preserve">). 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2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17084390</w:t>
      </w:r>
      <w:r>
        <w:rPr>
          <w:sz w:val="16"/>
          <w:rtl w:val="true"/>
        </w:rPr>
        <w:t>_</w:t>
      </w:r>
      <w:r>
        <w:rPr>
          <w:sz w:val="16"/>
        </w:rPr>
        <w:t>Y18.docx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חכ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7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נ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סולברג </w:t>
      </w:r>
      <w:r>
        <w:rPr>
          <w:rFonts w:cs="David;Times New Roman" w:ascii="David;Times New Roman" w:hAnsi="David;Times New Roman"/>
          <w:color w:val="000000"/>
          <w:szCs w:val="22"/>
        </w:rPr>
        <w:t>54678313-8439/17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8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9"/>
      <w:footerReference w:type="default" r:id="rId50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?l?r ?????????????????????????"/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David">
    <w:altName w:val="Times New Roman"/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15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8439/17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אנטולי שמאילוב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?l?r ?????????????????????????" w:hAnsi="Tahoma;?l?r ?????????????????????????" w:cs="Tahoma;?l?r ?????????????????????????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character" w:styleId="Ruller41">
    <w:name w:val="Ruller 4 ממוספר תו"/>
    <w:qFormat/>
    <w:rPr>
      <w:rFonts w:ascii="Garamond" w:hAnsi="Garamond" w:cs="FrankRuehl;Times New Roman"/>
      <w:spacing w:val="10"/>
      <w:sz w:val="24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2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;Times New Roman"/>
      <w:spacing w:val="10"/>
      <w:sz w:val="22"/>
      <w:szCs w:val="20"/>
    </w:rPr>
  </w:style>
  <w:style w:type="paragraph" w:styleId="WriterName">
    <w:name w:val="Writer Name"/>
    <w:basedOn w:val="Ruller42"/>
    <w:next w:val="Ruller42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?l?r ?????????????????????????" w:hAnsi="Tahoma;?l?r ?????????????????????????" w:cs="Tahoma;?l?r ?????????????????????????"/>
      <w:sz w:val="18"/>
      <w:szCs w:val="18"/>
    </w:rPr>
  </w:style>
  <w:style w:type="paragraph" w:styleId="Ruller43">
    <w:name w:val="Ruller 4 ממוספר"/>
    <w:basedOn w:val="Ruller42"/>
    <w:next w:val="Ruller42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803066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40c.a" TargetMode="External"/><Relationship Id="rId5" Type="http://schemas.openxmlformats.org/officeDocument/2006/relationships/hyperlink" Target="http://www.nevo.co.il/law/70301/287.a" TargetMode="External"/><Relationship Id="rId6" Type="http://schemas.openxmlformats.org/officeDocument/2006/relationships/hyperlink" Target="http://www.nevo.co.il/law/70301/402.b" TargetMode="External"/><Relationship Id="rId7" Type="http://schemas.openxmlformats.org/officeDocument/2006/relationships/hyperlink" Target="http://www.nevo.co.il/law/70301/403" TargetMode="External"/><Relationship Id="rId8" Type="http://schemas.openxmlformats.org/officeDocument/2006/relationships/hyperlink" Target="http://www.nevo.co.il/law/70301/406.b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70301/499.a.1" TargetMode="External"/><Relationship Id="rId11" Type="http://schemas.openxmlformats.org/officeDocument/2006/relationships/hyperlink" Target="http://www.nevo.co.il/case/4803066" TargetMode="External"/><Relationship Id="rId12" Type="http://schemas.openxmlformats.org/officeDocument/2006/relationships/hyperlink" Target="http://www.nevo.co.il/law/70301/499.a.1" TargetMode="External"/><Relationship Id="rId13" Type="http://schemas.openxmlformats.org/officeDocument/2006/relationships/hyperlink" Target="http://www.nevo.co.il/law/70301/402.b" TargetMode="External"/><Relationship Id="rId14" Type="http://schemas.openxmlformats.org/officeDocument/2006/relationships/hyperlink" Target="http://www.nevo.co.il/law/70301" TargetMode="External"/><Relationship Id="rId15" Type="http://schemas.openxmlformats.org/officeDocument/2006/relationships/hyperlink" Target="http://www.nevo.co.il/law/70301/499.a.1" TargetMode="External"/><Relationship Id="rId16" Type="http://schemas.openxmlformats.org/officeDocument/2006/relationships/hyperlink" Target="http://www.nevo.co.il/law/70301/403" TargetMode="External"/><Relationship Id="rId17" Type="http://schemas.openxmlformats.org/officeDocument/2006/relationships/hyperlink" Target="http://www.nevo.co.il/law/70301/499.a.1" TargetMode="External"/><Relationship Id="rId18" Type="http://schemas.openxmlformats.org/officeDocument/2006/relationships/hyperlink" Target="http://www.nevo.co.il/law/70301/402.b" TargetMode="External"/><Relationship Id="rId19" Type="http://schemas.openxmlformats.org/officeDocument/2006/relationships/hyperlink" Target="http://www.nevo.co.il/law/70301/499.a.1" TargetMode="External"/><Relationship Id="rId20" Type="http://schemas.openxmlformats.org/officeDocument/2006/relationships/hyperlink" Target="http://www.nevo.co.il/law/70301/406.b" TargetMode="External"/><Relationship Id="rId21" Type="http://schemas.openxmlformats.org/officeDocument/2006/relationships/hyperlink" Target="http://www.nevo.co.il/law/70301/499.a.1" TargetMode="External"/><Relationship Id="rId22" Type="http://schemas.openxmlformats.org/officeDocument/2006/relationships/hyperlink" Target="http://www.nevo.co.il/law/70301/403" TargetMode="External"/><Relationship Id="rId23" Type="http://schemas.openxmlformats.org/officeDocument/2006/relationships/hyperlink" Target="http://www.nevo.co.il/law/70301/499.a.1" TargetMode="External"/><Relationship Id="rId24" Type="http://schemas.openxmlformats.org/officeDocument/2006/relationships/hyperlink" Target="http://www.nevo.co.il/law/70301/499.a.1" TargetMode="External"/><Relationship Id="rId25" Type="http://schemas.openxmlformats.org/officeDocument/2006/relationships/hyperlink" Target="http://www.nevo.co.il/law/70301/402.b" TargetMode="External"/><Relationship Id="rId26" Type="http://schemas.openxmlformats.org/officeDocument/2006/relationships/hyperlink" Target="http://www.nevo.co.il/law/70301/499.a.1" TargetMode="External"/><Relationship Id="rId27" Type="http://schemas.openxmlformats.org/officeDocument/2006/relationships/hyperlink" Target="http://www.nevo.co.il/law/70301/406.b" TargetMode="External"/><Relationship Id="rId28" Type="http://schemas.openxmlformats.org/officeDocument/2006/relationships/hyperlink" Target="http://www.nevo.co.il/law/70301/499.a.1" TargetMode="External"/><Relationship Id="rId29" Type="http://schemas.openxmlformats.org/officeDocument/2006/relationships/hyperlink" Target="http://www.nevo.co.il/law/70301/499.a.1" TargetMode="External"/><Relationship Id="rId30" Type="http://schemas.openxmlformats.org/officeDocument/2006/relationships/hyperlink" Target="http://www.nevo.co.il/law/70301/403" TargetMode="External"/><Relationship Id="rId31" Type="http://schemas.openxmlformats.org/officeDocument/2006/relationships/hyperlink" Target="http://www.nevo.co.il/law/70301/287.a" TargetMode="External"/><Relationship Id="rId32" Type="http://schemas.openxmlformats.org/officeDocument/2006/relationships/hyperlink" Target="http://www.nevo.co.il/law/70301/40c.a" TargetMode="External"/><Relationship Id="rId33" Type="http://schemas.openxmlformats.org/officeDocument/2006/relationships/hyperlink" Target="http://www.nevo.co.il/case/22812281" TargetMode="External"/><Relationship Id="rId34" Type="http://schemas.openxmlformats.org/officeDocument/2006/relationships/hyperlink" Target="http://www.nevo.co.il/case/21472842" TargetMode="External"/><Relationship Id="rId35" Type="http://schemas.openxmlformats.org/officeDocument/2006/relationships/hyperlink" Target="http://www.nevo.co.il/case/24269595" TargetMode="External"/><Relationship Id="rId36" Type="http://schemas.openxmlformats.org/officeDocument/2006/relationships/hyperlink" Target="http://www.nevo.co.il/case/22938500" TargetMode="External"/><Relationship Id="rId37" Type="http://schemas.openxmlformats.org/officeDocument/2006/relationships/hyperlink" Target="http://www.nevo.co.il/case/5992629" TargetMode="External"/><Relationship Id="rId38" Type="http://schemas.openxmlformats.org/officeDocument/2006/relationships/hyperlink" Target="http://www.nevo.co.il/law/70301/40jc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case/23745953" TargetMode="External"/><Relationship Id="rId41" Type="http://schemas.openxmlformats.org/officeDocument/2006/relationships/hyperlink" Target="http://www.nevo.co.il/case/23354506" TargetMode="External"/><Relationship Id="rId42" Type="http://schemas.openxmlformats.org/officeDocument/2006/relationships/hyperlink" Target="http://www.nevo.co.il/case/6040836" TargetMode="External"/><Relationship Id="rId43" Type="http://schemas.openxmlformats.org/officeDocument/2006/relationships/hyperlink" Target="http://www.nevo.co.il/case/24287803" TargetMode="External"/><Relationship Id="rId44" Type="http://schemas.openxmlformats.org/officeDocument/2006/relationships/hyperlink" Target="http://www.nevo.co.il/case/23750625" TargetMode="External"/><Relationship Id="rId45" Type="http://schemas.openxmlformats.org/officeDocument/2006/relationships/hyperlink" Target="http://www.nevo.co.il/case/20770422" TargetMode="External"/><Relationship Id="rId46" Type="http://schemas.openxmlformats.org/officeDocument/2006/relationships/hyperlink" Target="http://www.nevo.co.il/case/6031891" TargetMode="External"/><Relationship Id="rId47" Type="http://schemas.openxmlformats.org/officeDocument/2006/relationships/hyperlink" Target="http://supreme.court.gov.il/" TargetMode="External"/><Relationship Id="rId48" Type="http://schemas.openxmlformats.org/officeDocument/2006/relationships/hyperlink" Target="http://www.nevo.co.il/advertisements/nevo-100.doc" TargetMode="External"/><Relationship Id="rId49" Type="http://schemas.openxmlformats.org/officeDocument/2006/relationships/header" Target="header1.xml"/><Relationship Id="rId50" Type="http://schemas.openxmlformats.org/officeDocument/2006/relationships/footer" Target="footer1.xml"/><Relationship Id="rId51" Type="http://schemas.openxmlformats.org/officeDocument/2006/relationships/numbering" Target="numbering.xml"/><Relationship Id="rId52" Type="http://schemas.openxmlformats.org/officeDocument/2006/relationships/fontTable" Target="fontTable.xml"/><Relationship Id="rId53" Type="http://schemas.openxmlformats.org/officeDocument/2006/relationships/settings" Target="settings.xml"/><Relationship Id="rId54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2019-04-04T09:48:00Z</dcterms:created>
  <dc:creator>h4</dc:creator>
  <dc:description/>
  <cp:keywords/>
  <dc:language>en-IL</dc:language>
  <cp:lastModifiedBy>orly</cp:lastModifiedBy>
  <cp:lastPrinted>2019-04-03T17:02:00Z</cp:lastPrinted>
  <dcterms:modified xsi:type="dcterms:W3CDTF">2019-04-04T09:48:00Z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אנטולי שמאילוב;אזר אבדייב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4803066:2;22812281;21472842;24269595;22938500;5992629;23745953;23354506;6040836;24287803;23750625;20770422;6031891</vt:lpwstr>
  </property>
  <property fmtid="{D5CDD505-2E9C-101B-9397-08002B2CF9AE}" pid="9" name="CITY">
    <vt:lpwstr/>
  </property>
  <property fmtid="{D5CDD505-2E9C-101B-9397-08002B2CF9AE}" pid="10" name="DATE">
    <vt:lpwstr>20190403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סולברג;ג' קרא;ע' גרוסקופף</vt:lpwstr>
  </property>
  <property fmtid="{D5CDD505-2E9C-101B-9397-08002B2CF9AE}" pid="14" name="LAWLISTTMP1">
    <vt:lpwstr>70301/499.a.1:10;402.b:3;403:3;406.b:2;287.a;040c.a;40jc</vt:lpwstr>
  </property>
  <property fmtid="{D5CDD505-2E9C-101B-9397-08002B2CF9AE}" pid="15" name="LAWYER">
    <vt:lpwstr>עילית מידן;אורי דייגי;עמית דויטשר;זאב גורדון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נעה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/>
  </property>
  <property fmtid="{D5CDD505-2E9C-101B-9397-08002B2CF9AE}" pid="30" name="NOSE14">
    <vt:lpwstr/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/>
  </property>
  <property fmtid="{D5CDD505-2E9C-101B-9397-08002B2CF9AE}" pid="41" name="NOSE24">
    <vt:lpwstr/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</vt:lpwstr>
  </property>
  <property fmtid="{D5CDD505-2E9C-101B-9397-08002B2CF9AE}" pid="48" name="NOSE31">
    <vt:lpwstr>מדיניות ענישה: שיקום</vt:lpwstr>
  </property>
  <property fmtid="{D5CDD505-2E9C-101B-9397-08002B2CF9AE}" pid="49" name="NOSE310">
    <vt:lpwstr/>
  </property>
  <property fmtid="{D5CDD505-2E9C-101B-9397-08002B2CF9AE}" pid="50" name="NOSE32">
    <vt:lpwstr>מדיניות ענישה: אחדות הענישה</vt:lpwstr>
  </property>
  <property fmtid="{D5CDD505-2E9C-101B-9397-08002B2CF9AE}" pid="51" name="NOSE33">
    <vt:lpwstr/>
  </property>
  <property fmtid="{D5CDD505-2E9C-101B-9397-08002B2CF9AE}" pid="52" name="NOSE34">
    <vt:lpwstr/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14346;13222</vt:lpwstr>
  </property>
  <property fmtid="{D5CDD505-2E9C-101B-9397-08002B2CF9AE}" pid="59" name="PADIDATE">
    <vt:lpwstr>20190404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8439</vt:lpwstr>
  </property>
  <property fmtid="{D5CDD505-2E9C-101B-9397-08002B2CF9AE}" pid="65" name="PROCYEAR">
    <vt:lpwstr>17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410120190403</vt:lpwstr>
  </property>
  <property fmtid="{D5CDD505-2E9C-101B-9397-08002B2CF9AE}" pid="69" name="TYPE_N_DATE">
    <vt:lpwstr>41020190403</vt:lpwstr>
  </property>
  <property fmtid="{D5CDD505-2E9C-101B-9397-08002B2CF9AE}" pid="70" name="VOLUME">
    <vt:lpwstr/>
  </property>
  <property fmtid="{D5CDD505-2E9C-101B-9397-08002B2CF9AE}" pid="71" name="WORDNUMPAGES">
    <vt:lpwstr>14</vt:lpwstr>
  </property>
</Properties>
</file>