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8441/17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59398-11-15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7.9.2017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יפה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כץ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צלקובניק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ואגו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19.09.2019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יחיאל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לאמש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9"/>
        <w:gridCol w:w="5144"/>
      </w:tblGrid>
      <w:tr>
        <w:trPr/>
        <w:tc>
          <w:tcPr>
            <w:tcW w:w="321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14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פלקה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ווסאי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באייך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192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333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406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452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0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בפרק י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awTable_End"/>
      <w:bookmarkEnd w:id="6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כתבי עת</w:t>
      </w:r>
      <w:hyperlink r:id="rId11">
        <w:r>
          <w:rPr>
            <w:rFonts w:cs="FrankRuehl;Times New Roman" w:ascii="FrankRuehl;Times New Roman" w:hAnsi="FrankRuehl;Times New Roman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12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יוסף אלרון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, 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קבלת ראיות שלא על פי סדר הדין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",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המשפט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כרך יב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ספר עדי אזר 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ל 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9" w:name="ABSTRACT_START"/>
      <w:bookmarkEnd w:id="9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קיימות שתי ראיות אשר די בכל אחת מהן כדי להרשיע את המערער בביצוע מעשי האלימות והאונס במתלוננת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האחת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עדות המתלוננת ולעניין זה נקבע כי לא נפל פגם באופן זיהוי המערער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ידי המתלוננת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ללא מסדר זיהוי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שעה שהוכח כי הייתה ביניהם היכרות מוקדמת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והשנייה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טביעות כף ידו של המתלונן בדירתה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קל וחומר כי צירוף ראיות אלה יחד עם יתר הראיות שהוצגו בפני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מצביע על המערער כאדם שביצע במתלוננת את המעשים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נוכח המעשים המזעזעים שביצע המערער במתלוננת והנזק שנגרם 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נמצא להתערב גם בגזה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– זיהוי – הרשעה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פיו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– זיהוי – דרכי זיהוי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– אליבי – כבישת הטענה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פיצויים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הכרעת דין וגז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בגדרם הורשע המערער בביצוע מסכת מעשים קשה ואלימה אשר תחילתה באיומים ובהתנהגות אגרסיבית כלפי עוברי אורח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בקיוסק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וסופה בתקיפתה הברוטאלית של המתלוננת ובמעשי אינוס שביצע בה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לאחר שפרץ לדירתה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בגין מעשים אלו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הורשע המערער בעבירת אינוס בנסיבות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חבלה חמורה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כניסה למקום מגורים לשם ביצוע פשע והיזק במזיד ונגזר עליו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 והפעלת עונשי מאסר מותנים התלויים ועומדים נגדו במצטבר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כך שירצה סך הכול עונש מאסר בפועל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שנים 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עונשי מאסר על תנאי ופיצוי למתלוננת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200,000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אלרון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בהסכמת השופטים נ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הנדל וג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קרא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במוקד הערעור על הכרעת הדין שלוש סוגיות מרכזיות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זיהוי המערער כאדם שביצע במתלוננת את המעשים המתוארים בכתב האישום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הוכחת ביצוע האונס במתלוננת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וזיהוי המערער כאדם שהתפרע בקיוסק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דוחה את טענות המערער בנוגע לשלוש הסוגיות הנ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בין היתר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נקבע כי קיימות שתי ראיות אשר די בכל אחת מהן כדי להרשיעו בביצוע מעשי האלימות והאונס במתלוננת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האחת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עדות המתלוננת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והשנייה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טביעות כף ידו של המתלונן בדירתה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קל וחומר כי צירוף ראיות אלה יחד עם יתר הראיות שהוצגו בפני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מצביע על המערער כאדם שביצע במתלוננת את המעשים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לזיהוי המערער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ידי המתלוננת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זה עמד לא אחת על שיקול הדעת הרחב הנתון לערכאה הדיונית לקבוע מהו משקלו הראייתי של זיהוי שלא בוצע באמצעות מסדר זיהוי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במסגרת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נקבע בין היתר כי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קיימת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היכרות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מוקדמת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בין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לבין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נאשם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זיהוי הנאשם על ידי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ואין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צורך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בעריכת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מסדר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זיהוי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במקרים שבהם מדובר ב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היכרות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חזותית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בלבד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דנן קיימות ראיות רבות המצביעות על היכרותה המוקדמת של המתלוננת עם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בניגוד לטענת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היה צורך לערוך מסדר זיהוי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ולא נפל כל פגם באופן זיהוי המערער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ידי המתלוננת אשר מהווה בסיס מספק להרשעתו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 ועוד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שינוי הגרסאות של המערער בצירוף טביעות כף ידו בדירת המתלוננת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חרף טענותיו כי מעולם לא ביקר בדירתה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מלמדים על 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אמירת אמת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ואף נכון לומר כי בפנינו אמירות שקריות בעובדות מהותיות ביותר המהוות סיוע ראייתי לגרסת המתלוננת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 ועוד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טביעות כף ידו של המערער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כל שכן כשהן מגואלות בכתמי דמה של התלוננת שהותז על קירות הדירה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–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עשויות כשלעצמן להוות ראיות מפלילות אשר ניתן לבסס עליהן את הרשעתו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זאת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בהעדר הסבר שבכוחו להקים ספק לפחות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שמא הוטבעה הטביעה בנסיבות שאינן מסבכות את בעליה באחריות לביצועה של 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 שטען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הוא כי טביעות כף היד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הושתלו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ידי כוחות המשטרה המבקשים להפלילו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טענה זו נטענה בעלמא ללא תימוכין כלשהם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חיזוק משמעותי נוסף לגרסת המתלוננת מצוי בהימצאות כתם דם של המתלוננת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על הבגד אשר נמצא יחד עם בגדים נוספים במקום בו התגורר על פי החשד המערער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ובו נעצר על ידי כוחות המשטרה שהמתינו לבואו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לטענת האליבי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זו הועלתה לראשונה בשלב מאוחר בהליך ומכל מקום טענה זו נטענה בעלמא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ללא תימוכין כלשהם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כן לא נמצא ממש ביתר טענות המערער ולפיכך נדחה הערעור על הכרעת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כן נדחה הערעור על גזר הדין תוך שהודגשה חומרת מעשיו המזעזעים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ספק אם עונשו של המערער מבטא את עוצמת החלחלה והפלצות האוחזות בכל אדם למשמע מעשיו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וודאי שאין מקום להקל עימו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אשר לגובה הפיצוי שנפסק צוין כי פיצוי זה נועד לספק מעט מזור למתלוננת ביחס לפגיעות שגרם לה המערער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ואילו יכולתו הכלכלית אינה משמשת אמת מידה לקביעת גובה הפיצוי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נוכח הפגיעות הפיזיות והנפשיות האנושות אשר נגרמו למתלוננת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אינו סבור כי יש להפחית מגובה הפיצוי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  <w:r>
        <w:rPr>
          <w:rFonts w:cs="Miriam"/>
          <w:sz w:val="24"/>
          <w:szCs w:val="24"/>
          <w:rtl w:val="true"/>
        </w:rPr>
        <w:br/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6" w:name="Start_Write"/>
      <w:bookmarkEnd w:id="16"/>
      <w:r>
        <w:rPr>
          <w:rtl w:val="true"/>
        </w:rPr>
        <w:t xml:space="preserve">לפנינו ערעור על הכרעת דינו וגזר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 xml:space="preserve">סגן 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צלקובניק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59398-11-15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22.5.2017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7.9.2017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 xml:space="preserve">בגדרם הורשע המערער בביצוע מסכת מעשים קשה ואלימה אשר תחילתה באיומים ובהתנהגות אגרסיבית כלפי עוברי אורח </w:t>
      </w:r>
      <w:r>
        <w:rPr>
          <w:rtl w:val="true"/>
        </w:rPr>
        <w:t>–</w:t>
      </w:r>
      <w:r>
        <w:rPr>
          <w:rtl w:val="true"/>
        </w:rPr>
        <w:t xml:space="preserve"> וסופה בתקיפתה הברוטאלית של המתלוננת ובמעשי אינוס שביצע בה המערער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הנחוצות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הנטען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הגיע בצהרי יום </w:t>
      </w:r>
      <w:r>
        <w:rPr/>
        <w:t>10.11.2015</w:t>
      </w:r>
      <w:r>
        <w:rPr>
          <w:rtl w:val="true"/>
        </w:rPr>
        <w:t xml:space="preserve"> </w:t>
      </w:r>
      <w:r>
        <w:rPr>
          <w:rtl w:val="true"/>
        </w:rPr>
        <w:t xml:space="preserve">לקיוסק בעיר מגוריו לאחר ששתה משקאות אלכוהולים </w:t>
      </w:r>
      <w:r>
        <w:rPr>
          <w:rtl w:val="true"/>
        </w:rPr>
        <w:t>–</w:t>
      </w:r>
      <w:r>
        <w:rPr>
          <w:rtl w:val="true"/>
        </w:rPr>
        <w:t xml:space="preserve"> אז החל להשתולל</w:t>
      </w:r>
      <w:r>
        <w:rPr>
          <w:rtl w:val="true"/>
        </w:rPr>
        <w:t xml:space="preserve">, </w:t>
      </w:r>
      <w:r>
        <w:rPr>
          <w:rtl w:val="true"/>
        </w:rPr>
        <w:t>דפק על חלון הקיוסק בחוזקה ונטפל ללקוחות אשר הגיעו למקום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משהגיעה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, </w:t>
      </w:r>
      <w:r>
        <w:rPr>
          <w:rtl w:val="true"/>
        </w:rPr>
        <w:t>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לקיוסק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והזעיקו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הקיוסק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בעיניים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משסירבה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לדרישתו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הלוטו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מהקיוסק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בחלוף כשעה הגיע המערער לדירת המתלוננת</w:t>
      </w:r>
      <w:r>
        <w:rPr>
          <w:rtl w:val="true"/>
        </w:rPr>
        <w:t xml:space="preserve">, </w:t>
      </w:r>
      <w:r>
        <w:rPr>
          <w:rtl w:val="true"/>
        </w:rPr>
        <w:t>עימה הייתה לו היכרות שטחית בלבד</w:t>
      </w:r>
      <w:r>
        <w:rPr>
          <w:rtl w:val="true"/>
        </w:rPr>
        <w:t xml:space="preserve">, </w:t>
      </w:r>
      <w:r>
        <w:rPr>
          <w:rtl w:val="true"/>
        </w:rPr>
        <w:t>ודפק על דלתה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שהמתינה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והשליכו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להתפשט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!".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והכניסהּ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לזעוק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מלנשום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! </w:t>
      </w:r>
      <w:r>
        <w:rPr>
          <w:rtl w:val="true"/>
        </w:rPr>
        <w:t>הורגים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! </w:t>
      </w:r>
      <w:r>
        <w:rPr>
          <w:rtl w:val="true"/>
        </w:rPr>
        <w:t>אונסים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!".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מאצבעותיה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</w:t>
      </w:r>
      <w:r>
        <w:rPr>
          <w:rtl w:val="true"/>
        </w:rPr>
        <w:t xml:space="preserve">, </w:t>
      </w:r>
      <w:r>
        <w:rPr>
          <w:rtl w:val="true"/>
        </w:rPr>
        <w:t>ונפלה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התפשט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עצומות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",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יזיין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הצורה</w:t>
      </w:r>
      <w:r>
        <w:rPr>
          <w:rtl w:val="true"/>
        </w:rPr>
        <w:t xml:space="preserve">", </w:t>
      </w:r>
      <w:r>
        <w:rPr>
          <w:rtl w:val="true"/>
        </w:rPr>
        <w:t>נשך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ובידה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לאימהּ</w:t>
      </w:r>
      <w:r>
        <w:rPr>
          <w:rtl w:val="true"/>
        </w:rPr>
        <w:t xml:space="preserve">, </w:t>
      </w:r>
      <w:r>
        <w:rPr>
          <w:rtl w:val="true"/>
        </w:rPr>
        <w:t>ומשזו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בבגדיו</w:t>
      </w:r>
      <w:r>
        <w:rPr>
          <w:rtl w:val="true"/>
        </w:rPr>
        <w:t xml:space="preserve">, </w:t>
      </w:r>
      <w:r>
        <w:rPr>
          <w:rtl w:val="true"/>
        </w:rPr>
        <w:t>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דימומים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באפה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ובלחייה</w:t>
      </w:r>
      <w:r>
        <w:rPr>
          <w:rtl w:val="true"/>
        </w:rPr>
        <w:t xml:space="preserve">, </w:t>
      </w:r>
      <w:r>
        <w:rPr>
          <w:rtl w:val="true"/>
        </w:rPr>
        <w:t>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ושטפי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ובאגן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בגין מעשים אלו יוחסו למערער עבירת אינוס בנסיבות מחמירות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חבלה חמורה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; </w:t>
      </w:r>
      <w:r>
        <w:rPr>
          <w:rtl w:val="true"/>
        </w:rPr>
        <w:t xml:space="preserve">כניסה למקום מגורים לשם ביצוע פשע 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איומים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והיזק במזיד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הורשע כאמור בתום הליך שמיעת ראיות בעבירות אשר יוחסו לו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ונגזר עליו עונש של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 בפועל והפעלת עונשי מאסר מותנים התלויים ועומדים נגדו במצטבר</w:t>
      </w:r>
      <w:r>
        <w:rPr>
          <w:rtl w:val="true"/>
        </w:rPr>
        <w:t xml:space="preserve">, </w:t>
      </w:r>
      <w:r>
        <w:rPr>
          <w:rtl w:val="true"/>
        </w:rPr>
        <w:t xml:space="preserve">כך שירצה סך הכול עונש מאסר בפועל של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סימן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הערעור שבפנינו נסוב כאמור על 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ולחילופין על חומרת העונש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במוקד הערעור על הכרעת הדין שלוש סוגיות מרכזיות</w:t>
      </w:r>
      <w:r>
        <w:rPr>
          <w:rtl w:val="true"/>
        </w:rPr>
        <w:t xml:space="preserve">: </w:t>
      </w:r>
      <w:r>
        <w:rPr>
          <w:rtl w:val="true"/>
        </w:rPr>
        <w:t>זיהוי המערער כאדם שביצע במתלוננת את המעשים המתוארים בכתב האישום</w:t>
      </w:r>
      <w:r>
        <w:rPr>
          <w:rtl w:val="true"/>
        </w:rPr>
        <w:t xml:space="preserve">; </w:t>
      </w:r>
      <w:r>
        <w:rPr>
          <w:rtl w:val="true"/>
        </w:rPr>
        <w:t>הוכחת ביצוע האונס במתלוננת</w:t>
      </w:r>
      <w:r>
        <w:rPr>
          <w:rtl w:val="true"/>
        </w:rPr>
        <w:t xml:space="preserve">; </w:t>
      </w:r>
      <w:r>
        <w:rPr>
          <w:rtl w:val="true"/>
        </w:rPr>
        <w:t>וזיהוי המערער כאדם שהתפרע בקיוסק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זיהוי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והאונס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במתלוננת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קביעת בית המשפט המחוזי כי המערער הוא שביצע את מעשי האלימות הקשים במתלוננת התבססה בעיקר על עדותה</w:t>
      </w:r>
      <w:r>
        <w:rPr>
          <w:rtl w:val="true"/>
        </w:rPr>
        <w:t xml:space="preserve">, </w:t>
      </w:r>
      <w:r>
        <w:rPr>
          <w:rtl w:val="true"/>
        </w:rPr>
        <w:t>כמו גם בראיות פורנזיות</w:t>
      </w:r>
      <w:r>
        <w:rPr>
          <w:rtl w:val="true"/>
        </w:rPr>
        <w:t xml:space="preserve">: </w:t>
      </w:r>
      <w:r>
        <w:rPr>
          <w:rtl w:val="true"/>
        </w:rPr>
        <w:t>טביעות כף ידו של המערער בדירת המתלוננת וכן כתם מדמה אשר נמצא על בגד שנתפס במקום אשר נטען כי שימש כמקום מגוריו של המערער</w:t>
      </w:r>
      <w:r>
        <w:rPr>
          <w:rtl w:val="true"/>
        </w:rPr>
        <w:t xml:space="preserve">, </w:t>
      </w:r>
      <w:r>
        <w:rPr>
          <w:rtl w:val="true"/>
        </w:rPr>
        <w:t>בו נעצר על</w:t>
      </w:r>
      <w:r>
        <w:rPr>
          <w:rtl w:val="true"/>
        </w:rPr>
        <w:t>-</w:t>
      </w:r>
      <w:r>
        <w:rPr>
          <w:rtl w:val="true"/>
        </w:rPr>
        <w:t>ידי כוחות משטרה למחרת 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]".</w:t>
      </w:r>
    </w:p>
    <w:p>
      <w:pPr>
        <w:pStyle w:val="Ruller4"/>
        <w:ind w:end="0"/>
        <w:jc w:val="both"/>
        <w:rPr/>
      </w:pP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מכרם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זיהויו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[...] </w:t>
      </w:r>
      <w:r>
        <w:rPr>
          <w:rtl w:val="true"/>
        </w:rPr>
        <w:t>שכנועה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. </w:t>
      </w:r>
      <w:r>
        <w:rPr>
          <w:rtl w:val="true"/>
        </w:rPr>
        <w:t>מגוון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קודמים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ולהתרשם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ממראה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. [...] </w:t>
      </w:r>
      <w:r>
        <w:rPr>
          <w:rtl w:val="true"/>
        </w:rPr>
        <w:t>לבד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חברת</w:t>
      </w:r>
      <w:r>
        <w:rPr>
          <w:rtl w:val="true"/>
        </w:rPr>
        <w:t xml:space="preserve">'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שהתעלל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כמחצית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שהות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המוכר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>, 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>".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לצד עדותה של המתלוננת התבסס כאמור בית המשפט המחוזי גם על ראיות פורנזיות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tl w:val="true"/>
        </w:rPr>
        <w:t xml:space="preserve">, </w:t>
      </w:r>
      <w:r>
        <w:rPr>
          <w:rtl w:val="true"/>
        </w:rPr>
        <w:t>ומתיישבות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שתלו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השקרית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"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;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בגורלה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הביולוגית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בפריטים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עדות המערער אינה מהימנה וכי גרסתו לפיה לא שהה בבית המתלוננת במועד האירוע אינה ראויה </w:t>
      </w:r>
      <w:r>
        <w:rPr>
          <w:rtl w:val="true"/>
        </w:rPr>
        <w:t>"</w:t>
      </w:r>
      <w:r>
        <w:rPr>
          <w:rtl w:val="true"/>
        </w:rPr>
        <w:t>לאמון כלשהו</w:t>
      </w:r>
      <w:r>
        <w:rPr>
          <w:rtl w:val="true"/>
        </w:rPr>
        <w:t xml:space="preserve">". </w:t>
      </w:r>
      <w:r>
        <w:rPr>
          <w:rtl w:val="true"/>
        </w:rPr>
        <w:t>בכלל זה נקבע 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עדותו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הותירה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עגום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לרחוק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מהאמת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גירסות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סותרות</w:t>
      </w:r>
      <w:r>
        <w:rPr>
          <w:rtl w:val="true"/>
        </w:rPr>
        <w:t xml:space="preserve">, </w:t>
      </w:r>
      <w:r>
        <w:rPr>
          <w:rtl w:val="true"/>
        </w:rPr>
        <w:t>מתחכמות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ומתריסות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החוצפה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נטול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גירסה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מכחישה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>".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הוסיף וקבע כי טענת ה</w:t>
      </w:r>
      <w:r>
        <w:rPr>
          <w:rtl w:val="true"/>
        </w:rPr>
        <w:t>"</w:t>
      </w:r>
      <w:r>
        <w:rPr>
          <w:rtl w:val="true"/>
        </w:rPr>
        <w:t>אליבי</w:t>
      </w:r>
      <w:r>
        <w:rPr>
          <w:rtl w:val="true"/>
        </w:rPr>
        <w:t xml:space="preserve">" </w:t>
      </w:r>
      <w:r>
        <w:rPr>
          <w:rtl w:val="true"/>
        </w:rPr>
        <w:t xml:space="preserve">שהעלה המערער לראשונה בעדותו </w:t>
      </w:r>
      <w:r>
        <w:rPr>
          <w:rtl w:val="true"/>
        </w:rPr>
        <w:t>"</w:t>
      </w:r>
      <w:r>
        <w:rPr>
          <w:rtl w:val="true"/>
        </w:rPr>
        <w:t>חסרת שחר</w:t>
      </w:r>
      <w:r>
        <w:rPr>
          <w:rtl w:val="true"/>
        </w:rPr>
        <w:t xml:space="preserve">" </w:t>
      </w:r>
      <w:r>
        <w:rPr>
          <w:rtl w:val="true"/>
        </w:rPr>
        <w:t>ואף מנוגדת לדברי הסניגור במענה לכתב האישום לפיהם המערער אינו יכול להצביע על מקום הימצאו בשעת האירוע</w:t>
      </w:r>
      <w:r>
        <w:rPr>
          <w:rtl w:val="true"/>
        </w:rPr>
        <w:t xml:space="preserve">. </w:t>
      </w:r>
      <w:r>
        <w:rPr>
          <w:rtl w:val="true"/>
        </w:rPr>
        <w:t>בפרט צוין כי הימנעות המערער מלהביא עדים לתמיכה בטענת האליבי מהווה חיזוק נוסף לראיות לחובתו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 שב המערער וטוען כי הוא אינו האדם שביצע במתלוננת את המעשים המיוחסים לו וכי נפל פגם בהליך הזיהוי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בזיהויו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ועליהם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שתלו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בשלב הערעור</w:t>
      </w:r>
      <w:r>
        <w:rPr>
          <w:rtl w:val="true"/>
        </w:rPr>
        <w:t xml:space="preserve">, </w:t>
      </w:r>
      <w:r>
        <w:rPr>
          <w:rtl w:val="true"/>
        </w:rPr>
        <w:t>ביקש המערער לצרף כראיה חדשה חוות דעת מומחה</w:t>
      </w:r>
      <w:r>
        <w:rPr>
          <w:rtl w:val="true"/>
        </w:rPr>
        <w:t xml:space="preserve">, </w:t>
      </w:r>
      <w:r>
        <w:rPr>
          <w:rtl w:val="true"/>
        </w:rPr>
        <w:t>לפיה השוואת מנשך שיניו עם תמונות סימני הנשיכה אשר נגרמו בגופה של המתלוננת בעקבות האירועים</w:t>
      </w:r>
      <w:r>
        <w:rPr>
          <w:rtl w:val="true"/>
        </w:rPr>
        <w:t xml:space="preserve">, </w:t>
      </w:r>
      <w:r>
        <w:rPr>
          <w:rtl w:val="true"/>
        </w:rPr>
        <w:t>מלמדת כי המערער אינו האדם שביצע את הנשיכות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יש בחוות הדעת </w:t>
      </w:r>
      <w:r>
        <w:rPr>
          <w:rtl w:val="true"/>
        </w:rPr>
        <w:t>"</w:t>
      </w:r>
      <w:r>
        <w:rPr>
          <w:rtl w:val="true"/>
        </w:rPr>
        <w:t>כדי להטות את הכף באופן מובהק</w:t>
      </w:r>
      <w:r>
        <w:rPr>
          <w:rtl w:val="true"/>
        </w:rPr>
        <w:t xml:space="preserve">"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סומך את ידיו על קביעות 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בוודאות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"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מכרם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</w:t>
      </w:r>
      <w:r>
        <w:rPr>
          <w:rtl w:val="true"/>
        </w:rPr>
        <w:t>"</w:t>
      </w:r>
      <w:r>
        <w:rPr>
          <w:rtl w:val="true"/>
        </w:rPr>
        <w:t>ראיה החדשה</w:t>
      </w:r>
      <w:r>
        <w:rPr>
          <w:rtl w:val="true"/>
        </w:rPr>
        <w:t xml:space="preserve">" </w:t>
      </w:r>
      <w:r>
        <w:rPr>
          <w:rtl w:val="true"/>
        </w:rPr>
        <w:t>שביקש המערער לצרף</w:t>
      </w:r>
      <w:r>
        <w:rPr>
          <w:rtl w:val="true"/>
        </w:rPr>
        <w:t xml:space="preserve">, </w:t>
      </w:r>
      <w:r>
        <w:rPr>
          <w:rtl w:val="true"/>
        </w:rPr>
        <w:t>נטען כי אין כל הצדקה לקבלה בשלב זה</w:t>
      </w:r>
      <w:r>
        <w:rPr>
          <w:rtl w:val="true"/>
        </w:rPr>
        <w:t xml:space="preserve">, </w:t>
      </w:r>
      <w:r>
        <w:rPr>
          <w:rtl w:val="true"/>
        </w:rPr>
        <w:t xml:space="preserve">מאחר שניתן היה להגיש את חוות הדעת כבר בשלב ההוכחות </w:t>
      </w:r>
      <w:r>
        <w:rPr>
          <w:rtl w:val="true"/>
        </w:rPr>
        <w:t>–</w:t>
      </w:r>
      <w:r>
        <w:rPr>
          <w:rtl w:val="true"/>
        </w:rPr>
        <w:t xml:space="preserve"> וכי מכל מקום אין בה כדי להביא לשינוי בממצאים העובדתיים שנקבעו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שזיהויו של המערער כמבצע העבירות התבסס הן על עדות המתלוננת והן על הממצאים הפורנזיים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אני 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פגם שנפל ב</w:t>
      </w:r>
      <w:r>
        <w:rPr>
          <w:rtl w:val="true"/>
        </w:rPr>
        <w:t>זיהויו</w:t>
      </w:r>
      <w:r>
        <w:rPr>
          <w:rtl w:val="true"/>
        </w:rPr>
        <w:t xml:space="preserve"> כמי שביצע את מעשי האלימות והאונס במתלוננת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כפי שארחיב להלן</w:t>
      </w:r>
      <w:r>
        <w:rPr>
          <w:rtl w:val="true"/>
        </w:rPr>
        <w:t xml:space="preserve">, </w:t>
      </w:r>
      <w:r>
        <w:rPr>
          <w:rtl w:val="true"/>
        </w:rPr>
        <w:t>קיימות שתי ראיות אשר די בכל אחת מהן כדי להרשיעו</w:t>
      </w:r>
      <w:r>
        <w:rPr>
          <w:rtl w:val="true"/>
        </w:rPr>
        <w:t xml:space="preserve">: </w:t>
      </w:r>
      <w:r>
        <w:rPr>
          <w:rtl w:val="true"/>
        </w:rPr>
        <w:t xml:space="preserve">האחת </w:t>
      </w:r>
      <w:r>
        <w:rPr>
          <w:rtl w:val="true"/>
        </w:rPr>
        <w:t>–</w:t>
      </w:r>
      <w:r>
        <w:rPr>
          <w:rtl w:val="true"/>
        </w:rPr>
        <w:t xml:space="preserve"> עדות המתלוננת</w:t>
      </w:r>
      <w:r>
        <w:rPr>
          <w:rtl w:val="true"/>
        </w:rPr>
        <w:t xml:space="preserve">; </w:t>
      </w:r>
      <w:r>
        <w:rPr>
          <w:rtl w:val="true"/>
        </w:rPr>
        <w:t xml:space="preserve">והשניה </w:t>
      </w:r>
      <w:r>
        <w:rPr>
          <w:rtl w:val="true"/>
        </w:rPr>
        <w:t>–</w:t>
      </w:r>
      <w:r>
        <w:rPr>
          <w:rtl w:val="true"/>
        </w:rPr>
        <w:t xml:space="preserve"> טביעות כף ידו של המתלונן בדירתה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ascii="Arial TUR;Arial" w:hAnsi="Arial TUR;Arial" w:cs="Arial TUR;Arial"/>
          <w:sz w:val="22"/>
          <w:sz w:val="22"/>
          <w:rtl w:val="true"/>
        </w:rPr>
        <w:t>אשר לזיהוי המערער על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>ידי המתלוננת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הרי שאני סבור כי לא נפל כל פגם באופן בו זוהה המערער על ידה </w:t>
      </w:r>
      <w:r>
        <w:rPr>
          <w:rFonts w:cs="Arial TUR;Arial" w:ascii="Arial TUR;Arial" w:hAnsi="Arial TUR;Arial"/>
          <w:sz w:val="22"/>
          <w:rtl w:val="true"/>
        </w:rPr>
        <w:t xml:space="preserve">- </w:t>
      </w:r>
      <w:r>
        <w:rPr>
          <w:rFonts w:ascii="Arial TUR;Arial" w:hAnsi="Arial TUR;Arial" w:cs="Arial TUR;Arial"/>
          <w:sz w:val="22"/>
          <w:sz w:val="22"/>
          <w:rtl w:val="true"/>
        </w:rPr>
        <w:t>ודי בזיהוי זה כדי להרשיעו בתקיפתה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22.7.2019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מדיעם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(</w:t>
      </w:r>
      <w:r>
        <w:rPr/>
        <w:t>6.9.2016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כעולה מעדותה</w:t>
      </w:r>
      <w:r>
        <w:rPr>
          <w:rtl w:val="true"/>
        </w:rPr>
        <w:t xml:space="preserve">, </w:t>
      </w:r>
      <w:r>
        <w:rPr>
          <w:rtl w:val="true"/>
        </w:rPr>
        <w:t>המתלוננת הכירה את המערער היכרות שטחית מוקדמת משכונת מגוריה וכן דרך מכר משותף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מסתובב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גרה</w:t>
      </w:r>
      <w:r>
        <w:rPr>
          <w:rtl w:val="true"/>
        </w:rPr>
        <w:t xml:space="preserve">. </w:t>
      </w:r>
      <w:r>
        <w:rPr>
          <w:rtl w:val="true"/>
        </w:rPr>
        <w:t>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ושם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מידיד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אבל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ידידהּ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'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,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27-26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כאשר דיווחה על האירוע למוקד המשטרתי זמן קצר לאחר התרחשותו</w:t>
      </w:r>
      <w:r>
        <w:rPr>
          <w:rtl w:val="true"/>
        </w:rPr>
        <w:t xml:space="preserve">, </w:t>
      </w:r>
      <w:r>
        <w:rPr>
          <w:rtl w:val="true"/>
        </w:rPr>
        <w:t xml:space="preserve">ציינה המתלוננת כי האדם שפגע בה לבש </w:t>
      </w:r>
      <w:r>
        <w:rPr>
          <w:rtl w:val="true"/>
        </w:rPr>
        <w:t>"</w:t>
      </w:r>
      <w:r>
        <w:rPr>
          <w:rtl w:val="true"/>
        </w:rPr>
        <w:t>חולצה כחולה</w:t>
      </w:r>
      <w:r>
        <w:rPr>
          <w:rtl w:val="true"/>
        </w:rPr>
        <w:t xml:space="preserve">", </w:t>
      </w:r>
      <w:r>
        <w:rPr>
          <w:rtl w:val="true"/>
        </w:rPr>
        <w:t>כצבע הבגד עליו נמצא מאוחר יותר כתם דמהּ</w:t>
      </w:r>
      <w:r>
        <w:rPr>
          <w:rtl w:val="true"/>
        </w:rPr>
        <w:t xml:space="preserve">, </w:t>
      </w:r>
      <w:r>
        <w:rPr>
          <w:rtl w:val="true"/>
        </w:rPr>
        <w:t xml:space="preserve">ומוכר לה מאזור מגוריה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); </w:t>
      </w:r>
      <w:r>
        <w:rPr>
          <w:rtl w:val="true"/>
        </w:rPr>
        <w:t>ומשכוחות המשטרה הגיעו לביתה אמרה כי זיהתה את האדם שפגע בה על רקע היכרותה הבסיסית עימו משכונת מגוריה וכן על רקע היכרותם המשותפת שלה ושל אותו אדם עם א</w:t>
      </w:r>
      <w:r>
        <w:rPr>
          <w:rtl w:val="true"/>
        </w:rPr>
        <w:t>'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כאשר מסרה המתלוננת הודעה למשטרה עת אושפזה בבית החולים עוד ביום האירוע</w:t>
      </w:r>
      <w:r>
        <w:rPr>
          <w:rtl w:val="true"/>
        </w:rPr>
        <w:t xml:space="preserve">, </w:t>
      </w:r>
      <w:r>
        <w:rPr>
          <w:rtl w:val="true"/>
        </w:rPr>
        <w:t>ציינה פעם נוספת כי  הכירה את האדם שפגע בה היכרות מוקדמת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הוצגו בפניה תמונות שני חשודים המתרועעים עם 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 אחד מהם הוא המערער</w:t>
      </w:r>
      <w:r>
        <w:rPr>
          <w:rtl w:val="true"/>
        </w:rPr>
        <w:t xml:space="preserve">. </w:t>
      </w:r>
      <w:r>
        <w:rPr>
          <w:rtl w:val="true"/>
        </w:rPr>
        <w:t>המתלוננת פסלה את אחד מהשניים</w:t>
      </w:r>
      <w:r>
        <w:rPr>
          <w:rtl w:val="true"/>
        </w:rPr>
        <w:t xml:space="preserve">, </w:t>
      </w:r>
      <w:r>
        <w:rPr>
          <w:rtl w:val="true"/>
        </w:rPr>
        <w:t xml:space="preserve">וזיהתה בפני חוקר המשטרה את המערער כאדם שפגע בה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21-20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15.11.2015</w:t>
      </w:r>
      <w:r>
        <w:rPr>
          <w:rtl w:val="true"/>
        </w:rPr>
        <w:t xml:space="preserve"> </w:t>
      </w:r>
      <w:r>
        <w:rPr>
          <w:rtl w:val="true"/>
        </w:rPr>
        <w:t>נערך עימות בין המערער לבין המתלוננת</w:t>
      </w:r>
      <w:r>
        <w:rPr>
          <w:rtl w:val="true"/>
        </w:rPr>
        <w:t xml:space="preserve">, </w:t>
      </w:r>
      <w:r>
        <w:rPr>
          <w:rtl w:val="true"/>
        </w:rPr>
        <w:t>במהלכו נשאלה המתלוננת אם היא מזהה את המערער</w:t>
      </w:r>
      <w:r>
        <w:rPr>
          <w:rtl w:val="true"/>
        </w:rPr>
        <w:t xml:space="preserve">. </w:t>
      </w:r>
      <w:r>
        <w:rPr>
          <w:rtl w:val="true"/>
        </w:rPr>
        <w:t>המתלוננת ענתה בחדות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הבחור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שאנס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הבחור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ששבר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האף</w:t>
      </w:r>
      <w:r>
        <w:rPr>
          <w:rtl w:val="true"/>
        </w:rPr>
        <w:t xml:space="preserve">;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הבחור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שנשך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לפה</w:t>
      </w:r>
      <w:r>
        <w:rPr>
          <w:rtl w:val="true"/>
        </w:rPr>
        <w:t xml:space="preserve">;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הבחור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שבעט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כדורגל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וכשנשאל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>".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גרסת המתלוננת לפיה הכירה את המערער מבעוד מועד ולא איפשרה לו להיכנס לביתה אף נתמכה בעדותו של א</w:t>
      </w:r>
      <w:r>
        <w:rPr>
          <w:rtl w:val="true"/>
        </w:rPr>
        <w:t xml:space="preserve">', </w:t>
      </w:r>
      <w:r>
        <w:rPr>
          <w:rtl w:val="true"/>
        </w:rPr>
        <w:t>במסגרתה ציין כי השניים אכן נפגשו בביתו</w:t>
      </w:r>
      <w:r>
        <w:rPr>
          <w:rtl w:val="true"/>
        </w:rPr>
        <w:t xml:space="preserve">, </w:t>
      </w:r>
      <w:r>
        <w:rPr>
          <w:rtl w:val="true"/>
        </w:rPr>
        <w:t xml:space="preserve">וכי באחת הפעמים שהתלווה לביתה של המתלוננת המערער ביקש להיכנס למקום </w:t>
      </w:r>
      <w:r>
        <w:rPr>
          <w:rtl w:val="true"/>
        </w:rPr>
        <w:t>–</w:t>
      </w:r>
      <w:r>
        <w:rPr>
          <w:rtl w:val="true"/>
        </w:rPr>
        <w:t xml:space="preserve"> אולם זו סירבה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במסגרת חקירתו במשטרה שב וטען המערער כי הוא כלל לא מכיר את המתלוננת ומעולם לא ביקר בדירתה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ודברים דומים נטענו על</w:t>
      </w:r>
      <w:r>
        <w:rPr>
          <w:rtl w:val="true"/>
        </w:rPr>
        <w:t>-</w:t>
      </w:r>
      <w:r>
        <w:rPr>
          <w:rtl w:val="true"/>
        </w:rPr>
        <w:t xml:space="preserve">ידי המערער אף במהלך עדותו בבית המשפט המחוזי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112-108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27.8.2019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לאור מכלול ראיות אלו</w:t>
      </w:r>
      <w:r>
        <w:rPr>
          <w:rtl w:val="true"/>
        </w:rPr>
        <w:t xml:space="preserve">, </w:t>
      </w:r>
      <w:r>
        <w:rPr>
          <w:rtl w:val="true"/>
        </w:rPr>
        <w:t>לא ראיתי מקום לסטות מקביעת בית המשפט המחוזי שלפיה המתלוננת הכירה את המערער היכרות מוקדמת</w:t>
      </w:r>
      <w:r>
        <w:rPr>
          <w:rtl w:val="true"/>
        </w:rPr>
        <w:t xml:space="preserve">, </w:t>
      </w:r>
      <w:r>
        <w:rPr>
          <w:rtl w:val="true"/>
        </w:rPr>
        <w:t>אשר על בסיסה זיהתה אותו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 xml:space="preserve">לא נפל כל פגם בזיהויו </w:t>
      </w:r>
      <w:r>
        <w:rPr>
          <w:rtl w:val="true"/>
        </w:rPr>
        <w:t>–</w:t>
      </w:r>
      <w:r>
        <w:rPr>
          <w:rtl w:val="true"/>
        </w:rPr>
        <w:t xml:space="preserve"> ודי היה בעדותה</w:t>
      </w:r>
      <w:r>
        <w:rPr>
          <w:rtl w:val="true"/>
        </w:rPr>
        <w:t xml:space="preserve">, </w:t>
      </w:r>
      <w:r>
        <w:rPr>
          <w:rtl w:val="true"/>
        </w:rPr>
        <w:t>אשר נמצאה מהימנה</w:t>
      </w:r>
      <w:r>
        <w:rPr>
          <w:rtl w:val="true"/>
        </w:rPr>
        <w:t xml:space="preserve">, </w:t>
      </w:r>
      <w:r>
        <w:rPr>
          <w:rtl w:val="true"/>
        </w:rPr>
        <w:t>בכדי לזהותו כאדם שתקף אותה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טביעות כף ידו של המערער עשויות כשלעצמן להוות ראיות מפלילות אשר ניתן לבסס עליהן את הרשעתו</w:t>
      </w:r>
      <w:r>
        <w:rPr>
          <w:rtl w:val="true"/>
        </w:rPr>
        <w:t xml:space="preserve">. </w:t>
      </w:r>
      <w:r>
        <w:rPr>
          <w:rtl w:val="true"/>
        </w:rPr>
        <w:t xml:space="preserve">כפי שנקבע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ברוקס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משקלה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טביעת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בשניים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softHyphen/>
      </w:r>
      <w:r>
        <w:rPr>
          <w:rtl w:val="true"/>
        </w:rPr>
        <w:t>במיקומה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המסבך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בהעדר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הוטבעה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הטביעה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מסבכות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בעליה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המיקום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מסבך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רשאי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טביעת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>" 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</w:rPr>
          <w:t>517/86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ברוקס</w:t>
        </w:r>
        <w:r>
          <w:rPr>
            <w:rStyle w:val="Hyperlink"/>
            <w:rFonts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Century" w:cs="Century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</w:hyperlink>
      <w:r>
        <w:rPr>
          <w:rtl w:val="true"/>
        </w:rPr>
        <w:t>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441</w:t>
      </w:r>
      <w:r>
        <w:rPr>
          <w:rtl w:val="true"/>
        </w:rPr>
        <w:t xml:space="preserve">, </w:t>
      </w:r>
      <w:r>
        <w:rPr/>
        <w:t>448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טביעות כף יד זהות לאלו של המערער התגלו בדירת המתלוננת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). </w:t>
      </w:r>
      <w:r>
        <w:rPr>
          <w:rtl w:val="true"/>
        </w:rPr>
        <w:t>חלק מטביעות כף היד אף זוהו בכתמי דמה של המתלוננת אשר הותז על קירות הדירה</w:t>
      </w:r>
      <w:r>
        <w:rPr>
          <w:rtl w:val="true"/>
        </w:rPr>
        <w:t xml:space="preserve">, </w:t>
      </w:r>
      <w:r>
        <w:rPr>
          <w:rtl w:val="true"/>
        </w:rPr>
        <w:t xml:space="preserve">וחלקן ככל הנראה הוטבעו על הקיר עם ידו של המערער המגואלת בדמה של המתלוננת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58-57</w:t>
      </w:r>
      <w:r>
        <w:rPr>
          <w:rtl w:val="true"/>
        </w:rPr>
        <w:t xml:space="preserve">, </w:t>
      </w:r>
      <w:r>
        <w:rPr/>
        <w:t>84-82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הושתלו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באומרה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מכיוון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קיר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נייח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בספק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. [...] </w:t>
      </w:r>
      <w:r>
        <w:rPr>
          <w:rtl w:val="true"/>
        </w:rPr>
        <w:t>כמו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שהטביעות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נראות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בתמונה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שתל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חיזוק משמעותי נוסף לגרסת המתלוננת מצוי בהימצאות כתם הדם על הבגד אשר נמצא יחד עם בגדים נוספים במקום בו התגורר על פי החשד המערער </w:t>
      </w:r>
      <w:r>
        <w:rPr>
          <w:rtl w:val="true"/>
        </w:rPr>
        <w:t>–</w:t>
      </w:r>
      <w:r>
        <w:rPr>
          <w:rtl w:val="true"/>
        </w:rPr>
        <w:t xml:space="preserve"> ובו נעצר על ידי כוחות המשטרה שהמתינו לבואו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יום לאחר שזיהתה המתלוננת בפני קצין המשטרה את המערער כאדם שתקף אותה</w:t>
      </w:r>
      <w:r>
        <w:rPr>
          <w:rtl w:val="true"/>
        </w:rPr>
        <w:t xml:space="preserve">, </w:t>
      </w:r>
      <w:r>
        <w:rPr>
          <w:rtl w:val="true"/>
        </w:rPr>
        <w:t>נשלחו בשעות הלילה כוחות משטרה למבנה נטוש בו נהג המערער לשהות והמתינו לבואו</w:t>
      </w:r>
      <w:r>
        <w:rPr>
          <w:rtl w:val="true"/>
        </w:rPr>
        <w:t xml:space="preserve">. </w:t>
      </w:r>
      <w:r>
        <w:rPr>
          <w:rtl w:val="true"/>
        </w:rPr>
        <w:t>משהגיע המערער</w:t>
      </w:r>
      <w:r>
        <w:rPr>
          <w:rtl w:val="true"/>
        </w:rPr>
        <w:t xml:space="preserve">, </w:t>
      </w:r>
      <w:r>
        <w:rPr>
          <w:rtl w:val="true"/>
        </w:rPr>
        <w:t>עצרו אותו השוטרים בתום מאבק קצר כשעל גופו בין היתר סמים מסוגים שונים וכסף מזומן בסך כ</w:t>
      </w:r>
      <w:r>
        <w:rPr>
          <w:rtl w:val="true"/>
        </w:rPr>
        <w:t>-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בהמשך ביצעו השוטרים סריקה במבנה ותפסו בגדים וחפצים אישיים אשר על פי החשד היו בחזקת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ביולוגית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ברליין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45-44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כאשר עומת המערער עם הממצאים הפורזנזיים</w:t>
      </w:r>
      <w:r>
        <w:rPr>
          <w:rtl w:val="true"/>
        </w:rPr>
        <w:t xml:space="preserve">, </w:t>
      </w:r>
      <w:r>
        <w:rPr>
          <w:rtl w:val="true"/>
        </w:rPr>
        <w:t>טען כי המשטרה פועלת להפלילו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עשיתם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שהבלשים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עצרו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בבגד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כתם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הכתמים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פתאום</w:t>
      </w:r>
      <w:r>
        <w:rPr>
          <w:rtl w:val="true"/>
        </w:rPr>
        <w:t xml:space="preserve">? [...] </w:t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להפיל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>).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98-95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לא מצאתי כי יש בטענות המערער כדי להפחית ממשקלן של הראיות כבדות המשקל התומכות בזיהויו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לטענת האליבי</w:t>
      </w:r>
      <w:r>
        <w:rPr>
          <w:rtl w:val="true"/>
        </w:rPr>
        <w:t xml:space="preserve">, </w:t>
      </w:r>
      <w:r>
        <w:rPr>
          <w:rtl w:val="true"/>
        </w:rPr>
        <w:t>הרי שכפי שקבע בית המשפט המחוזי טענה זו הועלתה לראשונה בשלב מאוחר בהליך</w:t>
      </w:r>
      <w:r>
        <w:rPr>
          <w:rtl w:val="true"/>
        </w:rPr>
        <w:t xml:space="preserve">, </w:t>
      </w:r>
      <w:r>
        <w:rPr>
          <w:rtl w:val="true"/>
        </w:rPr>
        <w:t xml:space="preserve">במסגרת עדותו של המערער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95-94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לאחר שבחקירתו סירב לציין היכן שהה ביום 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כידוע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221</w:t>
      </w:r>
      <w:r>
        <w:rPr>
          <w:rtl w:val="true"/>
        </w:rPr>
        <w:t xml:space="preserve"> (</w:t>
      </w:r>
      <w:r>
        <w:rPr/>
        <w:t>10.11.2011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29-28</w:t>
      </w:r>
      <w:r>
        <w:rPr>
          <w:rtl w:val="true"/>
        </w:rPr>
        <w:t xml:space="preserve"> (</w:t>
      </w:r>
      <w:r>
        <w:rPr/>
        <w:t>16.6.2019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מצאתי ממש בטענת המערער לפיה מצילומי מצלמות האבטחה בקיוסק עולה כי במהלך האירוע במקום לבש בגדים שונים מאלו שנטען כי לבש בעת ביצוע מעשי האלימות והאונס במתלוננת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וכי יש בכך כדי לעורר כהגדרתו </w:t>
      </w:r>
      <w:r>
        <w:rPr>
          <w:rtl w:val="true"/>
        </w:rPr>
        <w:t>"</w:t>
      </w:r>
      <w:r>
        <w:rPr>
          <w:rtl w:val="true"/>
        </w:rPr>
        <w:t>ספק רב</w:t>
      </w:r>
      <w:r>
        <w:rPr>
          <w:rtl w:val="true"/>
        </w:rPr>
        <w:t xml:space="preserve">" </w:t>
      </w:r>
      <w:r>
        <w:rPr>
          <w:rtl w:val="true"/>
        </w:rPr>
        <w:t>שהוא אכן זה שביצע את המיוחס לו במתלוננת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;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קט</w:t>
      </w:r>
      <w:r>
        <w:rPr>
          <w:rtl w:val="true"/>
        </w:rPr>
        <w:t xml:space="preserve">" </w:t>
      </w:r>
      <w:r>
        <w:rPr>
          <w:rtl w:val="true"/>
        </w:rPr>
        <w:t>השחור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בבקשה לצרף ראייה חדשה בשלב הערעור אין כדי לסייע למערער</w:t>
      </w:r>
      <w:r>
        <w:rPr>
          <w:rtl w:val="true"/>
        </w:rPr>
        <w:t xml:space="preserve">, </w:t>
      </w:r>
      <w:r>
        <w:rPr>
          <w:rtl w:val="true"/>
        </w:rPr>
        <w:t xml:space="preserve">וזאת הן בשל טיב הראיה והן לנוכח השלב הדיוני המאוחר בו היא הוגשה </w:t>
      </w:r>
      <w:r>
        <w:rPr>
          <w:rtl w:val="true"/>
        </w:rPr>
        <w:t>(</w:t>
      </w:r>
      <w:r>
        <w:rPr>
          <w:rtl w:val="true"/>
        </w:rPr>
        <w:t>לאמות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חדשות</w:t>
      </w:r>
      <w:r>
        <w:rPr>
          <w:rtl w:val="true"/>
        </w:rPr>
        <w:t xml:space="preserve"> </w:t>
      </w:r>
      <w:r>
        <w:rPr>
          <w:rtl w:val="true"/>
        </w:rPr>
        <w:t>בערכאת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יוסף</w:t>
      </w:r>
      <w:r>
        <w:rPr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אלרון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קבלת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 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יב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/>
        <w:t>30-24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56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27.6.2019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5874/00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לזרובסקי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''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249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254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2001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הנושך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ההשוואה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ברוקס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460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הסתמכות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מטכניקת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, "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ודאית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הוכחת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במתלוננת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קבע בהכרעת דינו כי 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די בעדות המתלוננת כדי לבסס את גרסתה שלפיה אנס אותה בטרם נמלט מדירתה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במסגרת הערעור נטען כי אין בעדותה של המתלוננת כדי להוכיח שאכן בוצע אונס</w:t>
      </w:r>
      <w:r>
        <w:rPr>
          <w:rtl w:val="true"/>
        </w:rPr>
        <w:t xml:space="preserve">, </w:t>
      </w:r>
      <w:r>
        <w:rPr>
          <w:rtl w:val="true"/>
        </w:rPr>
        <w:t xml:space="preserve">וזאת מאחר שכעולה מעדותה היא לא הבחינה באיבר מינו של המערער </w:t>
      </w:r>
      <w:r>
        <w:rPr>
          <w:rtl w:val="true"/>
        </w:rPr>
        <w:t>–</w:t>
      </w:r>
      <w:r>
        <w:rPr>
          <w:rtl w:val="true"/>
        </w:rPr>
        <w:t xml:space="preserve"> וכן מאחר שלא זוהתה פגיעה באיבר מינה של המתלוננת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אירוע האונס אינו אלא פרי דמיונה של המתלוננת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אני סבור כי יש לדחות את טענת המערער בעניין זה מכל וכל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כבר כאשר דיווחה המתלוננת על האירועים למוקד המשטרה ציינה כי היא נאנסה תוך שחזרה על הדברים פעם אחר פעם בראשית השיחה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אנסו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אנסו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הרביצו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נכנסו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אנסו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ולנשום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שהניח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ופה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מדמם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והמשכתי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נשך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סגרתי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נשך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נגס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ונכנסתי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ואיכשהו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התגלגלתי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הוצאתי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המשכתי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לנשום</w:t>
      </w:r>
      <w:r>
        <w:rPr>
          <w:rtl w:val="true"/>
        </w:rPr>
        <w:t xml:space="preserve">. </w:t>
      </w:r>
      <w:r>
        <w:rPr>
          <w:rtl w:val="true"/>
        </w:rPr>
        <w:t>ביקשתי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חיוך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היום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ייגמר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בשבילך</w:t>
      </w:r>
      <w:r>
        <w:rPr>
          <w:rtl w:val="true"/>
        </w:rPr>
        <w:t xml:space="preserve">', </w:t>
      </w:r>
      <w:r>
        <w:rPr>
          <w:rtl w:val="true"/>
        </w:rPr>
        <w:t>והמשיך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להפשיט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ינס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צמוד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חגורה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ינס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לנשום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. [...]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הכתפיים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בובת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סמרטוט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וכאילו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פתחתי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העיניים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הסתכלתי</w:t>
      </w:r>
      <w:r>
        <w:rPr>
          <w:rFonts w:eastAsia="Century" w:cs="Century"/>
          <w:rtl w:val="true"/>
        </w:rPr>
        <w:t xml:space="preserve">  </w:t>
      </w:r>
      <w:r>
        <w:rPr>
          <w:rtl w:val="true"/>
        </w:rPr>
        <w:t>לו</w:t>
      </w:r>
      <w:r>
        <w:rPr>
          <w:rFonts w:eastAsia="Century" w:cs="Century"/>
          <w:rtl w:val="true"/>
        </w:rPr>
        <w:t xml:space="preserve">  </w:t>
      </w:r>
      <w:r>
        <w:rPr>
          <w:rtl w:val="true"/>
        </w:rPr>
        <w:t>לתוך</w:t>
      </w:r>
      <w:r>
        <w:rPr>
          <w:rFonts w:eastAsia="Century" w:cs="Century"/>
          <w:rtl w:val="true"/>
        </w:rPr>
        <w:t xml:space="preserve">  </w:t>
      </w:r>
      <w:r>
        <w:rPr>
          <w:rtl w:val="true"/>
        </w:rPr>
        <w:t>העיניים</w:t>
      </w:r>
      <w:r>
        <w:rPr>
          <w:rFonts w:eastAsia="Century" w:cs="Century"/>
          <w:rtl w:val="true"/>
        </w:rPr>
        <w:t xml:space="preserve">  </w:t>
      </w:r>
      <w:r>
        <w:rPr>
          <w:rtl w:val="true"/>
        </w:rPr>
        <w:t>אז</w:t>
      </w:r>
      <w:r>
        <w:rPr>
          <w:rFonts w:eastAsia="Century" w:cs="Century"/>
          <w:rtl w:val="true"/>
        </w:rPr>
        <w:t xml:space="preserve"> 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 </w:t>
      </w:r>
      <w:r>
        <w:rPr>
          <w:rtl w:val="true"/>
        </w:rPr>
        <w:t>לחץ</w:t>
      </w:r>
      <w:r>
        <w:rPr>
          <w:rFonts w:eastAsia="Century" w:cs="Century"/>
          <w:rtl w:val="true"/>
        </w:rPr>
        <w:t xml:space="preserve">  </w:t>
      </w:r>
      <w:r>
        <w:rPr>
          <w:rtl w:val="true"/>
        </w:rPr>
        <w:t>לי</w:t>
      </w:r>
      <w:r>
        <w:rPr>
          <w:rFonts w:eastAsia="Century" w:cs="Century"/>
          <w:rtl w:val="true"/>
        </w:rPr>
        <w:t xml:space="preserve"> 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העיניים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דפיקות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ואמא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19-17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בחקירתה הנגדית התבקשה המתלוננת לחדד אם ראתה את המערער מחדיר את איבר מינו לאיבר מינה</w:t>
      </w:r>
      <w:r>
        <w:rPr>
          <w:rtl w:val="true"/>
        </w:rPr>
        <w:t xml:space="preserve">, </w:t>
      </w:r>
      <w:r>
        <w:rPr>
          <w:rtl w:val="true"/>
        </w:rPr>
        <w:t xml:space="preserve">וזו השיבה כי היא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הרגישה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אף שלא ראתה את איבר מינו</w:t>
      </w:r>
      <w:r>
        <w:rPr>
          <w:rtl w:val="true"/>
        </w:rPr>
        <w:t xml:space="preserve">. </w:t>
      </w:r>
      <w:r>
        <w:rPr>
          <w:rtl w:val="true"/>
        </w:rPr>
        <w:t xml:space="preserve">עוד היא ציינה כי המערער לא הגיע לפורקן מיני בטרם הגיעה אימהּ לדירה והמערער נמלט מהמקום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tl w:val="true"/>
        </w:rPr>
        <w:t xml:space="preserve">",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אאוט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והייתה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לעדותה של המתלוננת הצטרפה עדות אימהּ</w:t>
      </w:r>
      <w:r>
        <w:rPr>
          <w:rtl w:val="true"/>
        </w:rPr>
        <w:t xml:space="preserve">, </w:t>
      </w:r>
      <w:r>
        <w:rPr>
          <w:rtl w:val="true"/>
        </w:rPr>
        <w:t>ממנה עולה כי כשנכנסה לדירה חלף על פניה אדם מעורטל למחצה אשר נימלט מהדירה</w:t>
      </w:r>
      <w:r>
        <w:rPr>
          <w:rtl w:val="true"/>
        </w:rPr>
        <w:t xml:space="preserve">, </w:t>
      </w:r>
      <w:r>
        <w:rPr>
          <w:rtl w:val="true"/>
        </w:rPr>
        <w:t xml:space="preserve">וכי ראתה את המתלוננת מדממת וערומה בפלג גופה התחתון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70-67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מסתובב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בניסיונו של המערער להיבנות מהיעדרם של סממנים לאונס בגופה של המתלוננת אין ממש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 xml:space="preserve">]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";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כוחותיה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לא מצאתי מקום להתערב בקביעת בית המשפט המחוזי לפיה המערער אנס את המתלוננת</w:t>
      </w:r>
      <w:r>
        <w:rPr>
          <w:rtl w:val="true"/>
        </w:rPr>
        <w:t xml:space="preserve">, </w:t>
      </w:r>
      <w:r>
        <w:rPr>
          <w:rtl w:val="true"/>
        </w:rPr>
        <w:t>כפי שתיארה בעדותה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זיהוי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שהתפרע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בקיוסק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ביסס את קביעתו כי המערער התפרע בקיוסק בעיקר על גרסתה של ד</w:t>
      </w:r>
      <w:r>
        <w:rPr>
          <w:rtl w:val="true"/>
        </w:rPr>
        <w:t xml:space="preserve">', </w:t>
      </w:r>
      <w:r>
        <w:rPr>
          <w:rtl w:val="true"/>
        </w:rPr>
        <w:t>שכאמור דיווחה למוקד המשטרה על 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49-48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) </w:t>
      </w:r>
      <w:r>
        <w:rPr>
          <w:rtl w:val="true"/>
        </w:rPr>
        <w:t>ובדו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כתמיכה לעדותה של ד</w:t>
      </w:r>
      <w:r>
        <w:rPr>
          <w:rtl w:val="true"/>
        </w:rPr>
        <w:t xml:space="preserve">' </w:t>
      </w:r>
      <w:r>
        <w:rPr>
          <w:rtl w:val="true"/>
        </w:rPr>
        <w:t>ציין בית המשפט כי ד</w:t>
      </w:r>
      <w:r>
        <w:rPr>
          <w:rtl w:val="true"/>
        </w:rPr>
        <w:t xml:space="preserve">' </w:t>
      </w:r>
      <w:r>
        <w:rPr>
          <w:rtl w:val="true"/>
        </w:rPr>
        <w:t>דיווחה מיד לאחר האירוע כי היא מכירה את המערער היכרות מוקדמת תוך שציינה את שמו</w:t>
      </w:r>
      <w:r>
        <w:rPr>
          <w:rtl w:val="true"/>
        </w:rPr>
        <w:t xml:space="preserve">; </w:t>
      </w:r>
      <w:r>
        <w:rPr>
          <w:rtl w:val="true"/>
        </w:rPr>
        <w:t>וכי סרטוני האבטחה מתעדים התנהגות מאיימת כלפי יושבי המקום באופן המתיישב עם גרסתה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מפליג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התרשמותנו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הישירה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דמותו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המצולם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הצפייה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המהימנה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ניתן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שפנה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נפלה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>".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 שב וטען המערער כי קיימות סתירות בעדותה של ד</w:t>
      </w:r>
      <w:r>
        <w:rPr>
          <w:rtl w:val="true"/>
        </w:rPr>
        <w:t xml:space="preserve">' </w:t>
      </w:r>
      <w:r>
        <w:rPr>
          <w:rtl w:val="true"/>
        </w:rPr>
        <w:t>הפוגמות במהימנותה</w:t>
      </w:r>
      <w:r>
        <w:rPr>
          <w:rtl w:val="true"/>
        </w:rPr>
        <w:t xml:space="preserve">. </w:t>
      </w:r>
      <w:r>
        <w:rPr>
          <w:rtl w:val="true"/>
        </w:rPr>
        <w:t xml:space="preserve">בכלל זה נטען כי מחקירתה הנגדית בעדותה </w:t>
      </w:r>
      <w:r>
        <w:rPr>
          <w:rtl w:val="true"/>
        </w:rPr>
        <w:t>"</w:t>
      </w:r>
      <w:r>
        <w:rPr>
          <w:rtl w:val="true"/>
        </w:rPr>
        <w:t>לא ניתן היה להבין אם היא מכירה את המערער ומה טיב ההכרות</w:t>
      </w:r>
      <w:r>
        <w:rPr>
          <w:rtl w:val="true"/>
        </w:rPr>
        <w:t xml:space="preserve">", </w:t>
      </w:r>
      <w:r>
        <w:rPr>
          <w:rtl w:val="true"/>
        </w:rPr>
        <w:t>כלשון נימוקי הערעור</w:t>
      </w:r>
      <w:r>
        <w:rPr>
          <w:rtl w:val="true"/>
        </w:rPr>
        <w:t xml:space="preserve">; </w:t>
      </w:r>
      <w:r>
        <w:rPr>
          <w:rtl w:val="true"/>
        </w:rPr>
        <w:t>כי היא לא הצליחה לזהות את עצמה בסרטוני האבטחה מהקיוסק</w:t>
      </w:r>
      <w:r>
        <w:rPr>
          <w:rtl w:val="true"/>
        </w:rPr>
        <w:t xml:space="preserve">; </w:t>
      </w:r>
      <w:r>
        <w:rPr>
          <w:rtl w:val="true"/>
        </w:rPr>
        <w:t xml:space="preserve">וכי בניגוד לעדותה </w:t>
      </w:r>
      <w:r>
        <w:rPr>
          <w:rtl w:val="true"/>
        </w:rPr>
        <w:t>–</w:t>
      </w:r>
      <w:r>
        <w:rPr>
          <w:rtl w:val="true"/>
        </w:rPr>
        <w:t xml:space="preserve"> המערער לא נצפה אוכל בסרטונים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ייתכן שהאירוע אשר תיארה ד</w:t>
      </w:r>
      <w:r>
        <w:rPr>
          <w:rtl w:val="true"/>
        </w:rPr>
        <w:t xml:space="preserve">' </w:t>
      </w:r>
      <w:r>
        <w:rPr>
          <w:rtl w:val="true"/>
        </w:rPr>
        <w:t>הינו אירוע אחר מזה שמתואר בכתב האישום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דין טענות אלה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טענת המערער שלפיה לא ניתן להבין מעדותה של ד</w:t>
      </w:r>
      <w:r>
        <w:rPr>
          <w:rtl w:val="true"/>
        </w:rPr>
        <w:t xml:space="preserve">' </w:t>
      </w:r>
      <w:r>
        <w:rPr>
          <w:rtl w:val="true"/>
        </w:rPr>
        <w:t>אם קיימת היכרות מוקדמת בינה לבינו</w:t>
      </w:r>
      <w:r>
        <w:rPr>
          <w:rtl w:val="true"/>
        </w:rPr>
        <w:t xml:space="preserve">, </w:t>
      </w:r>
      <w:r>
        <w:rPr>
          <w:rtl w:val="true"/>
        </w:rPr>
        <w:t>אין לה על מה שתסמוך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ידיד</w:t>
      </w:r>
      <w:r>
        <w:rPr>
          <w:rtl w:val="true"/>
        </w:rPr>
        <w:t xml:space="preserve">" </w:t>
      </w:r>
      <w:r>
        <w:rPr>
          <w:rtl w:val="true"/>
        </w:rPr>
        <w:t>ובעדותה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כידידהּ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97-96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ממש אף בטענה שלפיה ד</w:t>
      </w:r>
      <w:r>
        <w:rPr>
          <w:rtl w:val="true"/>
        </w:rPr>
        <w:t xml:space="preserve">' </w:t>
      </w:r>
      <w:r>
        <w:rPr>
          <w:rtl w:val="true"/>
        </w:rPr>
        <w:t>כלל לא הייתה בקיוסק ולא נצפתה בסרטון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בסרטון</w:t>
      </w:r>
      <w:r>
        <w:rPr>
          <w:rtl w:val="true"/>
        </w:rPr>
        <w:t xml:space="preserve">; </w:t>
      </w:r>
      <w:r>
        <w:rPr>
          <w:rtl w:val="true"/>
        </w:rPr>
        <w:t>ובדו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שכתבו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קט</w:t>
      </w:r>
      <w:r>
        <w:rPr>
          <w:rtl w:val="true"/>
        </w:rPr>
        <w:t xml:space="preserve">" </w:t>
      </w:r>
      <w:r>
        <w:rPr>
          <w:rtl w:val="true"/>
        </w:rPr>
        <w:t>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אני סבור כי לא נפל פגם בקביעת בית המשפט המחוזי שלפיה יש להעדיף את גרסתה של ד</w:t>
      </w:r>
      <w:r>
        <w:rPr>
          <w:rtl w:val="true"/>
        </w:rPr>
        <w:t xml:space="preserve">' </w:t>
      </w:r>
      <w:r>
        <w:rPr>
          <w:rtl w:val="true"/>
        </w:rPr>
        <w:t>על פני גרסת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לא מצאתי מקום להתערב בהכרעת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הרשיע את המערער בכלל המעשים המיוחסים לו בכתב האישום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המערער בית המשפט המחוזי החמיר עימו יתר על המידה בגזירת 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מתנגד לערעור תוך שמדגיש את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אשר הסב למתלוננת נזק פיזי ונפשי רב ונקט באלימות אכזרית כלפיה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מדרכה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דומ</w:t>
      </w:r>
      <w:r>
        <w:rPr>
          <w:rtl w:val="true"/>
        </w:rPr>
        <w:t>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מדיעם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26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(</w:t>
      </w:r>
      <w:r>
        <w:rPr/>
        <w:t>29.1.2019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עובדות כתב האישום מגוללות מסכת מעשים אלימה ואכזרית אשר אין הדעת יכולה לסבול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מזעזעים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מבצרה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 כאחוז דיבוק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הכה בה נמרצות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נשך אותה בפראות בגופה ותלש את אצבעהּ בשיניו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משהתיש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התחננה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לתחנוניה</w:t>
      </w:r>
      <w:r>
        <w:rPr>
          <w:rtl w:val="true"/>
        </w:rPr>
        <w:t xml:space="preserve">, </w:t>
      </w:r>
      <w:r>
        <w:rPr>
          <w:rtl w:val="true"/>
        </w:rPr>
        <w:t>חייך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המרוטש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המדממים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אזכרה</w:t>
      </w:r>
      <w:r>
        <w:rPr>
          <w:rtl w:val="true"/>
        </w:rPr>
        <w:t xml:space="preserve">",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רְעָדָה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תֶאֱחז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כָּל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שׁומֵעַ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שִׁמּוּעַ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וְתִזַּל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כָּל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עַיִן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דִּמּוּעַ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לגובה הפיצוי אותו חויב המערער לשלם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הרי שפיצוי זה נועד לספק מעט מזור למתלוננת ביחס לפגיעות שגרם לה המערער </w:t>
      </w:r>
      <w:r>
        <w:rPr>
          <w:rtl w:val="true"/>
        </w:rPr>
        <w:t>–</w:t>
      </w:r>
      <w:r>
        <w:rPr>
          <w:rtl w:val="true"/>
        </w:rPr>
        <w:t xml:space="preserve"> ואילו יכולתו הכלכלית אינה משמשת אמת מידה לקביעת גובה הפיצוי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בפסקאות לג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לח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14.3.2016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אני סבור כי דין הערעור להידחות על שני חלקיו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end"/>
        <w:rPr/>
      </w:pPr>
      <w:r>
        <w:rPr>
          <w:rtl w:val="true"/>
        </w:rPr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end"/>
        <w:rPr/>
      </w:pPr>
      <w:r>
        <w:rPr>
          <w:rtl w:val="true"/>
        </w:rPr>
      </w:r>
    </w:p>
    <w:p>
      <w:pPr>
        <w:pStyle w:val="Ruller4"/>
        <w:ind w:hanging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end"/>
        <w:rPr/>
      </w:pPr>
      <w:r>
        <w:rPr>
          <w:rtl w:val="true"/>
        </w:rPr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both"/>
        <w:rPr/>
      </w:pPr>
      <w:bookmarkStart w:id="17" w:name="Nitan"/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31.10.2019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hanging="0"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hanging="0"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17084410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color w:val="000000"/>
            <w:sz w:val="16"/>
            <w:u w:val="none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54678313-8441/17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;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8441/17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480" w:after="24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 w:before="0" w:after="360"/>
      <w:ind w:firstLine="799" w:start="0" w:end="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spacing w:before="0" w:after="420"/>
      <w:ind w:hanging="0" w:start="1644" w:end="1276"/>
      <w:contextualSpacing/>
      <w:jc w:val="both"/>
    </w:pPr>
    <w:rPr>
      <w:rFonts w:ascii="Century" w:hAnsi="Century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3"/>
      </w:numPr>
    </w:pPr>
    <w:rPr/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5528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45.a.2" TargetMode="External"/><Relationship Id="rId7" Type="http://schemas.openxmlformats.org/officeDocument/2006/relationships/hyperlink" Target="http://www.nevo.co.il/law/70301/345.b.3" TargetMode="External"/><Relationship Id="rId8" Type="http://schemas.openxmlformats.org/officeDocument/2006/relationships/hyperlink" Target="http://www.nevo.co.il/law/70301/406.a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70301/jCeS" TargetMode="External"/><Relationship Id="rId11" Type="http://schemas.openxmlformats.org/officeDocument/2006/relationships/hyperlink" Target="http://www.nevo.co.il/safrut/book/1309" TargetMode="External"/><Relationship Id="rId12" Type="http://schemas.openxmlformats.org/officeDocument/2006/relationships/hyperlink" Target="http://www.nevo.co.il/safrut/book/1309" TargetMode="External"/><Relationship Id="rId13" Type="http://schemas.openxmlformats.org/officeDocument/2006/relationships/hyperlink" Target="http://www.nevo.co.il/case/20755288" TargetMode="External"/><Relationship Id="rId14" Type="http://schemas.openxmlformats.org/officeDocument/2006/relationships/hyperlink" Target="http://www.nevo.co.il/law/70301/345.b.3" TargetMode="External"/><Relationship Id="rId15" Type="http://schemas.openxmlformats.org/officeDocument/2006/relationships/hyperlink" Target="http://www.nevo.co.il/law/70301/345.a.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3" TargetMode="External"/><Relationship Id="rId18" Type="http://schemas.openxmlformats.org/officeDocument/2006/relationships/hyperlink" Target="http://www.nevo.co.il/law/70301/406.a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452" TargetMode="External"/><Relationship Id="rId21" Type="http://schemas.openxmlformats.org/officeDocument/2006/relationships/hyperlink" Target="http://www.nevo.co.il/law/70301/jCeS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5388533" TargetMode="External"/><Relationship Id="rId24" Type="http://schemas.openxmlformats.org/officeDocument/2006/relationships/hyperlink" Target="http://www.nevo.co.il/case/20060570" TargetMode="External"/><Relationship Id="rId25" Type="http://schemas.openxmlformats.org/officeDocument/2006/relationships/hyperlink" Target="http://www.nevo.co.il/case/23855492" TargetMode="External"/><Relationship Id="rId26" Type="http://schemas.openxmlformats.org/officeDocument/2006/relationships/hyperlink" Target="http://www.nevo.co.il/case/17925798" TargetMode="External"/><Relationship Id="rId27" Type="http://schemas.openxmlformats.org/officeDocument/2006/relationships/hyperlink" Target="http://www.nevo.co.il/case/5573732" TargetMode="External"/><Relationship Id="rId28" Type="http://schemas.openxmlformats.org/officeDocument/2006/relationships/hyperlink" Target="http://www.nevo.co.il/case/24287809" TargetMode="External"/><Relationship Id="rId29" Type="http://schemas.openxmlformats.org/officeDocument/2006/relationships/hyperlink" Target="http://www.nevo.co.il/safrut/book/1309" TargetMode="External"/><Relationship Id="rId30" Type="http://schemas.openxmlformats.org/officeDocument/2006/relationships/hyperlink" Target="http://www.nevo.co.il/case/13041923" TargetMode="External"/><Relationship Id="rId31" Type="http://schemas.openxmlformats.org/officeDocument/2006/relationships/hyperlink" Target="http://www.nevo.co.il/case/6037102" TargetMode="External"/><Relationship Id="rId32" Type="http://schemas.openxmlformats.org/officeDocument/2006/relationships/hyperlink" Target="http://www.nevo.co.il/case/24323669" TargetMode="External"/><Relationship Id="rId33" Type="http://schemas.openxmlformats.org/officeDocument/2006/relationships/hyperlink" Target="http://www.nevo.co.il/case/20331617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2019-11-03T11:36:00Z</dcterms:created>
  <dc:creator>h4</dc:creator>
  <dc:description/>
  <cp:keywords/>
  <dc:language>en-IL</dc:language>
  <cp:lastModifiedBy>orly</cp:lastModifiedBy>
  <cp:lastPrinted>2019-10-31T11:04:00Z</cp:lastPrinted>
  <dcterms:modified xsi:type="dcterms:W3CDTF">2019-11-03T11:36:00Z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1309</vt:lpwstr>
  </property>
  <property fmtid="{D5CDD505-2E9C-101B-9397-08002B2CF9AE}" pid="9" name="CASENOTES1">
    <vt:lpwstr>ProcID=26&amp;PartA=3510&amp;PartC=08</vt:lpwstr>
  </property>
  <property fmtid="{D5CDD505-2E9C-101B-9397-08002B2CF9AE}" pid="10" name="CASENOTES2">
    <vt:lpwstr>ProcID=26;184&amp;PartA=4535&amp;PartC=08</vt:lpwstr>
  </property>
  <property fmtid="{D5CDD505-2E9C-101B-9397-08002B2CF9AE}" pid="11" name="CASENOTES3">
    <vt:lpwstr>ProcID=213&amp;PartA=643&amp;PartC=64</vt:lpwstr>
  </property>
  <property fmtid="{D5CDD505-2E9C-101B-9397-08002B2CF9AE}" pid="12" name="CASESLISTTMP1">
    <vt:lpwstr>20755288:2;25388533;20060570;23855492;17925798;5573732;24287809;13041923;6037102;24323669;20331617</vt:lpwstr>
  </property>
  <property fmtid="{D5CDD505-2E9C-101B-9397-08002B2CF9AE}" pid="13" name="CITY">
    <vt:lpwstr/>
  </property>
  <property fmtid="{D5CDD505-2E9C-101B-9397-08002B2CF9AE}" pid="14" name="DATE">
    <vt:lpwstr>20191031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נ' הנדל;ג' קרא;י' אלרון</vt:lpwstr>
  </property>
  <property fmtid="{D5CDD505-2E9C-101B-9397-08002B2CF9AE}" pid="18" name="LAWLISTTMP1">
    <vt:lpwstr>70301/345.b.3;345.a.2;333;406.a;192;452;jCeS</vt:lpwstr>
  </property>
  <property fmtid="{D5CDD505-2E9C-101B-9397-08002B2CF9AE}" pid="19" name="LAWYER">
    <vt:lpwstr>אופיר טישלר;יחיאל לאמש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ראיות</vt:lpwstr>
  </property>
  <property fmtid="{D5CDD505-2E9C-101B-9397-08002B2CF9AE}" pid="31" name="NOSE110">
    <vt:lpwstr/>
  </property>
  <property fmtid="{D5CDD505-2E9C-101B-9397-08002B2CF9AE}" pid="32" name="NOSE12">
    <vt:lpwstr>ראיות</vt:lpwstr>
  </property>
  <property fmtid="{D5CDD505-2E9C-101B-9397-08002B2CF9AE}" pid="33" name="NOSE13">
    <vt:lpwstr>ראיות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89;89;89;77;77</vt:lpwstr>
  </property>
  <property fmtid="{D5CDD505-2E9C-101B-9397-08002B2CF9AE}" pid="41" name="NOSE21">
    <vt:lpwstr>זיהוי</vt:lpwstr>
  </property>
  <property fmtid="{D5CDD505-2E9C-101B-9397-08002B2CF9AE}" pid="42" name="NOSE210">
    <vt:lpwstr/>
  </property>
  <property fmtid="{D5CDD505-2E9C-101B-9397-08002B2CF9AE}" pid="43" name="NOSE22">
    <vt:lpwstr>זיהוי</vt:lpwstr>
  </property>
  <property fmtid="{D5CDD505-2E9C-101B-9397-08002B2CF9AE}" pid="44" name="NOSE23">
    <vt:lpwstr>אליבי</vt:lpwstr>
  </property>
  <property fmtid="{D5CDD505-2E9C-101B-9397-08002B2CF9AE}" pid="45" name="NOSE24">
    <vt:lpwstr>ענישה</vt:lpwstr>
  </property>
  <property fmtid="{D5CDD505-2E9C-101B-9397-08002B2CF9AE}" pid="46" name="NOSE25">
    <vt:lpwstr>ענישה</vt:lpwstr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1625;1625;1614;1446;1446</vt:lpwstr>
  </property>
  <property fmtid="{D5CDD505-2E9C-101B-9397-08002B2CF9AE}" pid="52" name="NOSE31">
    <vt:lpwstr>הרשעה על-פיו</vt:lpwstr>
  </property>
  <property fmtid="{D5CDD505-2E9C-101B-9397-08002B2CF9AE}" pid="53" name="NOSE310">
    <vt:lpwstr/>
  </property>
  <property fmtid="{D5CDD505-2E9C-101B-9397-08002B2CF9AE}" pid="54" name="NOSE32">
    <vt:lpwstr>דרכי זיהוי</vt:lpwstr>
  </property>
  <property fmtid="{D5CDD505-2E9C-101B-9397-08002B2CF9AE}" pid="55" name="NOSE33">
    <vt:lpwstr>כבישת הטענה</vt:lpwstr>
  </property>
  <property fmtid="{D5CDD505-2E9C-101B-9397-08002B2CF9AE}" pid="56" name="NOSE34">
    <vt:lpwstr>מדיניות ענישה: שיקולים לחומרה</vt:lpwstr>
  </property>
  <property fmtid="{D5CDD505-2E9C-101B-9397-08002B2CF9AE}" pid="57" name="NOSE35">
    <vt:lpwstr>דרכי ענישה: פיצויים</vt:lpwstr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10098;10097;10030;8995;8968</vt:lpwstr>
  </property>
  <property fmtid="{D5CDD505-2E9C-101B-9397-08002B2CF9AE}" pid="63" name="PADIDATE">
    <vt:lpwstr>20191103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8441</vt:lpwstr>
  </property>
  <property fmtid="{D5CDD505-2E9C-101B-9397-08002B2CF9AE}" pid="69" name="PROCYEAR">
    <vt:lpwstr>17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410120191031</vt:lpwstr>
  </property>
  <property fmtid="{D5CDD505-2E9C-101B-9397-08002B2CF9AE}" pid="73" name="TYPE_N_DATE">
    <vt:lpwstr>41020191031</vt:lpwstr>
  </property>
  <property fmtid="{D5CDD505-2E9C-101B-9397-08002B2CF9AE}" pid="74" name="VOLUME">
    <vt:lpwstr/>
  </property>
  <property fmtid="{D5CDD505-2E9C-101B-9397-08002B2CF9AE}" pid="75" name="WORDNUMPAGES">
    <vt:lpwstr>24</vt:lpwstr>
  </property>
</Properties>
</file>