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8464/15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 xml:space="preserve">')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וסילי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פנזין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54295-02-12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גונן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בוחבוט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שוויצר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שלושה כללים מנחים בעבירות של גרימת מוות בתאונת דרכים 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יש להחמיר נוכח עיקרון קדושת החיים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הקובע הוא דרגת האשמה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השלישי כי הנסיבות האישיות של הנהג מתגמדות לנוכח התוצאה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כשם שיש להחמיר יותר בעבירת גרם מוות ברשלנות בה דרגת הרשלנות גבוהה לעומת מצב בו דרגת הרשלנות נמוכה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יש להחמיר בהרשעה בעבירת הריגה בגרימת תאונה קטלנית לעומת עבירה של גרימת מוות ברשלנות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 – עבירות – הריגה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הריגה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גרימת מוות ברשלנות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מחוזי בגדרו הורשע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הריגה תוך כדי ביצוע תאונת דרכים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נידון לעונשי מאסר בפועל של שלושים חודש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פסילה לחמש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עשרה 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ופיצוי </w:t>
      </w:r>
      <w:r>
        <w:rPr>
          <w:rFonts w:ascii="Times New Roman" w:hAnsi="Times New Roman" w:cs="Times New Roman"/>
          <w:spacing w:val="0"/>
          <w:szCs w:val="26"/>
          <w:rtl w:val="true"/>
        </w:rPr>
        <w:t>אשת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התאונה הקטלנית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בגדרה נהרג אדם ונפצעו </w:t>
      </w:r>
      <w:r>
        <w:rPr>
          <w:rFonts w:cs="Times New Roman" w:ascii="Times New Roman" w:hAnsi="Times New Roman"/>
          <w:spacing w:val="0"/>
          <w:szCs w:val="26"/>
        </w:rPr>
        <w:t>27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אנשים נוספים – </w:t>
      </w:r>
      <w:r>
        <w:rPr>
          <w:rFonts w:ascii="Times New Roman" w:hAnsi="Times New Roman" w:cs="Times New Roman"/>
          <w:spacing w:val="0"/>
          <w:szCs w:val="26"/>
          <w:rtl w:val="true"/>
        </w:rPr>
        <w:t>ארעה עת נהג המערער באוטובוס ציבורי ובו 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נוסעים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הפנה את ערעורו כנגד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ולחלופין כנגד גזר הדין ביחס לרכיבי המאסר בפועל והפסילה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טענותיו העיקריות הן במישור העובדתי ומופנות כלפי הקביעה כי נכנס לצומת באור 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בהסכמת המשנה לנשיאה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בדימ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') </w:t>
      </w:r>
      <w:r>
        <w:rPr>
          <w:rFonts w:ascii="Times New Roman" w:hAnsi="Times New Roman" w:cs="Times New Roman"/>
          <w:spacing w:val="0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ובראן והשופט 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מזוז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הסתייגויות המערער בעיקרן מופנות כאמור במישור העובדתי כלפי הקביעה שעבר את הצומת באור 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ביסס קביעה זו תוך העדפת עדותם של חלק מעדי הראיה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מושרש הוא שערכאת הערעור לא תתערב בממצאיה העובדתיים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לאחרונה היתרון בשל יכולתה להתרשם באופן בלתי אמצעי מהעדויות ומהחומר הראייתי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זה עומד זקוף יותר במצב בו הערכאה הדיונית בחנה את הראיות ביסודיות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העמקה ומתן ביטוי לכך בפסק 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בחן היטב את טענות המערער וחלק מהטענות העובדתיות שהעלה המערער אף אינן הכרחיות לצורך ההכרעה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למשל הטענה בדבר הפגמים בחקירת המערער אינה 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דבריו של המערער בחקירתו לא היוו נדבך משמעותי בהרשעתו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הטענה בדבר אי מיצוי חקירת בוחן התנועה והחסרים שנפלו בה לא הייתה משנה את התוצאה אף אם הייתה מתקבלת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ההרשעה התבססה בעיקרה על עדויות הראייה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מנומקת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מתייחסת לעדים הרלוונטיים ובנויה על התרשמות ישירה על ידי עדים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נפלה טעות בדין בקביעה כי המערער נכנס לצומת באור 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כן הורשע בעבירת הריגה ובעבירות הנוספות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בפסיקה כי כניסה לצומת על ידי רכב בניגוד לרמזור אדום מלמדת על מודעות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שעשויה לבסס את המסקנה כי תאונת דרכים שנגרמה מכך עונה על עבירת ההריגה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המחלוקת בעניין ההרשעה בעבירה זו נסובה סביב צבע הרמזור שהוצב בפני המערער טרם נכנס לצומת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במסקנה המשפטית הנגזרת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גם דין הערעור על גזר הדין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שלושה כללים מנחים בעבירות של גרימת מוות בתאונת דרכים 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יש להחמיר נוכח עיקרון קדושת החיים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הקובע הוא דרגת האשמה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השלישי כי הנסיבות האישיות של הנהג מתגמדות לנוכח התוצאה הקטלנית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כשם שיש להחמיר יותר בעבירת גרם מוות ברשלנות בה דרגת הרשלנות גבוהה לעומת מצב בו דרגת הרשלנות נמוכה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יש להחמיר בהרשעה בעבירת הריגה בגרימת תאונה קטלנית לעומת עבירה של גרימת מוות ברשלנות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מבחינה פורמאלית הוזכר כי העונש המרבי בגין עבירה של גרימת מוות ברשלנות הוא שלוש 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ואילו העונש המקסימאלי בעבירת הריגה הוא עשרים 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הפער במספר משקף את השוני במהות של שתי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ההריגה מאופיינת במודעות לעומת עבירת גרימת מוות ברשלנות שמגלמת בתוכה חוסר מודעות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בעבירת הריגה קיימת סוג של החלטה במודע להתעלם מהסיכון שנובע מהיות הרכב כלי קטלני תוך יצירת סיכון ברבים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מדובר בפרשה בה קופחו חיי אדם ונפצעו </w:t>
      </w:r>
      <w:r>
        <w:rPr>
          <w:rFonts w:cs="Times New Roman" w:ascii="Times New Roman" w:hAnsi="Times New Roman"/>
          <w:spacing w:val="0"/>
          <w:szCs w:val="26"/>
        </w:rPr>
        <w:t>27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אי ציות לחוקי התנועה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כניסה לצומת באור 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רמזור התנועה הינו מעמודי התווך של הסדרת התנועה בכבישים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והציות לו הינו הכרחי לשמירה על חיי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כמובן המערער לא רצה בתוצאה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בראש ובראשונה ניצבת הפגיעה בחיי אדם והרי כל אדם עולם מלא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אלה עונש מחמיר הוא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הפעלת שיקול דעת לסוג המקרה והמחדל בנהיגה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בראיה זו שיעור עונש המאסר בפועל אינו 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זאת אין מקום אף להתערב בתקופת הפסילה מנהיגה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מזוז מוסיף כי העבירות בהן הורשע המערער מקבלות נופך נוסף של חומרה בהתחשב בכך שמדובר בנהג של רכב ציבורי להסעת נוסעים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אחריותו לנהיגה זהירה היא כפולה ומכופלת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מונח בפנינו ערעור על פסק דינו של בית המשפט המחוזי בנצרת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54295-02-12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כבוד 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כתילי</w:t>
      </w:r>
      <w:r>
        <w:rPr>
          <w:rtl w:val="true"/>
        </w:rPr>
        <w:t xml:space="preserve">), </w:t>
      </w:r>
      <w:r>
        <w:rPr>
          <w:rtl w:val="true"/>
        </w:rPr>
        <w:t>לפיו הורשע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בעבירת הריגה תוך כדי ביצוע תאונת דרכים</w:t>
      </w:r>
      <w:r>
        <w:rPr>
          <w:rtl w:val="true"/>
        </w:rPr>
        <w:t xml:space="preserve">, </w:t>
      </w:r>
      <w:r>
        <w:rPr>
          <w:rtl w:val="true"/>
        </w:rPr>
        <w:t>ונידון לעונשי מאסר בפועל של שלושים חודש</w:t>
      </w:r>
      <w:r>
        <w:rPr>
          <w:rtl w:val="true"/>
        </w:rPr>
        <w:t xml:space="preserve">, </w:t>
      </w:r>
      <w:r>
        <w:rPr>
          <w:rtl w:val="true"/>
        </w:rPr>
        <w:t>פסילה לחמש</w:t>
      </w:r>
      <w:r>
        <w:rPr>
          <w:rtl w:val="true"/>
        </w:rPr>
        <w:t>-</w:t>
      </w:r>
      <w:r>
        <w:rPr>
          <w:rtl w:val="true"/>
        </w:rPr>
        <w:t>עשרה שנה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  <w:r>
        <w:rPr>
          <w:rtl w:val="true"/>
        </w:rPr>
        <w:t>הערעור מופנה כנגד שני חלקי פסק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התאונה הקטלנית התרחשה בשנת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 xml:space="preserve">בצומת גומא על כביש </w:t>
      </w:r>
      <w:r>
        <w:rPr/>
        <w:t>90</w:t>
      </w:r>
      <w:r>
        <w:rPr>
          <w:rtl w:val="true"/>
        </w:rPr>
        <w:t xml:space="preserve">. </w:t>
      </w:r>
      <w:r>
        <w:rPr>
          <w:rtl w:val="true"/>
        </w:rPr>
        <w:t>המערער נהג באוטובוס ובו 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נוסעים מדרום לצפון</w:t>
      </w:r>
      <w:r>
        <w:rPr>
          <w:rtl w:val="true"/>
        </w:rPr>
        <w:t xml:space="preserve">, </w:t>
      </w:r>
      <w:r>
        <w:rPr>
          <w:rtl w:val="true"/>
        </w:rPr>
        <w:t>נכנס לצומת גומא</w:t>
      </w:r>
      <w:r>
        <w:rPr>
          <w:rtl w:val="true"/>
        </w:rPr>
        <w:t xml:space="preserve">, </w:t>
      </w:r>
      <w:r>
        <w:rPr>
          <w:rtl w:val="true"/>
        </w:rPr>
        <w:t>ופגע ברכבו של המנוח זוהיר ח</w:t>
      </w:r>
      <w:r>
        <w:rPr>
          <w:rtl w:val="true"/>
        </w:rPr>
        <w:t>'</w:t>
      </w:r>
      <w:r>
        <w:rPr>
          <w:rtl w:val="true"/>
        </w:rPr>
        <w:t>לאילה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אשר נכנס לצומת ממזרח</w:t>
      </w:r>
      <w:r>
        <w:rPr>
          <w:rtl w:val="true"/>
        </w:rPr>
        <w:t xml:space="preserve">, </w:t>
      </w:r>
      <w:r>
        <w:rPr>
          <w:rtl w:val="true"/>
        </w:rPr>
        <w:t>ונהרג כתוצאה מהפגיעה</w:t>
      </w:r>
      <w:r>
        <w:rPr>
          <w:rtl w:val="true"/>
        </w:rPr>
        <w:t xml:space="preserve">. </w:t>
      </w:r>
      <w:r>
        <w:rPr>
          <w:rtl w:val="true"/>
        </w:rPr>
        <w:t xml:space="preserve">התאונה אף הביאה לפציעתם של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נהגים ונוסעים נוספים</w:t>
      </w:r>
      <w:r>
        <w:rPr>
          <w:rtl w:val="true"/>
        </w:rPr>
        <w:t xml:space="preserve">, </w:t>
      </w:r>
      <w:r>
        <w:rPr>
          <w:rtl w:val="true"/>
        </w:rPr>
        <w:t>וכן לנזקים לאוטובוס ולכלי רכב</w:t>
      </w:r>
      <w:r>
        <w:rPr>
          <w:rtl w:val="true"/>
        </w:rPr>
        <w:t xml:space="preserve">. </w:t>
      </w:r>
      <w:r>
        <w:rPr>
          <w:rtl w:val="true"/>
        </w:rPr>
        <w:t>המנוח היה נשוי ולו ארבע בנות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83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</w:rPr>
          <w:t>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הפקודה</w:t>
      </w:r>
      <w:r>
        <w:rPr>
          <w:rtl w:val="true"/>
        </w:rPr>
        <w:t xml:space="preserve">);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התקנות</w:t>
      </w:r>
      <w:r>
        <w:rPr>
          <w:rtl w:val="true"/>
        </w:rPr>
        <w:t xml:space="preserve">) </w:t>
      </w:r>
      <w:r>
        <w:rPr>
          <w:rtl w:val="true"/>
        </w:rPr>
        <w:t>ולפי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;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ושנים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נפרוש בקיצור את הראיות המרכזיות בתיק</w:t>
      </w:r>
      <w:r>
        <w:rPr>
          <w:rtl w:val="true"/>
        </w:rPr>
        <w:t xml:space="preserve">. </w:t>
      </w:r>
      <w:r>
        <w:rPr>
          <w:rtl w:val="true"/>
        </w:rPr>
        <w:t>משקל הכובד מונח בעיקר על חמישה עדי ראייה</w:t>
      </w:r>
      <w:r>
        <w:rPr>
          <w:rtl w:val="true"/>
        </w:rPr>
        <w:t xml:space="preserve">, </w:t>
      </w:r>
      <w:r>
        <w:rPr>
          <w:rtl w:val="true"/>
        </w:rPr>
        <w:t>שניים שנסעו אחרי המערער</w:t>
      </w:r>
      <w:r>
        <w:rPr>
          <w:rtl w:val="true"/>
        </w:rPr>
        <w:t xml:space="preserve">, </w:t>
      </w:r>
      <w:r>
        <w:rPr>
          <w:rtl w:val="true"/>
        </w:rPr>
        <w:t>אחד שנסע אחרי המנוח</w:t>
      </w:r>
      <w:r>
        <w:rPr>
          <w:rtl w:val="true"/>
        </w:rPr>
        <w:t xml:space="preserve">, </w:t>
      </w:r>
      <w:r>
        <w:rPr>
          <w:rtl w:val="true"/>
        </w:rPr>
        <w:t>אחד שהגיע מצפון</w:t>
      </w:r>
      <w:r>
        <w:rPr>
          <w:rtl w:val="true"/>
        </w:rPr>
        <w:t xml:space="preserve">, </w:t>
      </w:r>
      <w:r>
        <w:rPr>
          <w:rtl w:val="true"/>
        </w:rPr>
        <w:t>ואחת שנסעה באוטובוס הפוגע</w:t>
      </w:r>
      <w:r>
        <w:rPr>
          <w:rtl w:val="true"/>
        </w:rPr>
        <w:t xml:space="preserve">. </w:t>
      </w:r>
      <w:r>
        <w:rPr>
          <w:rtl w:val="true"/>
        </w:rPr>
        <w:t>העד מוריס קסלסי</w:t>
      </w:r>
      <w:r>
        <w:rPr>
          <w:rtl w:val="true"/>
        </w:rPr>
        <w:t xml:space="preserve">, </w:t>
      </w:r>
      <w:r>
        <w:rPr>
          <w:rtl w:val="true"/>
        </w:rPr>
        <w:t>אשר נסע ברכבו מאחורי רכב המנוח</w:t>
      </w:r>
      <w:r>
        <w:rPr>
          <w:rtl w:val="true"/>
        </w:rPr>
        <w:t xml:space="preserve">, </w:t>
      </w:r>
      <w:r>
        <w:rPr>
          <w:rtl w:val="true"/>
        </w:rPr>
        <w:t>העיד בבית המשפט המחוזי שכאשר הגיע לצומת האור היה אדום</w:t>
      </w:r>
      <w:r>
        <w:rPr>
          <w:rtl w:val="true"/>
        </w:rPr>
        <w:t xml:space="preserve">, </w:t>
      </w:r>
      <w:r>
        <w:rPr>
          <w:rtl w:val="true"/>
        </w:rPr>
        <w:t>ולכן נעצר והמתין מאחורי רכב המנוח</w:t>
      </w:r>
      <w:r>
        <w:rPr>
          <w:rtl w:val="true"/>
        </w:rPr>
        <w:t xml:space="preserve">, </w:t>
      </w:r>
      <w:r>
        <w:rPr>
          <w:rtl w:val="true"/>
        </w:rPr>
        <w:t>ובהמשך כשהתחלף האור לירוק נכנס המנוח לצומת ופנה שמאלה</w:t>
      </w:r>
      <w:r>
        <w:rPr>
          <w:rtl w:val="true"/>
        </w:rPr>
        <w:t>-</w:t>
      </w:r>
      <w:r>
        <w:rPr>
          <w:rtl w:val="true"/>
        </w:rPr>
        <w:t>דרומה</w:t>
      </w:r>
      <w:r>
        <w:rPr>
          <w:rtl w:val="true"/>
        </w:rPr>
        <w:t xml:space="preserve">, </w:t>
      </w:r>
      <w:r>
        <w:rPr>
          <w:rtl w:val="true"/>
        </w:rPr>
        <w:t>כאשר הוא עצמו נוסע אחריו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העדים סימוני ובוסקילה</w:t>
      </w:r>
      <w:r>
        <w:rPr>
          <w:rtl w:val="true"/>
        </w:rPr>
        <w:t xml:space="preserve">, </w:t>
      </w:r>
      <w:r>
        <w:rPr>
          <w:rtl w:val="true"/>
        </w:rPr>
        <w:t>אשר נסעו ברכבם מאחורי האוטובוס הפוגע בו נהג המערער</w:t>
      </w:r>
      <w:r>
        <w:rPr>
          <w:rtl w:val="true"/>
        </w:rPr>
        <w:t xml:space="preserve">, </w:t>
      </w:r>
      <w:r>
        <w:rPr>
          <w:rtl w:val="true"/>
        </w:rPr>
        <w:t>העידו כי ראו את האוטובוס נכנס לצומת באור אדום ופוגע ברכב המנוח</w:t>
      </w:r>
      <w:r>
        <w:rPr>
          <w:rtl w:val="true"/>
        </w:rPr>
        <w:t xml:space="preserve">. </w:t>
      </w:r>
      <w:r>
        <w:rPr>
          <w:rtl w:val="true"/>
        </w:rPr>
        <w:t>העדה מירב מימון הינה קצינה שישבה באוטובוס הפוגע במושב הרביעי שלאחר הנהג</w:t>
      </w:r>
      <w:r>
        <w:rPr>
          <w:rtl w:val="true"/>
        </w:rPr>
        <w:t xml:space="preserve">, </w:t>
      </w:r>
      <w:r>
        <w:rPr>
          <w:rtl w:val="true"/>
        </w:rPr>
        <w:t>והעידה כי האור ברמזור בכיוון הנסיעה של האוטובוס הפוגע טרם התאונה היה ירוק</w:t>
      </w:r>
      <w:r>
        <w:rPr>
          <w:rtl w:val="true"/>
        </w:rPr>
        <w:t xml:space="preserve">, </w:t>
      </w:r>
      <w:r>
        <w:rPr>
          <w:rtl w:val="true"/>
        </w:rPr>
        <w:t>באופן שעורר קושי מסוים מול עדותם של סימוני ובוסקילה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העד עמוס נקש הגיע ברכבו לצומת מכיוון צפון</w:t>
      </w:r>
      <w:r>
        <w:rPr>
          <w:rtl w:val="true"/>
        </w:rPr>
        <w:t xml:space="preserve">, </w:t>
      </w:r>
      <w:r>
        <w:rPr>
          <w:rtl w:val="true"/>
        </w:rPr>
        <w:t>תוך שבכוונתו לפנות שמאלה</w:t>
      </w:r>
      <w:r>
        <w:rPr>
          <w:rtl w:val="true"/>
        </w:rPr>
        <w:t>-</w:t>
      </w:r>
      <w:r>
        <w:rPr>
          <w:rtl w:val="true"/>
        </w:rPr>
        <w:t>מזרחה</w:t>
      </w:r>
      <w:r>
        <w:rPr>
          <w:rtl w:val="true"/>
        </w:rPr>
        <w:t xml:space="preserve">. </w:t>
      </w:r>
      <w:r>
        <w:rPr>
          <w:rtl w:val="true"/>
        </w:rPr>
        <w:t>נקש העיד שבעת שהגיע לצומת הרמזור המורה ישר היה ירוק</w:t>
      </w:r>
      <w:r>
        <w:rPr>
          <w:rtl w:val="true"/>
        </w:rPr>
        <w:t xml:space="preserve">, </w:t>
      </w:r>
      <w:r>
        <w:rPr>
          <w:rtl w:val="true"/>
        </w:rPr>
        <w:t>והרמזור המורה שמאלה בדיוק התחלף לאדום</w:t>
      </w:r>
      <w:r>
        <w:rPr>
          <w:rtl w:val="true"/>
        </w:rPr>
        <w:t xml:space="preserve">, </w:t>
      </w:r>
      <w:r>
        <w:rPr>
          <w:rtl w:val="true"/>
        </w:rPr>
        <w:t>והוא נאלץ לעצור ולהמתין</w:t>
      </w:r>
      <w:r>
        <w:rPr>
          <w:rtl w:val="true"/>
        </w:rPr>
        <w:t xml:space="preserve">. </w:t>
      </w:r>
      <w:r>
        <w:rPr>
          <w:rtl w:val="true"/>
        </w:rPr>
        <w:t>רכבו של נקש היה הראשון והקרוב ביותר לרמזור מכיוון צפון</w:t>
      </w:r>
      <w:r>
        <w:rPr>
          <w:rtl w:val="true"/>
        </w:rPr>
        <w:t xml:space="preserve">. </w:t>
      </w:r>
      <w:r>
        <w:rPr>
          <w:rtl w:val="true"/>
        </w:rPr>
        <w:t>מספר רגעים לאחר שנקש הגיע לצומת ונעצר</w:t>
      </w:r>
      <w:r>
        <w:rPr>
          <w:rtl w:val="true"/>
        </w:rPr>
        <w:t xml:space="preserve">, </w:t>
      </w:r>
      <w:r>
        <w:rPr>
          <w:rtl w:val="true"/>
        </w:rPr>
        <w:t>התרחשה התאונה</w:t>
      </w:r>
      <w:r>
        <w:rPr>
          <w:rtl w:val="true"/>
        </w:rPr>
        <w:t xml:space="preserve">. </w:t>
      </w:r>
      <w:r>
        <w:rPr>
          <w:rtl w:val="true"/>
        </w:rPr>
        <w:t>מתוך חמשת העדים</w:t>
      </w:r>
      <w:r>
        <w:rPr>
          <w:rtl w:val="true"/>
        </w:rPr>
        <w:t xml:space="preserve">, </w:t>
      </w:r>
      <w:r>
        <w:rPr>
          <w:rtl w:val="true"/>
        </w:rPr>
        <w:t>הוענק משקל רב בהכרעת הדין המרשיעה לעדים קסלסי</w:t>
      </w:r>
      <w:r>
        <w:rPr>
          <w:rtl w:val="true"/>
        </w:rPr>
        <w:t xml:space="preserve">, </w:t>
      </w:r>
      <w:r>
        <w:rPr>
          <w:rtl w:val="true"/>
        </w:rPr>
        <w:t>סימוני ובוסקילה ומשקל פחות לעדים נקש ומימון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 המערער הינן עובדתיות בעיקרן</w:t>
      </w:r>
      <w:r>
        <w:rPr>
          <w:rtl w:val="true"/>
        </w:rPr>
        <w:t xml:space="preserve">, </w:t>
      </w:r>
      <w:r>
        <w:rPr>
          <w:rtl w:val="true"/>
        </w:rPr>
        <w:t>כאשר המרכזיות עוסקות בעדותו של נקש ובעדותה של מימון</w:t>
      </w:r>
      <w:r>
        <w:rPr>
          <w:rtl w:val="true"/>
        </w:rPr>
        <w:t xml:space="preserve">. </w:t>
      </w:r>
      <w:r>
        <w:rPr>
          <w:rtl w:val="true"/>
        </w:rPr>
        <w:t>המערער טוען כי עדת הראייה המרכזית מטעם ההגנה</w:t>
      </w:r>
      <w:r>
        <w:rPr>
          <w:rtl w:val="true"/>
        </w:rPr>
        <w:t xml:space="preserve">, </w:t>
      </w:r>
      <w:r>
        <w:rPr>
          <w:rtl w:val="true"/>
        </w:rPr>
        <w:t>מימון שנסעה באוטובוס הפוגע</w:t>
      </w:r>
      <w:r>
        <w:rPr>
          <w:rtl w:val="true"/>
        </w:rPr>
        <w:t xml:space="preserve">, </w:t>
      </w:r>
      <w:r>
        <w:rPr>
          <w:rtl w:val="true"/>
        </w:rPr>
        <w:t>לא נחקרה על ידי בוחן התנועה</w:t>
      </w:r>
      <w:r>
        <w:rPr>
          <w:rtl w:val="true"/>
        </w:rPr>
        <w:t xml:space="preserve">, </w:t>
      </w:r>
      <w:r>
        <w:rPr>
          <w:rtl w:val="true"/>
        </w:rPr>
        <w:t>באופן שמסקנות הדו</w:t>
      </w:r>
      <w:r>
        <w:rPr>
          <w:rtl w:val="true"/>
        </w:rPr>
        <w:t>"</w:t>
      </w:r>
      <w:r>
        <w:rPr>
          <w:rtl w:val="true"/>
        </w:rPr>
        <w:t>ח לא התחשבו בעדותה שנמסרה לאחר סיכום 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בנוסף נטען כי בית משפט קמא השלים פרטים בעדותה</w:t>
      </w:r>
      <w:r>
        <w:rPr>
          <w:rtl w:val="true"/>
        </w:rPr>
        <w:t xml:space="preserve">, </w:t>
      </w:r>
      <w:r>
        <w:rPr>
          <w:rtl w:val="true"/>
        </w:rPr>
        <w:t>וכן בעדותו של נקש אשר הגיע עם רכבו מכיוון צפון</w:t>
      </w:r>
      <w:r>
        <w:rPr>
          <w:rtl w:val="true"/>
        </w:rPr>
        <w:t xml:space="preserve">. </w:t>
      </w:r>
      <w:r>
        <w:rPr>
          <w:rtl w:val="true"/>
        </w:rPr>
        <w:t>בנוגע לעדותו של נקש</w:t>
      </w:r>
      <w:r>
        <w:rPr>
          <w:rtl w:val="true"/>
        </w:rPr>
        <w:t xml:space="preserve">, </w:t>
      </w:r>
      <w:r>
        <w:rPr>
          <w:rtl w:val="true"/>
        </w:rPr>
        <w:t>טוען המערער כי היא מצביעה על כך שהוא לא עבר באדום את הצומת</w:t>
      </w:r>
      <w:r>
        <w:rPr>
          <w:rtl w:val="true"/>
        </w:rPr>
        <w:t xml:space="preserve">, </w:t>
      </w:r>
      <w:r>
        <w:rPr>
          <w:rtl w:val="true"/>
        </w:rPr>
        <w:t>בניגוד לקביעת בית משפט 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שבעקבותיה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האוטובוס</w:t>
      </w:r>
      <w:r>
        <w:rPr>
          <w:rtl w:val="true"/>
        </w:rPr>
        <w:t xml:space="preserve">, </w:t>
      </w:r>
      <w:r>
        <w:rPr>
          <w:rtl w:val="true"/>
        </w:rPr>
        <w:t>מידותיו</w:t>
      </w:r>
      <w:r>
        <w:rPr>
          <w:rtl w:val="true"/>
        </w:rPr>
        <w:t xml:space="preserve">, </w:t>
      </w:r>
      <w:r>
        <w:rPr>
          <w:rtl w:val="true"/>
        </w:rPr>
        <w:t>ומיקומו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תקינותם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הרמזורים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ובוסקילה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קסלסי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בשפתו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תיעוד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הסתייגויותיו של המערער בעיקרן מופנות כאמור במישור העובדתי כלפי הקביעה שעבר את הצומת באור אדום</w:t>
      </w:r>
      <w:r>
        <w:rPr>
          <w:rtl w:val="true"/>
        </w:rPr>
        <w:t xml:space="preserve">. </w:t>
      </w:r>
      <w:r>
        <w:rPr>
          <w:rtl w:val="true"/>
        </w:rPr>
        <w:t>כלל מושרש הוא שערכאת הערעור לא תתערב בממצאיה העובדתיים של הערכאה הדיונית</w:t>
      </w:r>
      <w:r>
        <w:rPr>
          <w:rtl w:val="true"/>
        </w:rPr>
        <w:t xml:space="preserve">, </w:t>
      </w:r>
      <w:r>
        <w:rPr>
          <w:rtl w:val="true"/>
        </w:rPr>
        <w:t>אשר לאחרונה היתרון בשל יכולתה להתרשם באופן בלתי אמצעי מהעדויות ומהחומר הראייתי</w:t>
      </w:r>
      <w:r>
        <w:rPr>
          <w:rtl w:val="true"/>
        </w:rPr>
        <w:t xml:space="preserve">. </w:t>
      </w:r>
      <w:r>
        <w:rPr>
          <w:rtl w:val="true"/>
        </w:rPr>
        <w:t>כלל זה עומד זקוף יותר במצב בו הערכאה הדיונית בחנה את הראיות ביסודיות</w:t>
      </w:r>
      <w:r>
        <w:rPr>
          <w:rtl w:val="true"/>
        </w:rPr>
        <w:t xml:space="preserve">, </w:t>
      </w:r>
      <w:r>
        <w:rPr>
          <w:rtl w:val="true"/>
        </w:rPr>
        <w:t xml:space="preserve">תוך העמקה ומתן ביטוי לכך בפסק דינה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281/82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חצירא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673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1983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8191/08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גבארה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24.5.2010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גבארה</w:t>
      </w:r>
      <w:r>
        <w:rPr>
          <w:rtl w:val="true"/>
        </w:rPr>
        <w:t xml:space="preserve">)). </w:t>
      </w:r>
      <w:r>
        <w:rPr>
          <w:rtl w:val="true"/>
        </w:rPr>
        <w:t>בענייננו בית המשפט המחוזי בחן היטב את טענות המערער וחלק מהטענות העובדתיות שהעלה המערער אף אינן הכרחיות לצורך ההכרעה</w:t>
      </w:r>
      <w:r>
        <w:rPr>
          <w:rtl w:val="true"/>
        </w:rPr>
        <w:t xml:space="preserve">. </w:t>
      </w:r>
      <w:r>
        <w:rPr>
          <w:rtl w:val="true"/>
        </w:rPr>
        <w:t>כך למשל הטענה בדבר הפגמים בחקירת המערער אינה מהותית</w:t>
      </w:r>
      <w:r>
        <w:rPr>
          <w:rtl w:val="true"/>
        </w:rPr>
        <w:t xml:space="preserve">, </w:t>
      </w:r>
      <w:r>
        <w:rPr>
          <w:rtl w:val="true"/>
        </w:rPr>
        <w:t>שכן דבריו של המערער בחקירתו לא היוו נדבך משמעותי בהרשעתו</w:t>
      </w:r>
      <w:r>
        <w:rPr>
          <w:rtl w:val="true"/>
        </w:rPr>
        <w:t xml:space="preserve">. </w:t>
      </w:r>
      <w:r>
        <w:rPr>
          <w:rtl w:val="true"/>
        </w:rPr>
        <w:t>באופן דומה</w:t>
      </w:r>
      <w:r>
        <w:rPr>
          <w:rtl w:val="true"/>
        </w:rPr>
        <w:t xml:space="preserve">, </w:t>
      </w:r>
      <w:r>
        <w:rPr>
          <w:rtl w:val="true"/>
        </w:rPr>
        <w:t>הטענה בדבר אי מיצוי חקירת בוחן התנועה והחסרים שנפלו בה לא הייתה משנה את התוצאה אף אם הייתה מתקבלת</w:t>
      </w:r>
      <w:r>
        <w:rPr>
          <w:rtl w:val="true"/>
        </w:rPr>
        <w:t xml:space="preserve">, </w:t>
      </w:r>
      <w:r>
        <w:rPr>
          <w:rtl w:val="true"/>
        </w:rPr>
        <w:t>שכן ההרשעה התבססה בעיקרה על עדויות הראייה</w:t>
      </w:r>
      <w:r>
        <w:rPr>
          <w:rtl w:val="true"/>
        </w:rPr>
        <w:t xml:space="preserve">. </w:t>
      </w:r>
      <w:r>
        <w:rPr>
          <w:rtl w:val="true"/>
        </w:rPr>
        <w:t>יובהר כי לא התרשמתי שבדו</w:t>
      </w:r>
      <w:r>
        <w:rPr>
          <w:rtl w:val="true"/>
        </w:rPr>
        <w:t>"</w:t>
      </w:r>
      <w:r>
        <w:rPr>
          <w:rtl w:val="true"/>
        </w:rPr>
        <w:t>ח בוחן התנועה נפלו פגמים או חסרים שהיו הכרחיים לצורך ההכרעה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אין תשתית ראייתית התומכת באי</w:t>
      </w:r>
      <w:r>
        <w:rPr>
          <w:rtl w:val="true"/>
        </w:rPr>
        <w:t>-</w:t>
      </w:r>
      <w:r>
        <w:rPr>
          <w:rtl w:val="true"/>
        </w:rPr>
        <w:t>בתקינות הרמזורים</w:t>
      </w:r>
      <w:r>
        <w:rPr>
          <w:rtl w:val="true"/>
        </w:rPr>
        <w:t xml:space="preserve">. </w:t>
      </w:r>
      <w:r>
        <w:rPr>
          <w:rtl w:val="true"/>
        </w:rPr>
        <w:t>עדויות בוחן התנועה</w:t>
      </w:r>
      <w:r>
        <w:rPr>
          <w:rtl w:val="true"/>
        </w:rPr>
        <w:t xml:space="preserve">, </w:t>
      </w:r>
      <w:r>
        <w:rPr>
          <w:rtl w:val="true"/>
        </w:rPr>
        <w:t>ועובד חברת בקרת התנועה</w:t>
      </w:r>
      <w:r>
        <w:rPr>
          <w:rtl w:val="true"/>
        </w:rPr>
        <w:t xml:space="preserve">, </w:t>
      </w:r>
      <w:r>
        <w:rPr>
          <w:rtl w:val="true"/>
        </w:rPr>
        <w:t>מבססות היטב את הממצא העובדתי לפיו הרמזורים פעלו כנדרש בזמן התאונה</w:t>
      </w:r>
      <w:r>
        <w:rPr>
          <w:rtl w:val="true"/>
        </w:rPr>
        <w:t xml:space="preserve">. </w:t>
      </w:r>
      <w:r>
        <w:rPr>
          <w:rtl w:val="true"/>
        </w:rPr>
        <w:t>אשר לעדויות המרכזיות של סימוני ובוסקילה</w:t>
      </w:r>
      <w:r>
        <w:rPr>
          <w:rtl w:val="true"/>
        </w:rPr>
        <w:t xml:space="preserve">, </w:t>
      </w:r>
      <w:r>
        <w:rPr>
          <w:rtl w:val="true"/>
        </w:rPr>
        <w:t>המערער לא הניח תשתית לפיה לא היה ניתן להבחין ממיקומם ברמזור בשל גובה האוטובוס שחסם את שדה הראיה</w:t>
      </w:r>
      <w:r>
        <w:rPr>
          <w:rtl w:val="true"/>
        </w:rPr>
        <w:t xml:space="preserve">. </w:t>
      </w:r>
      <w:r>
        <w:rPr>
          <w:rtl w:val="true"/>
        </w:rPr>
        <w:t>ביחס לקסלסי</w:t>
      </w:r>
      <w:r>
        <w:rPr>
          <w:rtl w:val="true"/>
        </w:rPr>
        <w:t xml:space="preserve">, </w:t>
      </w:r>
      <w:r>
        <w:rPr>
          <w:rtl w:val="true"/>
        </w:rPr>
        <w:t>אף אם יש שוני מסוים בין גרסתו שנמסרה מיד אחרי התאונה ובין גרסתו המאוחרת</w:t>
      </w:r>
      <w:r>
        <w:rPr>
          <w:rtl w:val="true"/>
        </w:rPr>
        <w:t xml:space="preserve">, </w:t>
      </w:r>
      <w:r>
        <w:rPr>
          <w:rtl w:val="true"/>
        </w:rPr>
        <w:t>הרי לא מדובר בהבדל בעל משמעות להכרעה</w:t>
      </w:r>
      <w:r>
        <w:rPr>
          <w:rtl w:val="true"/>
        </w:rPr>
        <w:t xml:space="preserve">, </w:t>
      </w:r>
      <w:r>
        <w:rPr>
          <w:rtl w:val="true"/>
        </w:rPr>
        <w:t>שכן בשתי הגרסאות העיד קסלסי שהמנוח נכנס לצומת באור ירוק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להשלמת התמונה אתייחס בקצרה להסתייגויות המערער המרכזיות בנוגע לעדויות נקש ומימון</w:t>
      </w:r>
      <w:r>
        <w:rPr>
          <w:rtl w:val="true"/>
        </w:rPr>
        <w:t xml:space="preserve">. </w:t>
      </w:r>
      <w:r>
        <w:rPr>
          <w:rtl w:val="true"/>
        </w:rPr>
        <w:t>לגישת המערער עדויות אלו הן המפתח לקביעה כי נכנס אל הצומת בירוק</w:t>
      </w:r>
      <w:r>
        <w:rPr>
          <w:rtl w:val="true"/>
        </w:rPr>
        <w:t xml:space="preserve">, </w:t>
      </w:r>
      <w:r>
        <w:rPr>
          <w:rtl w:val="true"/>
        </w:rPr>
        <w:t>ועתירתו לזכותו בהתאם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נקש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נקש נהג ברכב שנסע בכביש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מצפון לדרום</w:t>
      </w:r>
      <w:r>
        <w:rPr>
          <w:rtl w:val="true"/>
        </w:rPr>
        <w:t xml:space="preserve">, </w:t>
      </w:r>
      <w:r>
        <w:rPr>
          <w:rtl w:val="true"/>
        </w:rPr>
        <w:t>והתכוון לפנות שמאלה ומזרחה בצומת גומא בה התרחשה התאונה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כשהגיע מכיוון צפון לצומת ראה שהאור ברמזור הפניה שמאלה הינו ירוק מהבהב</w:t>
      </w:r>
      <w:r>
        <w:rPr>
          <w:rtl w:val="true"/>
        </w:rPr>
        <w:t xml:space="preserve">, </w:t>
      </w:r>
      <w:r>
        <w:rPr>
          <w:rtl w:val="true"/>
        </w:rPr>
        <w:t>שהתחלף לצהוב ולאדום ולכן עצר והמתין</w:t>
      </w:r>
      <w:r>
        <w:rPr>
          <w:rtl w:val="true"/>
        </w:rPr>
        <w:t xml:space="preserve">. </w:t>
      </w:r>
      <w:r>
        <w:rPr>
          <w:rtl w:val="true"/>
        </w:rPr>
        <w:t>בזמן שהגיע לצומת הבחין שהאור ברמזור השייך לנתיב שממשיך ישר דרומה הינו ירוק</w:t>
      </w:r>
      <w:r>
        <w:rPr>
          <w:rtl w:val="true"/>
        </w:rPr>
        <w:t xml:space="preserve">. </w:t>
      </w:r>
      <w:r>
        <w:rPr>
          <w:rtl w:val="true"/>
        </w:rPr>
        <w:t>לאחר מספר רגעים של המתנה התרחשה התאונה</w:t>
      </w:r>
      <w:r>
        <w:rPr>
          <w:rtl w:val="true"/>
        </w:rPr>
        <w:t xml:space="preserve">, </w:t>
      </w:r>
      <w:r>
        <w:rPr>
          <w:rtl w:val="true"/>
        </w:rPr>
        <w:t>הוא שמע חבטה והבחין ברכבו של המנוח נזרק לכיוונו</w:t>
      </w:r>
      <w:r>
        <w:rPr>
          <w:rtl w:val="true"/>
        </w:rPr>
        <w:t xml:space="preserve">. </w:t>
      </w:r>
      <w:r>
        <w:rPr>
          <w:rtl w:val="true"/>
        </w:rPr>
        <w:t>ההגנה נסמכה על עדותו של נקש</w:t>
      </w:r>
      <w:r>
        <w:rPr>
          <w:rtl w:val="true"/>
        </w:rPr>
        <w:t xml:space="preserve">, </w:t>
      </w:r>
      <w:r>
        <w:rPr>
          <w:rtl w:val="true"/>
        </w:rPr>
        <w:t>ועל תכנית הרמזורים לפיה לנתיבים צפון</w:t>
      </w:r>
      <w:r>
        <w:rPr>
          <w:rtl w:val="true"/>
        </w:rPr>
        <w:t>-</w:t>
      </w:r>
      <w:r>
        <w:rPr>
          <w:rtl w:val="true"/>
        </w:rPr>
        <w:t>דרום ודרום</w:t>
      </w:r>
      <w:r>
        <w:rPr>
          <w:rtl w:val="true"/>
        </w:rPr>
        <w:t>-</w:t>
      </w:r>
      <w:r>
        <w:rPr>
          <w:rtl w:val="true"/>
        </w:rPr>
        <w:t xml:space="preserve">צפון יש אור ירוק משותף למשך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. </w:t>
      </w:r>
      <w:r>
        <w:rPr>
          <w:rtl w:val="true"/>
        </w:rPr>
        <w:t>על פי קו ההגנה</w:t>
      </w:r>
      <w:r>
        <w:rPr>
          <w:rtl w:val="true"/>
        </w:rPr>
        <w:t xml:space="preserve">, </w:t>
      </w:r>
      <w:r>
        <w:rPr>
          <w:rtl w:val="true"/>
        </w:rPr>
        <w:t xml:space="preserve">לאחר תום אותן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>האור ברמזור בנתיב צפון</w:t>
      </w:r>
      <w:r>
        <w:rPr>
          <w:rtl w:val="true"/>
        </w:rPr>
        <w:t>-</w:t>
      </w:r>
      <w:r>
        <w:rPr>
          <w:rtl w:val="true"/>
        </w:rPr>
        <w:t>דרום הופך לאדום</w:t>
      </w:r>
      <w:r>
        <w:rPr>
          <w:rtl w:val="true"/>
        </w:rPr>
        <w:t xml:space="preserve">, </w:t>
      </w:r>
      <w:r>
        <w:rPr>
          <w:rtl w:val="true"/>
        </w:rPr>
        <w:t>והאור בנתיב מזרח</w:t>
      </w:r>
      <w:r>
        <w:rPr>
          <w:rtl w:val="true"/>
        </w:rPr>
        <w:t>-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נתיב נסיעת המנוח</w:t>
      </w:r>
      <w:r>
        <w:rPr>
          <w:rtl w:val="true"/>
        </w:rPr>
        <w:t xml:space="preserve">, </w:t>
      </w:r>
      <w:r>
        <w:rPr>
          <w:rtl w:val="true"/>
        </w:rPr>
        <w:t>הופך לירוק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באדום</w:t>
      </w:r>
      <w:r>
        <w:rPr>
          <w:rtl w:val="true"/>
        </w:rPr>
        <w:t xml:space="preserve">, </w:t>
      </w:r>
      <w:r>
        <w:rPr>
          <w:rtl w:val="true"/>
        </w:rPr>
        <w:t>נחלק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נקש</w:t>
      </w:r>
      <w:r>
        <w:rPr>
          <w:rtl w:val="true"/>
        </w:rPr>
        <w:t xml:space="preserve">) </w:t>
      </w:r>
      <w:r>
        <w:rPr>
          <w:rtl w:val="true"/>
        </w:rPr>
        <w:t>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, </w:t>
      </w:r>
      <w:r>
        <w:rPr>
          <w:rtl w:val="true"/>
        </w:rPr>
        <w:t>הרמזור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נקש</w:t>
      </w:r>
      <w:r>
        <w:rPr>
          <w:rtl w:val="true"/>
        </w:rPr>
        <w:t xml:space="preserve">)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והרמזור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tl w:val="true"/>
        </w:rPr>
      </w:r>
    </w:p>
    <w:p>
      <w:pPr>
        <w:pStyle w:val="Ruller41"/>
        <w:ind w:start="720"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. </w:t>
        <w:tab/>
      </w:r>
      <w:r>
        <w:rPr>
          <w:rtl w:val="true"/>
        </w:rPr>
        <w:t>אומנם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tl w:val="true"/>
        </w:rPr>
        <w:t xml:space="preserve">, </w:t>
      </w:r>
      <w:r>
        <w:rPr>
          <w:rtl w:val="true"/>
        </w:rPr>
        <w:t>הרמזור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 xml:space="preserve">, </w:t>
      </w:r>
      <w:r>
        <w:rPr>
          <w:rtl w:val="true"/>
        </w:rPr>
        <w:t>הרלוונטי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ללהבות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הבשן</w:t>
      </w:r>
      <w:r>
        <w:rPr>
          <w:rtl w:val="true"/>
        </w:rPr>
        <w:t xml:space="preserve">. </w:t>
      </w:r>
      <w:r>
        <w:rPr>
          <w:rtl w:val="true"/>
        </w:rPr>
        <w:t>בצומת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לצהוב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צריך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שמאלה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התמקדתי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ברמזור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שמאלה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חבטה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49-50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נקש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</w:t>
      </w:r>
      <w:r>
        <w:rPr>
          <w:rtl w:val="true"/>
        </w:rPr>
        <w:t xml:space="preserve">. </w:t>
      </w:r>
      <w:r>
        <w:rPr>
          <w:rtl w:val="true"/>
        </w:rPr>
        <w:t>נקש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>-</w:t>
      </w:r>
      <w:r>
        <w:rPr>
          <w:rtl w:val="true"/>
        </w:rPr>
        <w:t>מזרחה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להתחלפות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מעבר להתרשמותו של בית המשפט המחוזי מהעדים הוא הוסיף כי קו ההגנה אינו תואם את נסיבות המקרה</w:t>
      </w:r>
      <w:r>
        <w:rPr>
          <w:rtl w:val="true"/>
        </w:rPr>
        <w:t xml:space="preserve">. </w:t>
      </w:r>
      <w:r>
        <w:rPr>
          <w:rtl w:val="true"/>
        </w:rPr>
        <w:t>כדבריו</w:t>
      </w:r>
      <w:r>
        <w:rPr>
          <w:rtl w:val="true"/>
        </w:rPr>
        <w:t xml:space="preserve">: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הצומת</w:t>
      </w:r>
      <w:r>
        <w:rPr>
          <w:rtl w:val="true"/>
        </w:rPr>
        <w:t xml:space="preserve">, </w:t>
      </w:r>
      <w:r>
        <w:rPr>
          <w:rtl w:val="true"/>
        </w:rPr>
        <w:t>משמעה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וקסלסי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מקעקעת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)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דהיינו עדותו של נקש אינה מובילה לקבלת המסקנה כי המערער נכנס לצומת בירוק</w:t>
      </w:r>
      <w:r>
        <w:rPr>
          <w:rtl w:val="true"/>
        </w:rPr>
        <w:t xml:space="preserve">, </w:t>
      </w:r>
      <w:r>
        <w:rPr>
          <w:rtl w:val="true"/>
        </w:rPr>
        <w:t>אלא אך תואמת ומחזקת את הממצא ההפוך לפיו הוא נכנס באור אדום</w:t>
      </w:r>
      <w:r>
        <w:rPr>
          <w:rtl w:val="true"/>
        </w:rPr>
        <w:t xml:space="preserve">. </w:t>
      </w:r>
      <w:r>
        <w:rPr>
          <w:rtl w:val="true"/>
        </w:rPr>
        <w:t>לכך נוספת עדותו של קסלסי לפיה המנוח נכנס לצומת באור ירוק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מימון</w:t>
      </w:r>
    </w:p>
    <w:p>
      <w:pPr>
        <w:pStyle w:val="Ruller41"/>
        <w:ind w:end="0"/>
        <w:jc w:val="both"/>
        <w:rPr>
          <w:rFonts w:ascii="Times New Roman" w:hAnsi="Times New Roman" w:cs="Times New Roman"/>
          <w:b/>
          <w:spacing w:val="0"/>
          <w:szCs w:val="24"/>
        </w:rPr>
      </w:pPr>
      <w:r>
        <w:rPr>
          <w:rFonts w:cs="Times New Roman" w:ascii="Times New Roman" w:hAnsi="Times New Roman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מימון ישבה באוטובוס הפוגע במושב הרביעי שלאחר הנהג</w:t>
      </w:r>
      <w:r>
        <w:rPr>
          <w:rtl w:val="true"/>
        </w:rPr>
        <w:t xml:space="preserve">, </w:t>
      </w:r>
      <w:r>
        <w:rPr>
          <w:rtl w:val="true"/>
        </w:rPr>
        <w:t>ועדותה נגבתה על ידי חוקר מצ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על פי עדותה</w:t>
      </w:r>
      <w:r>
        <w:rPr>
          <w:rtl w:val="true"/>
        </w:rPr>
        <w:t xml:space="preserve">, </w:t>
      </w:r>
      <w:r>
        <w:rPr>
          <w:rtl w:val="true"/>
        </w:rPr>
        <w:t>האור שהופיע ברמזור בכיוון הנסיעה של האוטובוס</w:t>
      </w:r>
      <w:r>
        <w:rPr>
          <w:rtl w:val="true"/>
        </w:rPr>
        <w:t xml:space="preserve">, </w:t>
      </w:r>
      <w:r>
        <w:rPr>
          <w:rtl w:val="true"/>
        </w:rPr>
        <w:t>טרם התאונה</w:t>
      </w:r>
      <w:r>
        <w:rPr>
          <w:rtl w:val="true"/>
        </w:rPr>
        <w:t xml:space="preserve">, </w:t>
      </w:r>
      <w:r>
        <w:rPr>
          <w:rtl w:val="true"/>
        </w:rPr>
        <w:t>היה ירוק</w:t>
      </w:r>
      <w:r>
        <w:rPr>
          <w:rtl w:val="true"/>
        </w:rPr>
        <w:t xml:space="preserve">. </w:t>
      </w:r>
      <w:r>
        <w:rPr>
          <w:rtl w:val="true"/>
        </w:rPr>
        <w:t>המערער טוען כי העובדה שבוחן התנועה לא חקר בעצמו את הקצינה באופן מקצועי יותר</w:t>
      </w:r>
      <w:r>
        <w:rPr>
          <w:rtl w:val="true"/>
        </w:rPr>
        <w:t xml:space="preserve">, </w:t>
      </w:r>
      <w:r>
        <w:rPr>
          <w:rtl w:val="true"/>
        </w:rPr>
        <w:t>פגעה קשות בהגנת המערער</w:t>
      </w:r>
      <w:r>
        <w:rPr>
          <w:rtl w:val="true"/>
        </w:rPr>
        <w:t xml:space="preserve">, </w:t>
      </w:r>
      <w:r>
        <w:rPr>
          <w:rtl w:val="true"/>
        </w:rPr>
        <w:t>כך גם העובדה שלא ביצע עמה בעצמו ניסוי לבדיקת שדה הראייה</w:t>
      </w:r>
      <w:r>
        <w:rPr>
          <w:rtl w:val="true"/>
        </w:rPr>
        <w:t xml:space="preserve">. </w:t>
      </w:r>
      <w:r>
        <w:rPr>
          <w:rtl w:val="true"/>
        </w:rPr>
        <w:t>ביחס לקביעת בית המשפט קמא כי ניסוי הראייה שנערך מטעם ההגנה אינו מספק</w:t>
      </w:r>
      <w:r>
        <w:rPr>
          <w:rtl w:val="true"/>
        </w:rPr>
        <w:t xml:space="preserve">, </w:t>
      </w:r>
      <w:r>
        <w:rPr>
          <w:rtl w:val="true"/>
        </w:rPr>
        <w:t>טוען המערער כי היה זה תפקידו של בוחן התנועה לערוך את ניסוי שדה הראייה</w:t>
      </w:r>
      <w:r>
        <w:rPr>
          <w:rtl w:val="true"/>
        </w:rPr>
        <w:t xml:space="preserve">, </w:t>
      </w:r>
      <w:r>
        <w:rPr>
          <w:rtl w:val="true"/>
        </w:rPr>
        <w:t>וכי אין להטיל אחריות זו על כתפי ההגנה</w:t>
      </w:r>
      <w:r>
        <w:rPr>
          <w:rtl w:val="true"/>
        </w:rPr>
        <w:t xml:space="preserve">, </w:t>
      </w:r>
      <w:r>
        <w:rPr>
          <w:rtl w:val="true"/>
        </w:rPr>
        <w:t>שכן יכולתה לערוך ניסוי זה באופן מושלם מוגבלת יותר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מקובלות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מיקומיהם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בהתחלפות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קסלסי</w:t>
      </w:r>
      <w:r>
        <w:rPr>
          <w:rtl w:val="true"/>
        </w:rPr>
        <w:t xml:space="preserve">, </w:t>
      </w:r>
      <w:r>
        <w:rPr>
          <w:rtl w:val="true"/>
        </w:rPr>
        <w:t>סימוני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ובוסקילה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ירוק</w:t>
      </w:r>
      <w:r>
        <w:rPr>
          <w:rtl w:val="true"/>
        </w:rPr>
        <w:t xml:space="preserve">, </w:t>
      </w:r>
      <w:r>
        <w:rPr>
          <w:rtl w:val="true"/>
        </w:rPr>
        <w:t>והאור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הכרעת דינו של בית המשפט המחוזי מנומקת</w:t>
      </w:r>
      <w:r>
        <w:rPr>
          <w:rtl w:val="true"/>
        </w:rPr>
        <w:t xml:space="preserve">, </w:t>
      </w:r>
      <w:r>
        <w:rPr>
          <w:rtl w:val="true"/>
        </w:rPr>
        <w:t>מתייחסת לעדים הרלוונטיים ובנויה על התרשמות ישירה על ידי עדים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לא נפלה טעות בדין בקביעה כי המערער נכנס לצומת באור אדום</w:t>
      </w:r>
      <w:r>
        <w:rPr>
          <w:rtl w:val="true"/>
        </w:rPr>
        <w:t xml:space="preserve">, </w:t>
      </w:r>
      <w:r>
        <w:rPr>
          <w:rtl w:val="true"/>
        </w:rPr>
        <w:t>ועל כן הורשע בעבירת הריגה ובעבירות הנוספות</w:t>
      </w:r>
      <w:r>
        <w:rPr>
          <w:rtl w:val="true"/>
        </w:rPr>
        <w:t xml:space="preserve">. </w:t>
      </w:r>
      <w:r>
        <w:rPr>
          <w:rtl w:val="true"/>
        </w:rPr>
        <w:t>נקבע בפסיקה כי כניסה לצומת על ידי רכב בניגוד לרמזור אדום מלמדת על מודעות</w:t>
      </w:r>
      <w:r>
        <w:rPr>
          <w:rtl w:val="true"/>
        </w:rPr>
        <w:t xml:space="preserve">, </w:t>
      </w:r>
      <w:r>
        <w:rPr>
          <w:rtl w:val="true"/>
        </w:rPr>
        <w:t>שעשויה לבסס את המסקנה כי תאונת דרכים שנגרמה מכך עונה על עבירת ההריגה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המחלוקת בעניין ההרשעה בעבירה זו נסובה סביב צבע הרמזור שהוצב בפני המערער טרם נכנס לצומת</w:t>
      </w:r>
      <w:r>
        <w:rPr>
          <w:rtl w:val="true"/>
        </w:rPr>
        <w:t xml:space="preserve">, </w:t>
      </w:r>
      <w:r>
        <w:rPr>
          <w:rtl w:val="true"/>
        </w:rPr>
        <w:t>ולא במסקנה המשפטית הנגזרת מכך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cs="Miriam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לחלופין המערער מבקש</w:t>
      </w:r>
      <w:r>
        <w:rPr>
          <w:rtl w:val="true"/>
        </w:rPr>
        <w:t xml:space="preserve">, </w:t>
      </w:r>
      <w:r>
        <w:rPr>
          <w:rtl w:val="true"/>
        </w:rPr>
        <w:t>מבלי להרחיב בטיעוניו</w:t>
      </w:r>
      <w:r>
        <w:rPr>
          <w:rtl w:val="true"/>
        </w:rPr>
        <w:t xml:space="preserve">, </w:t>
      </w:r>
      <w:r>
        <w:rPr>
          <w:rtl w:val="true"/>
        </w:rPr>
        <w:t>להקל בגזר דינו בדרך שתקופת המאסר תקוצר באופן משמעותי כך שירוצה בעבודות שירות</w:t>
      </w:r>
      <w:r>
        <w:rPr>
          <w:rtl w:val="true"/>
        </w:rPr>
        <w:t xml:space="preserve">. </w:t>
      </w:r>
      <w:r>
        <w:rPr>
          <w:rtl w:val="true"/>
        </w:rPr>
        <w:t>עוד מבקש המערער כי תקוצר תקופת פסילת רישיון הנהיגה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.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מאופיינת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שמגלמת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ברבים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בל נשכח</w:t>
      </w:r>
      <w:r>
        <w:rPr>
          <w:rtl w:val="true"/>
        </w:rPr>
        <w:t xml:space="preserve">, </w:t>
      </w:r>
      <w:r>
        <w:rPr>
          <w:rtl w:val="true"/>
        </w:rPr>
        <w:t>מלחמה לנו בדרכים</w:t>
      </w:r>
      <w:r>
        <w:rPr>
          <w:rtl w:val="true"/>
        </w:rPr>
        <w:t xml:space="preserve">. </w:t>
      </w:r>
      <w:r>
        <w:rPr>
          <w:rtl w:val="true"/>
        </w:rPr>
        <w:t>עסקינן בדיני נפשות כפשוטו</w:t>
      </w:r>
      <w:r>
        <w:rPr>
          <w:rtl w:val="true"/>
        </w:rPr>
        <w:t xml:space="preserve">. </w:t>
      </w:r>
      <w:r>
        <w:rPr>
          <w:rtl w:val="true"/>
        </w:rPr>
        <w:t>הקטל בדרכים אינו גזירת טבע אלא מעשה בני אדם</w:t>
      </w:r>
      <w:r>
        <w:rPr>
          <w:rtl w:val="true"/>
        </w:rPr>
        <w:t xml:space="preserve">. </w:t>
      </w:r>
      <w:r>
        <w:rPr>
          <w:rtl w:val="true"/>
        </w:rPr>
        <w:t>התחרות הטרגית בין מספר האנשים במדינה שקופחו חייהם כתוצאה מנסיעה ברכב לבין אלה שנפלו בקרב או בפיגוע טרור</w:t>
      </w:r>
      <w:r>
        <w:rPr>
          <w:rtl w:val="true"/>
        </w:rPr>
        <w:t xml:space="preserve">, </w:t>
      </w:r>
      <w:r>
        <w:rPr>
          <w:rtl w:val="true"/>
        </w:rPr>
        <w:t>רק מחייבת את בית המשפט לתרום את תרומתו כדי לתת ביטוי לכך שאל לחברה להשלים עם תופעות אלו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נהג באוטובוס מלא נוסעים</w:t>
      </w:r>
      <w:r>
        <w:rPr>
          <w:rtl w:val="true"/>
        </w:rPr>
        <w:t xml:space="preserve">. </w:t>
      </w:r>
      <w:r>
        <w:rPr>
          <w:rtl w:val="true"/>
        </w:rPr>
        <w:t>אחריותו רבה</w:t>
      </w:r>
      <w:r>
        <w:rPr>
          <w:rtl w:val="true"/>
        </w:rPr>
        <w:t xml:space="preserve">. </w:t>
      </w:r>
      <w:r>
        <w:rPr>
          <w:rtl w:val="true"/>
        </w:rPr>
        <w:t>זה הרקע להחלטתו להיכנס לצומת ברמזור אדום בו נהרג המנוח</w:t>
      </w:r>
      <w:r>
        <w:rPr>
          <w:rtl w:val="true"/>
        </w:rPr>
        <w:t xml:space="preserve">. </w:t>
      </w:r>
      <w:r>
        <w:rPr>
          <w:rtl w:val="true"/>
        </w:rPr>
        <w:t xml:space="preserve">הוא נהג במהירות שמעל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שבוודאי בלתי סבירה בהינתן העובדות</w:t>
      </w:r>
      <w:r>
        <w:rPr>
          <w:rtl w:val="true"/>
        </w:rPr>
        <w:t xml:space="preserve">. </w:t>
      </w:r>
      <w:r>
        <w:rPr>
          <w:rtl w:val="true"/>
        </w:rPr>
        <w:t>בהיבט זה המקרה אינו גבולי</w:t>
      </w:r>
      <w:r>
        <w:rPr>
          <w:rtl w:val="true"/>
        </w:rPr>
        <w:t xml:space="preserve">. </w:t>
      </w:r>
      <w:r>
        <w:rPr>
          <w:rtl w:val="true"/>
        </w:rPr>
        <w:t>כתוצאה מכך נהרג אדם ונפצעו בתאונה עוד עשרים ושבעה אנשים</w:t>
      </w:r>
      <w:r>
        <w:rPr>
          <w:rtl w:val="true"/>
        </w:rPr>
        <w:t xml:space="preserve">. </w:t>
      </w:r>
      <w:r>
        <w:rPr>
          <w:rtl w:val="true"/>
        </w:rPr>
        <w:t>מדובר בפרשה בה קופחו חיי אדם בשל אי ציות לחוקי התנועה</w:t>
      </w:r>
      <w:r>
        <w:rPr>
          <w:rtl w:val="true"/>
        </w:rPr>
        <w:t xml:space="preserve">, </w:t>
      </w:r>
      <w:r>
        <w:rPr>
          <w:rtl w:val="true"/>
        </w:rPr>
        <w:t>תוך כניסה לצומת באור אדום</w:t>
      </w:r>
      <w:r>
        <w:rPr>
          <w:rtl w:val="true"/>
        </w:rPr>
        <w:t xml:space="preserve">. </w:t>
      </w:r>
      <w:r>
        <w:rPr>
          <w:rtl w:val="true"/>
        </w:rPr>
        <w:t>רמזור התנועה הינו מעמודי התווך של הסדרת התנועה בכבישים</w:t>
      </w:r>
      <w:r>
        <w:rPr>
          <w:rtl w:val="true"/>
        </w:rPr>
        <w:t xml:space="preserve">, </w:t>
      </w:r>
      <w:r>
        <w:rPr>
          <w:rtl w:val="true"/>
        </w:rPr>
        <w:t>והציות לו הינו הכרחי לשמירה על חיי אדם</w:t>
      </w:r>
      <w:r>
        <w:rPr>
          <w:rtl w:val="true"/>
        </w:rPr>
        <w:t xml:space="preserve">. </w:t>
      </w:r>
      <w:r>
        <w:rPr>
          <w:rtl w:val="true"/>
        </w:rPr>
        <w:t>כמובן המערער לא רצה בתוצאה</w:t>
      </w:r>
      <w:r>
        <w:rPr>
          <w:rtl w:val="true"/>
        </w:rPr>
        <w:t xml:space="preserve">. </w:t>
      </w:r>
      <w:r>
        <w:rPr>
          <w:rtl w:val="true"/>
        </w:rPr>
        <w:t>האירוניה היא שחוסר האכפתיות לתוצאה נוגעת אף אליו</w:t>
      </w:r>
      <w:r>
        <w:rPr>
          <w:rtl w:val="true"/>
        </w:rPr>
        <w:t xml:space="preserve">. </w:t>
      </w:r>
      <w:r>
        <w:rPr>
          <w:rtl w:val="true"/>
        </w:rPr>
        <w:t>תחת המתנה של רגעים ספורים נפגעו אנשים רבים</w:t>
      </w:r>
      <w:r>
        <w:rPr>
          <w:rtl w:val="true"/>
        </w:rPr>
        <w:t xml:space="preserve">, </w:t>
      </w:r>
      <w:r>
        <w:rPr>
          <w:rtl w:val="true"/>
        </w:rPr>
        <w:t>חייהם השתנו בן רגע ללא סיבה</w:t>
      </w:r>
      <w:r>
        <w:rPr>
          <w:rtl w:val="true"/>
        </w:rPr>
        <w:t xml:space="preserve">. </w:t>
      </w:r>
      <w:r>
        <w:rPr>
          <w:rtl w:val="true"/>
        </w:rPr>
        <w:t>בזבוז המשאב היקר מכל בלא תועלת</w:t>
      </w:r>
      <w:r>
        <w:rPr>
          <w:rtl w:val="true"/>
        </w:rPr>
        <w:t xml:space="preserve">. </w:t>
      </w:r>
      <w:r>
        <w:rPr>
          <w:rtl w:val="true"/>
        </w:rPr>
        <w:t>בראש ובראשונה ניצבת הפגיעה בחיי אדם והרי כל אדם עולם מלא</w:t>
      </w:r>
      <w:r>
        <w:rPr>
          <w:rtl w:val="true"/>
        </w:rPr>
        <w:t xml:space="preserve">. </w:t>
      </w:r>
      <w:r>
        <w:rPr>
          <w:rtl w:val="true"/>
        </w:rPr>
        <w:t>לנוכח אלה עונש מחמיר הוא העונש ההולם</w:t>
      </w:r>
      <w:r>
        <w:rPr>
          <w:rtl w:val="true"/>
        </w:rPr>
        <w:t xml:space="preserve">, </w:t>
      </w:r>
      <w:r>
        <w:rPr>
          <w:rtl w:val="true"/>
        </w:rPr>
        <w:t>תוך הפעלת שיקול דעת לסוג המקרה והמחדל בנהיגה</w:t>
      </w:r>
      <w:r>
        <w:rPr>
          <w:rtl w:val="true"/>
        </w:rPr>
        <w:t xml:space="preserve">. </w:t>
      </w:r>
      <w:r>
        <w:rPr>
          <w:rtl w:val="true"/>
        </w:rPr>
        <w:t xml:space="preserve">בראיה זו שיעור עונש המאסר בפועל אינו חמור </w:t>
      </w:r>
      <w:r>
        <w:rPr>
          <w:rtl w:val="true"/>
        </w:rPr>
        <w:t>(</w:t>
      </w:r>
      <w:r>
        <w:rPr>
          <w:rtl w:val="true"/>
        </w:rPr>
        <w:t>ראו והשוו למשל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2013/93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קלפה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24.2.1994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8103/05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19.12.2005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570/07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7.5.2007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6087/08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שרביט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23.3.2009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גבארה</w:t>
      </w:r>
      <w:r>
        <w:rPr>
          <w:rtl w:val="true"/>
        </w:rPr>
        <w:t xml:space="preserve">). </w:t>
      </w:r>
      <w:r>
        <w:rPr>
          <w:rtl w:val="true"/>
        </w:rPr>
        <w:t>לנוכח זאת אין מקום אף להתערב בתקופת הפסילה מנהיגה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הייתי מציע לחברי לדחות את הערעור</w:t>
      </w:r>
      <w:r>
        <w:rPr>
          <w:rtl w:val="true"/>
        </w:rPr>
        <w:t xml:space="preserve">, </w:t>
      </w:r>
      <w:r>
        <w:rPr>
          <w:rtl w:val="true"/>
        </w:rPr>
        <w:t>הן על הכרעת הדין והן על גזר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 xml:space="preserve">') 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4"/>
          <w:szCs w:val="24"/>
          <w:u w:val="single"/>
        </w:rPr>
      </w:pPr>
      <w:r>
        <w:rPr>
          <w:rFonts w:cs="Miriam" w:ascii="Century" w:hAnsi="Century"/>
          <w:b/>
          <w:spacing w:val="0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3"/>
        </w:numPr>
        <w:spacing w:before="0" w:after="360"/>
        <w:ind w:hanging="0" w:start="0" w:end="0"/>
        <w:jc w:val="both"/>
        <w:rPr/>
      </w:pPr>
      <w:r>
        <w:rPr>
          <w:sz w:val="22"/>
          <w:sz w:val="22"/>
          <w:rtl w:val="true"/>
        </w:rPr>
        <w:t xml:space="preserve">אני מסכים </w:t>
      </w:r>
      <w:r>
        <w:rPr>
          <w:rtl w:val="true"/>
        </w:rPr>
        <w:t xml:space="preserve">עם פסק דינו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ועם התוצאה אליה הגיע ואוסיף אך שתי הערות קצרות לחיזוק הדברים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spacing w:before="0" w:after="360"/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העדפתו של בית משפט קמא את עדותם של קסלסי וסימוני </w:t>
      </w:r>
      <w:r>
        <w:rPr>
          <w:rtl w:val="true"/>
        </w:rPr>
        <w:t>(</w:t>
      </w:r>
      <w:r>
        <w:rPr>
          <w:rtl w:val="true"/>
        </w:rPr>
        <w:t>שהעידו כי המערער עבר את הרמזור באור אדום</w:t>
      </w:r>
      <w:r>
        <w:rPr>
          <w:rtl w:val="true"/>
        </w:rPr>
        <w:t xml:space="preserve">), </w:t>
      </w:r>
      <w:r>
        <w:rPr>
          <w:rtl w:val="true"/>
        </w:rPr>
        <w:t xml:space="preserve">על פני עדותה של מימון </w:t>
      </w:r>
      <w:r>
        <w:rPr>
          <w:rtl w:val="true"/>
        </w:rPr>
        <w:t>(</w:t>
      </w:r>
      <w:r>
        <w:rPr>
          <w:rtl w:val="true"/>
        </w:rPr>
        <w:t>שהעידה שעבר באור ירוק</w:t>
      </w:r>
      <w:r>
        <w:rPr>
          <w:rtl w:val="true"/>
        </w:rPr>
        <w:t xml:space="preserve">), </w:t>
      </w:r>
      <w:r>
        <w:rPr>
          <w:rtl w:val="true"/>
        </w:rPr>
        <w:t>נתמכת גם בשני אלה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בעוד עדותם של הראשונים נגבתה בסמוך מאוד לאירוע הרי עדותה של מימון נגבתה רק כשלושה חודשים לאחר האירוע</w:t>
      </w:r>
      <w:r>
        <w:rPr>
          <w:rtl w:val="true"/>
        </w:rPr>
        <w:t xml:space="preserve">.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 xml:space="preserve">וזה עיקר – קסלסי וסימוני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ברכבם בעת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ומטבע הדברים שתשומת הלב של נוהג ברכב ממוקדת ברמזורים שבנתיב נסיעתו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לעומת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מימון הייתה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באוטובוס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ונוסע באוטובוס עסוק בענייניו ולאו דווקא בכביש וברמזורים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) </w:t>
      </w:r>
      <w:r>
        <w:rPr>
          <w:rtl w:val="true"/>
        </w:rPr>
        <w:t>מקבלות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נוסעים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אחריותו לנהיגה זהירה היא כפולה ומכופלת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אזכיר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מעבר לנסיעתו בצומת באור אדום שגרמה לאירוע הקטלני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שלפי העדויות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כולל זו של מימון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נהיגתו של המערער קודם לתאונה התאפיינה בפזיזות וקלות דעת – מעבר בין נתיבים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עצירות פתאומיות ופיצוח גרעינים תוך כדי נהיגה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30.10.2017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r>
        <w:rPr>
          <w:sz w:val="16"/>
        </w:rPr>
        <w:t>15084640</w:t>
      </w:r>
      <w:r>
        <w:rPr>
          <w:sz w:val="16"/>
          <w:rtl w:val="true"/>
        </w:rPr>
        <w:t>_</w:t>
      </w:r>
      <w:r>
        <w:rPr>
          <w:sz w:val="16"/>
        </w:rPr>
        <w:t>Z06.doc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דב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1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54678313-8464/15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8464/15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וסילי פנזין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Style14">
    <w:name w:val="טקסט בלונים תו"/>
    <w:qFormat/>
    <w:rPr>
      <w:rFonts w:ascii="Tahoma" w:hAnsi="Tahoma" w:cs="Tahoma"/>
      <w:sz w:val="16"/>
      <w:szCs w:val="16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ind w:hanging="0" w:start="72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63966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38.a.1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38.2" TargetMode="External"/><Relationship Id="rId8" Type="http://schemas.openxmlformats.org/officeDocument/2006/relationships/hyperlink" Target="http://www.nevo.co.il/law/5227/62.2" TargetMode="External"/><Relationship Id="rId9" Type="http://schemas.openxmlformats.org/officeDocument/2006/relationships/hyperlink" Target="http://www.nevo.co.il/law/5227/68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/22.a.b" TargetMode="External"/><Relationship Id="rId12" Type="http://schemas.openxmlformats.org/officeDocument/2006/relationships/hyperlink" Target="http://www.nevo.co.il/law/74274/64.e" TargetMode="External"/><Relationship Id="rId13" Type="http://schemas.openxmlformats.org/officeDocument/2006/relationships/hyperlink" Target="http://www.nevo.co.il/case/5639667" TargetMode="External"/><Relationship Id="rId14" Type="http://schemas.openxmlformats.org/officeDocument/2006/relationships/hyperlink" Target="http://www.nevo.co.il/law/70301/298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38.a.1" TargetMode="External"/><Relationship Id="rId17" Type="http://schemas.openxmlformats.org/officeDocument/2006/relationships/hyperlink" Target="http://www.nevo.co.il/law/5227/62.2" TargetMode="External"/><Relationship Id="rId18" Type="http://schemas.openxmlformats.org/officeDocument/2006/relationships/hyperlink" Target="http://www.nevo.co.il/law/5227/38.2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74274/22.a.b" TargetMode="External"/><Relationship Id="rId21" Type="http://schemas.openxmlformats.org/officeDocument/2006/relationships/hyperlink" Target="http://www.nevo.co.il/law/74274" TargetMode="External"/><Relationship Id="rId22" Type="http://schemas.openxmlformats.org/officeDocument/2006/relationships/hyperlink" Target="http://www.nevo.co.il/law/5227/68" TargetMode="External"/><Relationship Id="rId23" Type="http://schemas.openxmlformats.org/officeDocument/2006/relationships/hyperlink" Target="http://www.nevo.co.il/law/74274/64.e" TargetMode="External"/><Relationship Id="rId24" Type="http://schemas.openxmlformats.org/officeDocument/2006/relationships/hyperlink" Target="http://www.nevo.co.il/law/5227/68" TargetMode="External"/><Relationship Id="rId25" Type="http://schemas.openxmlformats.org/officeDocument/2006/relationships/hyperlink" Target="http://www.nevo.co.il/case/17938763" TargetMode="External"/><Relationship Id="rId26" Type="http://schemas.openxmlformats.org/officeDocument/2006/relationships/hyperlink" Target="http://www.nevo.co.il/case/6123100" TargetMode="External"/><Relationship Id="rId27" Type="http://schemas.openxmlformats.org/officeDocument/2006/relationships/hyperlink" Target="http://www.nevo.co.il/case/17914223" TargetMode="External"/><Relationship Id="rId28" Type="http://schemas.openxmlformats.org/officeDocument/2006/relationships/hyperlink" Target="http://www.nevo.co.il/case/6120905" TargetMode="External"/><Relationship Id="rId29" Type="http://schemas.openxmlformats.org/officeDocument/2006/relationships/hyperlink" Target="http://www.nevo.co.il/case/5711363" TargetMode="External"/><Relationship Id="rId30" Type="http://schemas.openxmlformats.org/officeDocument/2006/relationships/hyperlink" Target="http://www.nevo.co.il/case/5910267" TargetMode="External"/><Relationship Id="rId31" Type="http://schemas.openxmlformats.org/officeDocument/2006/relationships/hyperlink" Target="http://www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15084640.Z06.doc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2017-11-02T12:33:00Z</dcterms:created>
  <dc:creator> </dc:creator>
  <dc:description/>
  <cp:keywords/>
  <dc:language>en-IL</dc:language>
  <cp:lastModifiedBy>orly</cp:lastModifiedBy>
  <cp:lastPrinted>2017-10-30T11:28:00Z</cp:lastPrinted>
  <dcterms:modified xsi:type="dcterms:W3CDTF">2017-11-02T12:33:00Z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וסילי פנזין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5639667:2;17938763;6123100;17914223;6120905;5711363;5910267</vt:lpwstr>
  </property>
  <property fmtid="{D5CDD505-2E9C-101B-9397-08002B2CF9AE}" pid="9" name="CITY">
    <vt:lpwstr/>
  </property>
  <property fmtid="{D5CDD505-2E9C-101B-9397-08002B2CF9AE}" pid="10" name="DATE">
    <vt:lpwstr>20171030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הנדל;מ' מזוז;ס' ג'ובראן</vt:lpwstr>
  </property>
  <property fmtid="{D5CDD505-2E9C-101B-9397-08002B2CF9AE}" pid="14" name="LAWLISTTMP1">
    <vt:lpwstr>70301/298;338.a.1</vt:lpwstr>
  </property>
  <property fmtid="{D5CDD505-2E9C-101B-9397-08002B2CF9AE}" pid="15" name="LAWLISTTMP2">
    <vt:lpwstr>5227/062.2;038.2;068:2</vt:lpwstr>
  </property>
  <property fmtid="{D5CDD505-2E9C-101B-9397-08002B2CF9AE}" pid="16" name="LAWLISTTMP3">
    <vt:lpwstr>74274/022.a.b;064.e</vt:lpwstr>
  </property>
  <property fmtid="{D5CDD505-2E9C-101B-9397-08002B2CF9AE}" pid="17" name="LAWYER">
    <vt:lpwstr>חיים שוויצר;תומר גונן;אסי בוחבוט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תעבורה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104;18;77;77</vt:lpwstr>
  </property>
  <property fmtid="{D5CDD505-2E9C-101B-9397-08002B2CF9AE}" pid="39" name="NOSE21">
    <vt:lpwstr>עבירות</vt:lpwstr>
  </property>
  <property fmtid="{D5CDD505-2E9C-101B-9397-08002B2CF9AE}" pid="40" name="NOSE210">
    <vt:lpwstr/>
  </property>
  <property fmtid="{D5CDD505-2E9C-101B-9397-08002B2CF9AE}" pid="41" name="NOSE22">
    <vt:lpwstr>ערעור</vt:lpwstr>
  </property>
  <property fmtid="{D5CDD505-2E9C-101B-9397-08002B2CF9AE}" pid="42" name="NOSE23">
    <vt:lpwstr>עבירות</vt:lpwstr>
  </property>
  <property fmtid="{D5CDD505-2E9C-101B-9397-08002B2CF9AE}" pid="43" name="NOSE24">
    <vt:lpwstr>עבירות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1830;504;1443;1443</vt:lpwstr>
  </property>
  <property fmtid="{D5CDD505-2E9C-101B-9397-08002B2CF9AE}" pid="50" name="NOSE31">
    <vt:lpwstr>הריגה</vt:lpwstr>
  </property>
  <property fmtid="{D5CDD505-2E9C-101B-9397-08002B2CF9AE}" pid="51" name="NOSE310">
    <vt:lpwstr/>
  </property>
  <property fmtid="{D5CDD505-2E9C-101B-9397-08002B2CF9AE}" pid="52" name="NOSE32">
    <vt:lpwstr>אי-התערבות בממצאים עובדתיים</vt:lpwstr>
  </property>
  <property fmtid="{D5CDD505-2E9C-101B-9397-08002B2CF9AE}" pid="53" name="NOSE33">
    <vt:lpwstr>הריגה</vt:lpwstr>
  </property>
  <property fmtid="{D5CDD505-2E9C-101B-9397-08002B2CF9AE}" pid="54" name="NOSE34">
    <vt:lpwstr>גרימת מוות ברשלנות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11234;3849;8816;8784</vt:lpwstr>
  </property>
  <property fmtid="{D5CDD505-2E9C-101B-9397-08002B2CF9AE}" pid="61" name="PADIDATE">
    <vt:lpwstr>20171102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8464</vt:lpwstr>
  </property>
  <property fmtid="{D5CDD505-2E9C-101B-9397-08002B2CF9AE}" pid="67" name="PROCYEAR">
    <vt:lpwstr>15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410120171030</vt:lpwstr>
  </property>
  <property fmtid="{D5CDD505-2E9C-101B-9397-08002B2CF9AE}" pid="71" name="TYPE_N_DATE">
    <vt:lpwstr>41020171030</vt:lpwstr>
  </property>
  <property fmtid="{D5CDD505-2E9C-101B-9397-08002B2CF9AE}" pid="72" name="VOLUME">
    <vt:lpwstr/>
  </property>
  <property fmtid="{D5CDD505-2E9C-101B-9397-08002B2CF9AE}" pid="73" name="WORDNUMPAGES">
    <vt:lpwstr>11</vt:lpwstr>
  </property>
</Properties>
</file>