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8470/19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3426/20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8470/19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3426/20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8470/19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3426/20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קונסטנטין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בורובסקי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80055-01-19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יובל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ליבדרו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711"/>
        <w:gridCol w:w="142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71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23.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4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8470/19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3426/20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8470/19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3426/20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רובינשטיין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211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ערעור המשיב על הכרעת הדין בה הורשע בעבירה של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דחיית טענותיו נגד ממצאי עובדה ומהימנות שקבעה הערכאה הדיונית ובהן טענות בדבר אי הוכחת קשר סיבתי בין מעשיו לבין גרימת המנוח והגנה 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החמיר בעונש המאסר בפועל שהושת על המשיב כך שירצה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5.5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העונש שנגזר חורג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עולה בקנה אחד עם 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נותן הגנה ראויה לעיקרון קדושת החיים ואינו נותן ביטוי הולם לעיקרון 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המתה בקלות דעת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הגנה עצמית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אי התערבות בממצאים עובדתיים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קבע כי המשיב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8470/19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היכה את המנוח וכי מות המנוח נגרם כתוצאה מהמכות שהיכה אותו המשיב וכי התגבשה אצל המשיב מחשבה פלילית מסוג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הוראות המעבר של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הרשיע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את המשיב בעבירה של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עבירת ההריגה שיוחסה למשיב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גזר על המשיב </w:t>
      </w:r>
      <w:r>
        <w:rPr>
          <w:rFonts w:cs="Times New Roman" w:ascii="Times New Roman" w:hAnsi="Times New Roman"/>
          <w:spacing w:val="0"/>
          <w:szCs w:val="26"/>
        </w:rPr>
        <w:t>5.5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 ופיצויים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8470/19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ערעור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3426/20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המשיב בערעור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נסב אודות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השופט קרא והשופטים הנדל 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8470/19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3426/20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המשיב לא הציג כל טעם חריג שיכול להצדיק התערבות של ערכאת הערעור בממצאי עובדה ומהימנות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לטענת המשיב לפיה לא הוכח קשר סיבתי בין מעשיו לבין גרימת מות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שבהינתן מסכת האלימות הקשה שהמשיב הפעיל כלפי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ובהיעדר כל ראיה לסתור את סיבת המוות שקבע המומחה מטעם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כל קושי בקביעת המומחה כי מות המנוח נגרם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קרוב לוודאי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מהמכות שקיבל מהמשיב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309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הקובע כי מי שבמעשה או במחדל החיש את מותו של אדם הסובל ממחלה או מפגיעה שהיו גורמות למותו גם אילולא מעשהו או מחדלו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יראוהו כמי שגרם למותו של אדם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נועל כל פתח להתחמקות המשיב מאחריות לגרימת מות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מות המנוח הואץ כתוצאה מהמכות על רקע בעיות בריאותיות מהן סבל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שללא המכות שספג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מותו לא היה נגרם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שמעשי המשיב הם בגדר סיבה בלעדיה אין למות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ההגנה העצמית מהווה ניסיון לערער על ממצאי עובדה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שהוצגה כל עילה המצדיקה התערבות ערכאת הערעור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כי המשיב לא היכה את המנוח בנסיבות של הגנה עצמית וכי מדובר באירוע אחד נמשך של אלימות רציפה של הנאשם כלפי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היעדר המודעות לאפשרות גרימת המוות אינה מצדיקה להתערב בממצאי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קבע כי מכלול המכות שהכה המשיב את המנוח ומיקומן מבסס היטב את חזקת המודעות של הנאשם לעניין אפשרות גרימת המוות של המנוח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על בסיס ניסיון החיים והשכל הישר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והמשיב לא סתר 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הקל בעונשו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שהורשע בעבירת המתה בקלות דעת תחת עבירת ההריגה שהייתה קבועה בחוק העונשין עובר לרפורמה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אינה יכולה להוות כשלעצמה נימוק להקלה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שנקבעה ברפורמה קבעה עונש מקסימום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לממית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נקבע לא במטרה להקל עם הממיתים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שעובר לרפורמה הורשעו בהריגה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במטרה לשקף את רמת הענישה שהייתה נהוגה בבתי המשפט ביחס לעבירות הריגה בנסיבות של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 אין בעובדה שהמשיב הורשע בעבירת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בעבירת 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להביא כשלעצמה להקלה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המעשה והעושה עונש של </w:t>
      </w:r>
      <w:r>
        <w:rPr>
          <w:rFonts w:cs="Times New Roman" w:ascii="Times New Roman" w:hAnsi="Times New Roman"/>
          <w:spacing w:val="0"/>
          <w:szCs w:val="26"/>
        </w:rPr>
        <w:t>5.5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אינו משקף את רמת האשם הטמונה במעשי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בהמתה בקלות דעת בתאונה אלא בהפעלת אלימות ממשית ומכוונת כלפי המנוח שהובילה למותו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שלשם נטילת חיי המנוח לא נזקק המשיב לכלי משחית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ועשה זאת באגרופים ובעיטות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יכולה להוות נסיבה מקלה משמעותית מקום בו נגרם נזק כה מופלג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נאשמים שהורשעו בעבירת ההמתה בקלות דעת נגזרו עונשים חמורים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כאשר המעשה שגרם למוות אינו מעשה הכולל יסוד של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הושתו עונשים מחמירים יותר באופן משמעותי על נאשמים שהורשעו בביצוע עבירת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בהן נעשו פעולות בעלות ממד אלים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המשיב היה קל דעת ביחס לגרימת מותו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המוות אינו תוצאה של תאונה אלא של מעשים אלימים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שכיוון המשיב ישירות כנגד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ומקל וחומר יש להחמיר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בן </w:t>
      </w:r>
      <w:r>
        <w:rPr>
          <w:rFonts w:cs="Times New Roman" w:ascii="Times New Roman" w:hAnsi="Times New Roman"/>
          <w:spacing w:val="0"/>
          <w:szCs w:val="26"/>
        </w:rPr>
        <w:t>5.5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בלבד אינו פרופורציונאלי למידת האשמה שהתלוותה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 נותן ביטוי הולם לערך קדושת החיים בו פגע המשיב קשות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הסוטה סטייה חמורה ממדיניות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 מתיישב עם עיקרון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ומבלי למצות את הדין עם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הועמד על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חלקי גזר הדין נותרו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80055-01-19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ליברדו</w:t>
      </w:r>
      <w:r>
        <w:rPr>
          <w:rtl w:val="true"/>
        </w:rPr>
        <w:t xml:space="preserve">).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8470/19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3426/20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נגד המשיב הוגש כתב אישום לפיו</w:t>
      </w:r>
      <w:r>
        <w:rPr>
          <w:rtl w:val="true"/>
        </w:rPr>
        <w:t xml:space="preserve">, </w:t>
      </w:r>
      <w:r>
        <w:rPr>
          <w:rtl w:val="true"/>
        </w:rPr>
        <w:t>על רקע ויכוח שהתפתח בינו לבין י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סביב בקשתו של המשיב לרכוש מהמנוח סמים</w:t>
      </w:r>
      <w:r>
        <w:rPr>
          <w:rtl w:val="true"/>
        </w:rPr>
        <w:t xml:space="preserve">, </w:t>
      </w:r>
      <w:r>
        <w:rPr>
          <w:rtl w:val="true"/>
        </w:rPr>
        <w:t>תקף המשיב את המנוח באגרופים בפניו והיכה בו עם בקבוק בירה מזכוכית</w:t>
      </w:r>
      <w:r>
        <w:rPr>
          <w:rtl w:val="true"/>
        </w:rPr>
        <w:t xml:space="preserve">. </w:t>
      </w:r>
      <w:r>
        <w:rPr>
          <w:rtl w:val="true"/>
        </w:rPr>
        <w:t>כתוצאה מכך נפל המנוח על המדרכה</w:t>
      </w:r>
      <w:r>
        <w:rPr>
          <w:rtl w:val="true"/>
        </w:rPr>
        <w:t xml:space="preserve">. </w:t>
      </w:r>
      <w:r>
        <w:rPr>
          <w:rtl w:val="true"/>
        </w:rPr>
        <w:t>המשיב המשיך לתקוף את המנוח באגרופיו ובעט בראשו וביתר חלקי גופו</w:t>
      </w:r>
      <w:r>
        <w:rPr>
          <w:rtl w:val="true"/>
        </w:rPr>
        <w:t xml:space="preserve">, </w:t>
      </w:r>
      <w:r>
        <w:rPr>
          <w:rtl w:val="true"/>
        </w:rPr>
        <w:t xml:space="preserve">בעוד המנוח שוכב על המדרכה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מהמדרכה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, </w:t>
      </w:r>
      <w:r>
        <w:rPr>
          <w:rtl w:val="true"/>
        </w:rPr>
        <w:t>שבעקבותיה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tl w:val="true"/>
        </w:rPr>
        <w:t xml:space="preserve">).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משהגיעו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.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כשהסיבה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גולגולתי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דחה בית משפט קמא את גרסת המשיב בדבר התגבשות סייג ההגנה העצמית</w:t>
      </w:r>
      <w:r>
        <w:rPr>
          <w:rtl w:val="true"/>
        </w:rPr>
        <w:t xml:space="preserve">. </w:t>
      </w:r>
      <w:r>
        <w:rPr>
          <w:rtl w:val="true"/>
        </w:rPr>
        <w:t>נקבע כי המשיב היכה את המנוח בשתי הזירות וכי מותו של המנוח נגרם כתוצאה מהמכות שהיכה אותו המשיב</w:t>
      </w:r>
      <w:r>
        <w:rPr>
          <w:rtl w:val="true"/>
        </w:rPr>
        <w:t xml:space="preserve">. </w:t>
      </w:r>
      <w:r>
        <w:rPr>
          <w:rtl w:val="true"/>
        </w:rPr>
        <w:t>בית משפט קמא קבע כי קיים ספק בדבר הכאת המנוח באמצעות בקבוק בירה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נותר ספק בדבר קיומה של אדישות מצד המשיב וזאת בשל התנהלותו לאחר נפילת המנוח</w:t>
      </w:r>
      <w:r>
        <w:rPr>
          <w:rtl w:val="true"/>
        </w:rPr>
        <w:t xml:space="preserve">. </w:t>
      </w:r>
      <w:r>
        <w:rPr>
          <w:rtl w:val="true"/>
        </w:rPr>
        <w:t>לצד זאת נקבע</w:t>
      </w:r>
      <w:r>
        <w:rPr>
          <w:rtl w:val="true"/>
        </w:rPr>
        <w:t xml:space="preserve">, </w:t>
      </w:r>
      <w:r>
        <w:rPr>
          <w:rtl w:val="true"/>
        </w:rPr>
        <w:t>כי הוכח מעבר לכל ספק סביר</w:t>
      </w:r>
      <w:r>
        <w:rPr>
          <w:rtl w:val="true"/>
        </w:rPr>
        <w:t xml:space="preserve">, </w:t>
      </w:r>
      <w:r>
        <w:rPr>
          <w:rtl w:val="true"/>
        </w:rPr>
        <w:t>שהתגבשה אצל המשיב מחשבה פלילית מסוג קלות דעת</w:t>
      </w:r>
      <w:r>
        <w:rPr>
          <w:rtl w:val="true"/>
        </w:rPr>
        <w:t xml:space="preserve">. </w:t>
      </w:r>
      <w:r>
        <w:rPr>
          <w:rtl w:val="true"/>
        </w:rPr>
        <w:t xml:space="preserve">בהתאם להוראות המעבר של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הרשיע בית המשפט את המשיב בעבירה של המתה בקלות דעת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תחת עבירת ההריגה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שיוחסה למשיב בכתב 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8470/19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המערערת מבקשת להחמיר בעונשו של המשיב מהנימוקים הבאים</w:t>
      </w:r>
      <w:r>
        <w:rPr>
          <w:rtl w:val="true"/>
        </w:rPr>
        <w:t xml:space="preserve">: </w:t>
      </w:r>
      <w:r>
        <w:rPr>
          <w:rtl w:val="true"/>
        </w:rPr>
        <w:t>ענייננו באירוע אלימות חריג בחומרתו</w:t>
      </w:r>
      <w:r>
        <w:rPr>
          <w:rtl w:val="true"/>
        </w:rPr>
        <w:t xml:space="preserve">, </w:t>
      </w:r>
      <w:r>
        <w:rPr>
          <w:rtl w:val="true"/>
        </w:rPr>
        <w:t>במהלכו הפעיל המשיב אלימות קשה ומופרזת כלפי המנוח</w:t>
      </w:r>
      <w:r>
        <w:rPr>
          <w:rtl w:val="true"/>
        </w:rPr>
        <w:t xml:space="preserve">, </w:t>
      </w:r>
      <w:r>
        <w:rPr>
          <w:rtl w:val="true"/>
        </w:rPr>
        <w:t>שהביאה למותו</w:t>
      </w:r>
      <w:r>
        <w:rPr>
          <w:rtl w:val="true"/>
        </w:rPr>
        <w:t xml:space="preserve">; </w:t>
      </w:r>
      <w:r>
        <w:rPr>
          <w:rtl w:val="true"/>
        </w:rPr>
        <w:t>המערערת הפנתה לקביעותיו המפורשות של בית משפט קמא</w:t>
      </w:r>
      <w:r>
        <w:rPr>
          <w:rtl w:val="true"/>
        </w:rPr>
        <w:t xml:space="preserve">, </w:t>
      </w:r>
      <w:r>
        <w:rPr>
          <w:rtl w:val="true"/>
        </w:rPr>
        <w:t>אשר עמד על מסכת האלימות הקשה והאכזרית שהפעיל המשיב כלפי המנוח ובפרט הכאתו באגרופים ובעיטות לראשו</w:t>
      </w:r>
      <w:r>
        <w:rPr>
          <w:rtl w:val="true"/>
        </w:rPr>
        <w:t xml:space="preserve">, </w:t>
      </w:r>
      <w:r>
        <w:rPr>
          <w:rtl w:val="true"/>
        </w:rPr>
        <w:t>כשהוא שרוע חסר אונים על המדרכה</w:t>
      </w:r>
      <w:r>
        <w:rPr>
          <w:rtl w:val="true"/>
        </w:rPr>
        <w:t xml:space="preserve">; </w:t>
      </w:r>
      <w:r>
        <w:rPr>
          <w:rtl w:val="true"/>
        </w:rPr>
        <w:t>לשיטת המערערת</w:t>
      </w:r>
      <w:r>
        <w:rPr>
          <w:rtl w:val="true"/>
        </w:rPr>
        <w:t xml:space="preserve">, </w:t>
      </w:r>
      <w:r>
        <w:rPr>
          <w:rtl w:val="true"/>
        </w:rPr>
        <w:t>העונש אינו נותן ביטוי לערך העליון של קדושת החיים</w:t>
      </w:r>
      <w:r>
        <w:rPr>
          <w:rtl w:val="true"/>
        </w:rPr>
        <w:t xml:space="preserve">, </w:t>
      </w:r>
      <w:r>
        <w:rPr>
          <w:rtl w:val="true"/>
        </w:rPr>
        <w:t>והעונש שהוטל נופל אף ממחצית העונש הקבוע בצדה של העבירה שבה הורשע המשיב</w:t>
      </w:r>
      <w:r>
        <w:rPr>
          <w:rtl w:val="true"/>
        </w:rPr>
        <w:t xml:space="preserve">; </w:t>
      </w:r>
      <w:r>
        <w:rPr>
          <w:rtl w:val="true"/>
        </w:rPr>
        <w:t xml:space="preserve">כן נטען כי בית המשפט שגה משפירש את הוראת המעבר 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ככזו שמטרתה להקל בדינו של מי שהורשע בעבירה של המתה בקלות דעת</w:t>
      </w:r>
      <w:r>
        <w:rPr>
          <w:rtl w:val="true"/>
        </w:rPr>
        <w:t xml:space="preserve">, </w:t>
      </w:r>
      <w:r>
        <w:rPr>
          <w:rtl w:val="true"/>
        </w:rPr>
        <w:t>שכן המחוקק לא התכוון להביא לזילות בערכם של חיי אדם</w:t>
      </w:r>
      <w:r>
        <w:rPr>
          <w:rtl w:val="true"/>
        </w:rPr>
        <w:t xml:space="preserve">, </w:t>
      </w:r>
      <w:r>
        <w:rPr>
          <w:rtl w:val="true"/>
        </w:rPr>
        <w:t>במיוחד כאשר מי שהביא למותו של אדם בקלות דעת מודע היטב לאפשרות קרות התוצאה הקטלנית ולמרות זאת לא עשה דבר כדי למנעה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 כוח המשיב</w:t>
      </w:r>
      <w:r>
        <w:rPr>
          <w:rtl w:val="true"/>
        </w:rPr>
        <w:t xml:space="preserve">, </w:t>
      </w:r>
      <w:r>
        <w:rPr>
          <w:rtl w:val="true"/>
        </w:rPr>
        <w:t>בתשובתו לערעור המערערת</w:t>
      </w:r>
      <w:r>
        <w:rPr>
          <w:rtl w:val="true"/>
        </w:rPr>
        <w:t xml:space="preserve">, </w:t>
      </w:r>
      <w:r>
        <w:rPr>
          <w:rtl w:val="true"/>
        </w:rPr>
        <w:t>ביקש לדחות את הערעור</w:t>
      </w:r>
      <w:r>
        <w:rPr>
          <w:rtl w:val="true"/>
        </w:rPr>
        <w:t xml:space="preserve">. </w:t>
      </w:r>
      <w:r>
        <w:rPr>
          <w:rtl w:val="true"/>
        </w:rPr>
        <w:t>במהלך הטיעון בעל פה לפנינו לא הרחיב בא כוח המשיב בטיעוניו ועל כן ביקש וקיבל את רשותנו להגיש תוך מספר ימים פסיקה התומכת בעמדתו</w:t>
      </w:r>
      <w:r>
        <w:rPr>
          <w:rtl w:val="true"/>
        </w:rPr>
        <w:t xml:space="preserve">. </w:t>
      </w:r>
      <w:r>
        <w:rPr>
          <w:rtl w:val="true"/>
        </w:rPr>
        <w:t>משהרשות ניתנה</w:t>
      </w:r>
      <w:r>
        <w:rPr>
          <w:rtl w:val="true"/>
        </w:rPr>
        <w:t xml:space="preserve">, </w:t>
      </w:r>
      <w:r>
        <w:rPr>
          <w:rtl w:val="true"/>
        </w:rPr>
        <w:t xml:space="preserve">שיגר אלינו בא כוח המשיב מסמך המחזיק חמישה עמודים שכותרתו </w:t>
      </w:r>
      <w:r>
        <w:rPr>
          <w:rtl w:val="true"/>
        </w:rPr>
        <w:t>"</w:t>
      </w:r>
      <w:r>
        <w:rPr>
          <w:rtl w:val="true"/>
        </w:rPr>
        <w:t>פסיקה מטעם ההגנה לעניין ערעור המדינה על גזר הדין</w:t>
      </w:r>
      <w:r>
        <w:rPr>
          <w:rtl w:val="true"/>
        </w:rPr>
        <w:t xml:space="preserve">" </w:t>
      </w:r>
      <w:r>
        <w:rPr>
          <w:rtl w:val="true"/>
        </w:rPr>
        <w:t>שנפתח ב</w:t>
      </w:r>
      <w:r>
        <w:rPr>
          <w:rtl w:val="true"/>
        </w:rPr>
        <w:t>"</w:t>
      </w:r>
      <w:r>
        <w:rPr>
          <w:rtl w:val="true"/>
        </w:rPr>
        <w:t>שלוש הערות ביחס לפסיקה אליה הפנתה המדינה</w:t>
      </w:r>
      <w:r>
        <w:rPr>
          <w:rtl w:val="true"/>
        </w:rPr>
        <w:t xml:space="preserve">", </w:t>
      </w:r>
      <w:r>
        <w:rPr>
          <w:rtl w:val="true"/>
        </w:rPr>
        <w:t>בו מפרט בא כוח המשיב אודות רשימת הפסיקה אליה הפנה</w:t>
      </w:r>
      <w:r>
        <w:rPr>
          <w:rtl w:val="true"/>
        </w:rPr>
        <w:t xml:space="preserve">, </w:t>
      </w:r>
      <w:r>
        <w:rPr>
          <w:rtl w:val="true"/>
        </w:rPr>
        <w:t>לרבות הבחנתו את הפסיקה לאור אותן שלוש הערות</w:t>
      </w:r>
      <w:r>
        <w:rPr>
          <w:rtl w:val="true"/>
        </w:rPr>
        <w:t xml:space="preserve">. </w:t>
      </w:r>
      <w:r>
        <w:rPr>
          <w:rtl w:val="true"/>
        </w:rPr>
        <w:t>משהרשות שניתנה לבא כוח המשיב הייתה להגשת רשימת פסיקה ולא מעבר לכך</w:t>
      </w:r>
      <w:r>
        <w:rPr>
          <w:rtl w:val="true"/>
        </w:rPr>
        <w:t xml:space="preserve">, </w:t>
      </w:r>
      <w:r>
        <w:rPr>
          <w:rtl w:val="true"/>
        </w:rPr>
        <w:t>נקדים את המאוחר</w:t>
      </w:r>
      <w:r>
        <w:rPr>
          <w:rtl w:val="true"/>
        </w:rPr>
        <w:t xml:space="preserve">, </w:t>
      </w:r>
      <w:r>
        <w:rPr>
          <w:rtl w:val="true"/>
        </w:rPr>
        <w:t>ונאמר כי נתעלם מכלל ההערות שפורטו במסמך 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מתייתרת בקשת המערערת </w:t>
      </w:r>
      <w:r>
        <w:rPr>
          <w:rtl w:val="true"/>
        </w:rPr>
        <w:t>"</w:t>
      </w:r>
      <w:r>
        <w:rPr>
          <w:rtl w:val="true"/>
        </w:rPr>
        <w:t>להגשת תגובה להשלמת הטיעון לעניין העונש מטעם המשיב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3426/20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טענות המשיב בערעורו מופנות כלפי הקביעות העובדתיות בהכרעת הדין</w:t>
      </w:r>
      <w:r>
        <w:rPr>
          <w:rtl w:val="true"/>
        </w:rPr>
        <w:t xml:space="preserve">; </w:t>
      </w:r>
      <w:r>
        <w:rPr>
          <w:rtl w:val="true"/>
        </w:rPr>
        <w:t>כנגד הכרעות בית משפט קמא ביחס לטענת ההגנה העצמית</w:t>
      </w:r>
      <w:r>
        <w:rPr>
          <w:rtl w:val="true"/>
        </w:rPr>
        <w:t xml:space="preserve">; </w:t>
      </w:r>
      <w:r>
        <w:rPr>
          <w:rtl w:val="true"/>
        </w:rPr>
        <w:t>כנגד הקביעה כי הוכח קשר סיבתי עובדתי בין האלימות שהופעלה על ידי המשיב כלפי המנוח</w:t>
      </w:r>
      <w:r>
        <w:rPr>
          <w:rtl w:val="true"/>
        </w:rPr>
        <w:t xml:space="preserve">, </w:t>
      </w:r>
      <w:r>
        <w:rPr>
          <w:rtl w:val="true"/>
        </w:rPr>
        <w:t>למות המנוח</w:t>
      </w:r>
      <w:r>
        <w:rPr>
          <w:rtl w:val="true"/>
        </w:rPr>
        <w:t xml:space="preserve">; </w:t>
      </w:r>
      <w:r>
        <w:rPr>
          <w:rtl w:val="true"/>
        </w:rPr>
        <w:t>וכנגד הקביעות המתייחסות למודעותו של המשיב לעצם אפשרות גרימת התוצאה הקטלנית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לפנינו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בד בבד עם הגשת נימוקי הערעור הגיש המשיב בקשה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tl w:val="true"/>
        </w:rPr>
        <w:t xml:space="preserve">), </w:t>
      </w:r>
      <w:r>
        <w:rPr>
          <w:rtl w:val="true"/>
        </w:rPr>
        <w:t>להתיר לו להגיש ראיה חדשה במסגרת ערעורו</w:t>
      </w:r>
      <w:r>
        <w:rPr>
          <w:rtl w:val="true"/>
        </w:rPr>
        <w:t xml:space="preserve">, </w:t>
      </w:r>
      <w:r>
        <w:rPr>
          <w:rtl w:val="true"/>
        </w:rPr>
        <w:t>שעניינה חוות דעת</w:t>
      </w:r>
      <w:r>
        <w:rPr>
          <w:rtl w:val="true"/>
        </w:rPr>
        <w:t xml:space="preserve">, </w:t>
      </w:r>
      <w:r>
        <w:rPr>
          <w:rtl w:val="true"/>
        </w:rPr>
        <w:t>שנערכה על ידי פרופ</w:t>
      </w:r>
      <w:r>
        <w:rPr>
          <w:rtl w:val="true"/>
        </w:rPr>
        <w:t xml:space="preserve">' </w:t>
      </w:r>
      <w:r>
        <w:rPr>
          <w:rtl w:val="true"/>
        </w:rPr>
        <w:t xml:space="preserve">יהודה היס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החדשה</w:t>
      </w:r>
      <w:r>
        <w:rPr>
          <w:rtl w:val="true"/>
        </w:rPr>
        <w:t xml:space="preserve">), </w:t>
      </w:r>
      <w:r>
        <w:rPr>
          <w:rtl w:val="true"/>
        </w:rPr>
        <w:t>המתייחסת לקשר הסיבתי בין החבלות שחבל המשיב במנוח לגרימת מותו של המנוח</w:t>
      </w:r>
      <w:r>
        <w:rPr>
          <w:rtl w:val="true"/>
        </w:rPr>
        <w:t xml:space="preserve">. </w:t>
      </w:r>
      <w:r>
        <w:rPr>
          <w:rtl w:val="true"/>
        </w:rPr>
        <w:t>באת כוח המערערת התנגדה להגשת הראיה החדשה בערעור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בשל עיתוי הגשת הבקשה בסמוך לדיון בערעור</w:t>
      </w:r>
      <w:r>
        <w:rPr>
          <w:rtl w:val="true"/>
        </w:rPr>
        <w:t xml:space="preserve">, </w:t>
      </w:r>
      <w:r>
        <w:rPr>
          <w:rtl w:val="true"/>
        </w:rPr>
        <w:t xml:space="preserve">בדיון שהתקיים בפנינו ביום </w:t>
      </w:r>
      <w:r>
        <w:rPr/>
        <w:t>5.4.2021</w:t>
      </w:r>
      <w:r>
        <w:rPr>
          <w:rtl w:val="true"/>
        </w:rPr>
        <w:t xml:space="preserve"> </w:t>
      </w:r>
      <w:r>
        <w:rPr>
          <w:rtl w:val="true"/>
        </w:rPr>
        <w:t>טענו הצדדים רק לעניין הגשת הראיה החדשה</w:t>
      </w:r>
      <w:r>
        <w:rPr>
          <w:rtl w:val="true"/>
        </w:rPr>
        <w:t xml:space="preserve">, </w:t>
      </w:r>
      <w:r>
        <w:rPr>
          <w:rtl w:val="true"/>
        </w:rPr>
        <w:t>ולא נשמעו טענות לערעור גופו</w:t>
      </w:r>
      <w:r>
        <w:rPr>
          <w:rtl w:val="true"/>
        </w:rPr>
        <w:t xml:space="preserve">. </w:t>
      </w:r>
      <w:r>
        <w:rPr>
          <w:rtl w:val="true"/>
        </w:rPr>
        <w:t>במסגרת הדיון</w:t>
      </w:r>
      <w:r>
        <w:rPr>
          <w:rtl w:val="true"/>
        </w:rPr>
        <w:t xml:space="preserve">, </w:t>
      </w:r>
      <w:r>
        <w:rPr>
          <w:rtl w:val="true"/>
        </w:rPr>
        <w:t>קיבלנו לידינו את הראיה החדשה לצורך עיון בה</w:t>
      </w:r>
      <w:r>
        <w:rPr>
          <w:rtl w:val="true"/>
        </w:rPr>
        <w:t xml:space="preserve">, </w:t>
      </w:r>
      <w:r>
        <w:rPr>
          <w:rtl w:val="true"/>
        </w:rPr>
        <w:t>וניתנה לבאת כוח המערערת שהות להגיש בכתב את תגובתה לחוות הדעת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18.5.2021</w:t>
      </w:r>
      <w:r>
        <w:rPr>
          <w:rtl w:val="true"/>
        </w:rPr>
        <w:t xml:space="preserve">, </w:t>
      </w:r>
      <w:r>
        <w:rPr>
          <w:rtl w:val="true"/>
        </w:rPr>
        <w:t>הגיבה המערערת בכתב לבקשה להוספת הראייה החדשה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23.6.2021</w:t>
      </w:r>
      <w:r>
        <w:rPr>
          <w:rtl w:val="true"/>
        </w:rPr>
        <w:t xml:space="preserve"> </w:t>
      </w:r>
      <w:r>
        <w:rPr>
          <w:rtl w:val="true"/>
        </w:rPr>
        <w:t>התקיים דיון בערעור</w:t>
      </w:r>
      <w:r>
        <w:rPr>
          <w:rtl w:val="true"/>
        </w:rPr>
        <w:t xml:space="preserve">, </w:t>
      </w:r>
      <w:r>
        <w:rPr>
          <w:rtl w:val="true"/>
        </w:rPr>
        <w:t>ונשמעו טענות הצדדים הן באשר להוספת הראיה החדשה והן לערעורים גופם</w:t>
      </w:r>
      <w:r>
        <w:rPr>
          <w:rtl w:val="true"/>
        </w:rPr>
        <w:t xml:space="preserve">. </w:t>
      </w:r>
      <w:r>
        <w:rPr>
          <w:rtl w:val="true"/>
        </w:rPr>
        <w:t>בא כוח המשיב הסביר את אי הגשת הראיה החדשה במהלך הדיון בבית משפט קמא אף שהמשיב היה מיוצג באופן פרטי על ידי סנגור מטעמו</w:t>
      </w:r>
      <w:r>
        <w:rPr>
          <w:rtl w:val="true"/>
        </w:rPr>
        <w:t xml:space="preserve">, </w:t>
      </w:r>
      <w:r>
        <w:rPr>
          <w:rtl w:val="true"/>
        </w:rPr>
        <w:t>בחוסר יכולת כלכלית מצדו של המשיב</w:t>
      </w:r>
      <w:r>
        <w:rPr>
          <w:rtl w:val="true"/>
        </w:rPr>
        <w:t xml:space="preserve">. </w:t>
      </w:r>
      <w:r>
        <w:rPr>
          <w:rtl w:val="true"/>
        </w:rPr>
        <w:t>נטען כי הזמנת חוות הדעת התאפשרה לאחר הגשת הערעור במימונה של הסנגוריה הציבורית</w:t>
      </w:r>
      <w:r>
        <w:rPr>
          <w:rtl w:val="true"/>
        </w:rPr>
        <w:t xml:space="preserve">, </w:t>
      </w:r>
      <w:r>
        <w:rPr>
          <w:rtl w:val="true"/>
        </w:rPr>
        <w:t>שנטלה על עצמה את ייצוגו של המערער באמצעות מייצגו הנוכחי</w:t>
      </w:r>
      <w:r>
        <w:rPr>
          <w:rtl w:val="true"/>
        </w:rPr>
        <w:t xml:space="preserve">, </w:t>
      </w:r>
      <w:r>
        <w:rPr>
          <w:rtl w:val="true"/>
        </w:rPr>
        <w:t>שסבר כי הגשת הראיה החדשה נחוצה לשם ביסוס הגנתו של המשיב בדבר טענתו להעדר קשר סיבתי בין החבלות שחבל המשיב במנוח לגרימת מותו של המנוח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נטען כי יש בראיה החדשה כדי לשנות את הכרעת הדין ובלשונו של הסנגור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המצב השתנה</w:t>
      </w:r>
      <w:r>
        <w:rPr>
          <w:rtl w:val="true"/>
        </w:rPr>
        <w:t xml:space="preserve">. </w:t>
      </w:r>
      <w:r>
        <w:rPr>
          <w:rtl w:val="true"/>
        </w:rPr>
        <w:t>יש לי ראיה שמשנה את הכרעת הדין</w:t>
      </w:r>
      <w:r>
        <w:rPr>
          <w:rtl w:val="true"/>
        </w:rPr>
        <w:t xml:space="preserve">, </w:t>
      </w:r>
      <w:r>
        <w:rPr>
          <w:rtl w:val="true"/>
        </w:rPr>
        <w:t>יושב אדם</w:t>
      </w:r>
      <w:r>
        <w:rPr>
          <w:rtl w:val="true"/>
        </w:rPr>
        <w:t xml:space="preserve">, </w:t>
      </w:r>
      <w:r>
        <w:rPr>
          <w:rtl w:val="true"/>
        </w:rPr>
        <w:t>לא הגיש חוות דעת</w:t>
      </w:r>
      <w:r>
        <w:rPr>
          <w:rtl w:val="true"/>
        </w:rPr>
        <w:t xml:space="preserve">, </w:t>
      </w:r>
      <w:r>
        <w:rPr>
          <w:rtl w:val="true"/>
        </w:rPr>
        <w:t>נניח שהסנגור חשב אחרת</w:t>
      </w:r>
      <w:r>
        <w:rPr>
          <w:rtl w:val="true"/>
        </w:rPr>
        <w:t xml:space="preserve">, </w:t>
      </w:r>
      <w:r>
        <w:rPr>
          <w:rtl w:val="true"/>
        </w:rPr>
        <w:t>טעה או לא משנה מה</w:t>
      </w:r>
      <w:r>
        <w:rPr>
          <w:rtl w:val="true"/>
        </w:rPr>
        <w:t xml:space="preserve">...". </w:t>
      </w:r>
      <w:r>
        <w:rPr>
          <w:rtl w:val="true"/>
        </w:rPr>
        <w:t>לטענת בא כוח המשיב</w:t>
      </w:r>
      <w:r>
        <w:rPr>
          <w:rtl w:val="true"/>
        </w:rPr>
        <w:t xml:space="preserve">, </w:t>
      </w:r>
      <w:r>
        <w:rPr>
          <w:rtl w:val="true"/>
        </w:rPr>
        <w:t>השיקול המרכזי שצריך להכריע את הכף אל עבר החלטה לקבל את הראיה החדשה גם בשלב הערעור</w:t>
      </w:r>
      <w:r>
        <w:rPr>
          <w:rtl w:val="true"/>
        </w:rPr>
        <w:t xml:space="preserve">, </w:t>
      </w:r>
      <w:r>
        <w:rPr>
          <w:rtl w:val="true"/>
        </w:rPr>
        <w:t>הוא הפוטנציאל הטמון בראיה לשנות את תוצאת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במיוחד כך כאשר </w:t>
      </w:r>
      <w:r>
        <w:rPr>
          <w:rtl w:val="true"/>
        </w:rPr>
        <w:t>"</w:t>
      </w:r>
      <w:r>
        <w:rPr>
          <w:rtl w:val="true"/>
        </w:rPr>
        <w:t>אין בראיה כדי לשנות את גדר המחלוקת</w:t>
      </w:r>
      <w:r>
        <w:rPr>
          <w:rtl w:val="true"/>
        </w:rPr>
        <w:t xml:space="preserve">, </w:t>
      </w:r>
      <w:r>
        <w:rPr>
          <w:rtl w:val="true"/>
        </w:rPr>
        <w:t>והיא רק מבססת ומשלימה את החסר בעניין טענות שכבר הועלו על ידי ההגנה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בכתבי הטענות על נספחיהם</w:t>
      </w:r>
      <w:r>
        <w:rPr>
          <w:rtl w:val="true"/>
        </w:rPr>
        <w:t xml:space="preserve">, </w:t>
      </w:r>
      <w:r>
        <w:rPr>
          <w:rtl w:val="true"/>
        </w:rPr>
        <w:t>ושמיעת טענות הצדדים בדיונים בפנינו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ערעור המשיב על הכרעת הדין להידחות</w:t>
      </w:r>
      <w:r>
        <w:rPr>
          <w:rtl w:val="true"/>
        </w:rPr>
        <w:t xml:space="preserve">, </w:t>
      </w:r>
      <w:r>
        <w:rPr>
          <w:rtl w:val="true"/>
        </w:rPr>
        <w:t>ודין ערעור המערערת על גזר הדין להתקבל</w:t>
      </w:r>
      <w:r>
        <w:rPr>
          <w:rtl w:val="true"/>
        </w:rPr>
        <w:t xml:space="preserve">, </w:t>
      </w:r>
      <w:r>
        <w:rPr>
          <w:rtl w:val="true"/>
        </w:rPr>
        <w:t>כפי שיפורט בהמשך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לצירוף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החדשה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המשיב ביקש</w:t>
      </w:r>
      <w:r>
        <w:rPr>
          <w:rtl w:val="true"/>
        </w:rPr>
        <w:t xml:space="preserve">, </w:t>
      </w:r>
      <w:r>
        <w:rPr>
          <w:rtl w:val="true"/>
        </w:rPr>
        <w:t>במקביל להגשת ערעורו</w:t>
      </w:r>
      <w:r>
        <w:rPr>
          <w:rtl w:val="true"/>
        </w:rPr>
        <w:t xml:space="preserve">, </w:t>
      </w:r>
      <w:r>
        <w:rPr>
          <w:rtl w:val="true"/>
        </w:rPr>
        <w:t>להגיש ראיה חדשה שעניינה חוות דעת פתולוגית</w:t>
      </w:r>
      <w:r>
        <w:rPr>
          <w:rtl w:val="true"/>
        </w:rPr>
        <w:t xml:space="preserve">, </w:t>
      </w:r>
      <w:r>
        <w:rPr>
          <w:rtl w:val="true"/>
        </w:rPr>
        <w:t>המטילה לכאורה ספק בקשר הסיבתי בין החבלות שחבל המשיב במנוח לבין גרימת מותו של המנוח בהיותו בעל ליקויים רפואיים וגופניים שונים</w:t>
      </w:r>
      <w:r>
        <w:rPr>
          <w:rtl w:val="true"/>
        </w:rPr>
        <w:t xml:space="preserve">, </w:t>
      </w:r>
      <w:r>
        <w:rPr>
          <w:rtl w:val="true"/>
        </w:rPr>
        <w:t>אשר יתכן והביאו למותו</w:t>
      </w:r>
      <w:r>
        <w:rPr>
          <w:rtl w:val="true"/>
        </w:rPr>
        <w:t xml:space="preserve">, </w:t>
      </w:r>
      <w:r>
        <w:rPr>
          <w:rtl w:val="true"/>
        </w:rPr>
        <w:t>ללא קשר לחבלות שנגרמו לו</w:t>
      </w:r>
      <w:r>
        <w:rPr>
          <w:rtl w:val="true"/>
        </w:rPr>
        <w:t xml:space="preserve">. </w:t>
      </w:r>
      <w:r>
        <w:rPr>
          <w:rtl w:val="true"/>
        </w:rPr>
        <w:t>דין בקשה זו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הכלל הוא כי יש להביא את מלוא חומר הראיות בפני הערכאה הדיונית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2697/14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)).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מהווה חריג לכלל זה</w:t>
      </w:r>
      <w:r>
        <w:rPr>
          <w:rtl w:val="true"/>
        </w:rPr>
        <w:t xml:space="preserve">, </w:t>
      </w:r>
      <w:r>
        <w:rPr>
          <w:rtl w:val="true"/>
        </w:rPr>
        <w:t>ובפסיקת בית משפט זה נקבע כי שלושה שיקולים עיקריים יישקלו על ידי ערכאת הערעור</w:t>
      </w:r>
      <w:r>
        <w:rPr>
          <w:rtl w:val="true"/>
        </w:rPr>
        <w:t xml:space="preserve">, </w:t>
      </w:r>
      <w:r>
        <w:rPr>
          <w:rtl w:val="true"/>
        </w:rPr>
        <w:t>בבואה להכריע בבקשה להוספת ראיות בשלב הערעור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אם היה באפשרותו של המבקש להשיג את הראיות הנוספות במהלך הדיון בערכאה הדיונית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האינטרס בדבר השמירה על עקרון סופיות הדיון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 xml:space="preserve">טיבן של הראיות הנוספות והסיכוי שהגשתן תביא לשינוי התוצאה שאליה הגיעה הערכאה הקודמת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1742/91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589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מצביעים שלושת שיקולים אלה על כי יש לדחות את הבקשה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חוות הדעת הפתולוגית שהמשיב מבקש להגיש כראיה חדשה יכולה הייתה להיות ערוכה ומוגשת כבר במהלך הדיונים בבית משפט קמא</w:t>
      </w:r>
      <w:r>
        <w:rPr>
          <w:rtl w:val="true"/>
        </w:rPr>
        <w:t xml:space="preserve">. </w:t>
      </w:r>
      <w:r>
        <w:rPr>
          <w:rtl w:val="true"/>
        </w:rPr>
        <w:t>טענת המשיב לחיסרון כיס בהקשר זה אין בה כדי להצדיק הגשת ראיה חדשה בשלב הערעור</w:t>
      </w:r>
      <w:r>
        <w:rPr>
          <w:rtl w:val="true"/>
        </w:rPr>
        <w:t xml:space="preserve">, </w:t>
      </w:r>
      <w:r>
        <w:rPr>
          <w:rtl w:val="true"/>
        </w:rPr>
        <w:t>וזאת בוודאי בשים לב לכך שבשלב הדיון בבית משפט קמא היה המשיב מיוצג על ידי סנגור בשכר</w:t>
      </w:r>
      <w:r>
        <w:rPr>
          <w:rtl w:val="true"/>
        </w:rPr>
        <w:t xml:space="preserve">, </w:t>
      </w:r>
      <w:r>
        <w:rPr>
          <w:rtl w:val="true"/>
        </w:rPr>
        <w:t>וכי לא הועלתה על ידי המשיב כל טענה בדבר כשל בייצוג שניתן לו על ידי מייצגו הקודם</w:t>
      </w:r>
      <w:r>
        <w:rPr>
          <w:rtl w:val="true"/>
        </w:rPr>
        <w:t xml:space="preserve">. </w:t>
      </w:r>
      <w:r>
        <w:rPr>
          <w:rtl w:val="true"/>
        </w:rPr>
        <w:t>כעת מיוצג המבקש בידי הסנגוריה הציבורית</w:t>
      </w:r>
      <w:r>
        <w:rPr>
          <w:rtl w:val="true"/>
        </w:rPr>
        <w:t xml:space="preserve">, </w:t>
      </w:r>
      <w:r>
        <w:rPr>
          <w:rtl w:val="true"/>
        </w:rPr>
        <w:t>ואין בחילופי צוות ההגנה כדי להצדיק מתן אפשרות להציג ראיות חדשות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מדובר בניסיון לביצוע מקצה שיפורים בשלב הערעור</w:t>
      </w:r>
      <w:r>
        <w:rPr>
          <w:rtl w:val="true"/>
        </w:rPr>
        <w:t xml:space="preserve">, </w:t>
      </w:r>
      <w:r>
        <w:rPr>
          <w:rtl w:val="true"/>
        </w:rPr>
        <w:t>באופן המנוגד ניגוד חזיתי לעקרון סופיות הדיון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הן השיקול בדבר אפשרות הגשת הראיה בערכאה הדיונית והן השיקול בדבר סופיות הדיון</w:t>
      </w:r>
      <w:r>
        <w:rPr>
          <w:rtl w:val="true"/>
        </w:rPr>
        <w:t xml:space="preserve">, </w:t>
      </w:r>
      <w:r>
        <w:rPr>
          <w:rtl w:val="true"/>
        </w:rPr>
        <w:t>מצביעים בבירור ובמפורש על כי אין מקום להיענות לבקשת המשיב להגשת ראיה חדשה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אף השיקול השלישי </w:t>
      </w:r>
      <w:r>
        <w:rPr>
          <w:rtl w:val="true"/>
        </w:rPr>
        <w:t>–</w:t>
      </w:r>
      <w:r>
        <w:rPr>
          <w:rtl w:val="true"/>
        </w:rPr>
        <w:t xml:space="preserve"> הפוטנציאל הראייתי הטמון בראיה החדשה להביא לשינוי התוצאה </w:t>
      </w:r>
      <w:r>
        <w:rPr>
          <w:rtl w:val="true"/>
        </w:rPr>
        <w:t>–</w:t>
      </w:r>
      <w:r>
        <w:rPr>
          <w:rtl w:val="true"/>
        </w:rPr>
        <w:t xml:space="preserve"> מלמד שאין מקום להיעתר לבקשה</w:t>
      </w:r>
      <w:r>
        <w:rPr>
          <w:rtl w:val="true"/>
        </w:rPr>
        <w:t xml:space="preserve">. </w:t>
      </w:r>
      <w:r>
        <w:rPr>
          <w:rtl w:val="true"/>
        </w:rPr>
        <w:t>הראיה החדשה מטילה לכאורה ספק בקביעה שמותו של המנוח נגרם כתוצאה מהדימום התת</w:t>
      </w:r>
      <w:r>
        <w:rPr>
          <w:rtl w:val="true"/>
        </w:rPr>
        <w:t>-</w:t>
      </w:r>
      <w:r>
        <w:rPr>
          <w:rtl w:val="true"/>
        </w:rPr>
        <w:t>עכבישי במוחו</w:t>
      </w:r>
      <w:r>
        <w:rPr>
          <w:rtl w:val="true"/>
        </w:rPr>
        <w:t xml:space="preserve">, </w:t>
      </w:r>
      <w:r>
        <w:rPr>
          <w:rtl w:val="true"/>
        </w:rPr>
        <w:t xml:space="preserve">וכן מעלה השערה כי מחלות כרוניות שונות מהן סבל </w:t>
      </w:r>
      <w:r>
        <w:rPr>
          <w:rtl w:val="true"/>
        </w:rPr>
        <w:t>–</w:t>
      </w:r>
      <w:r>
        <w:rPr>
          <w:rtl w:val="true"/>
        </w:rPr>
        <w:t xml:space="preserve"> מחלת שריר הלב</w:t>
      </w:r>
      <w:r>
        <w:rPr>
          <w:rtl w:val="true"/>
        </w:rPr>
        <w:t xml:space="preserve">, </w:t>
      </w:r>
      <w:r>
        <w:rPr>
          <w:rtl w:val="true"/>
        </w:rPr>
        <w:t xml:space="preserve">שחמת הכבד והימצאות כמות גדולה של סם מסוג מתאדון בדמו של המנוח </w:t>
      </w:r>
      <w:r>
        <w:rPr>
          <w:rtl w:val="true"/>
        </w:rPr>
        <w:t>–</w:t>
      </w:r>
      <w:r>
        <w:rPr>
          <w:rtl w:val="true"/>
        </w:rPr>
        <w:t xml:space="preserve"> יכולות היו להביא למותו של המנוח גם ללא קשר לחבלות שחבל בו המשיב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עיון בחוות הדעת הפתולוגית </w:t>
      </w:r>
      <w:r>
        <w:rPr>
          <w:rtl w:val="true"/>
        </w:rPr>
        <w:t>–</w:t>
      </w:r>
      <w:r>
        <w:rPr>
          <w:rtl w:val="true"/>
        </w:rPr>
        <w:t xml:space="preserve"> הראיה החדשה </w:t>
      </w:r>
      <w:r>
        <w:rPr>
          <w:rtl w:val="true"/>
        </w:rPr>
        <w:t>–</w:t>
      </w:r>
      <w:r>
        <w:rPr>
          <w:rtl w:val="true"/>
        </w:rPr>
        <w:t xml:space="preserve"> מעלה כי אין בה כדי להפריך את ממצאי העובדה שנקבעו בבית משפט קמא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קוטיק</w:t>
      </w:r>
      <w:r>
        <w:rPr>
          <w:rtl w:val="true"/>
        </w:rPr>
        <w:t xml:space="preserve">, </w:t>
      </w:r>
      <w:r>
        <w:rPr>
          <w:rtl w:val="true"/>
        </w:rPr>
        <w:t>המומחה מטעם המערערת</w:t>
      </w:r>
      <w:r>
        <w:rPr>
          <w:rtl w:val="true"/>
        </w:rPr>
        <w:t xml:space="preserve">, </w:t>
      </w:r>
      <w:r>
        <w:rPr>
          <w:rtl w:val="true"/>
        </w:rPr>
        <w:t>קבע כי מותו של המנוח נגרם קרוב לוודאי בעקבות דימום תת</w:t>
      </w:r>
      <w:r>
        <w:rPr>
          <w:rtl w:val="true"/>
        </w:rPr>
        <w:t>-</w:t>
      </w:r>
      <w:r>
        <w:rPr>
          <w:rtl w:val="true"/>
        </w:rPr>
        <w:t>עכבישי עקב חבלות קהות בראש ובצוואר תוך הפניה לסימני חבלה בקרקפת</w:t>
      </w:r>
      <w:r>
        <w:rPr>
          <w:rtl w:val="true"/>
        </w:rPr>
        <w:t xml:space="preserve">, </w:t>
      </w:r>
      <w:r>
        <w:rPr>
          <w:rtl w:val="true"/>
        </w:rPr>
        <w:t>בצוואר ובגב העליון</w:t>
      </w:r>
      <w:r>
        <w:rPr>
          <w:rtl w:val="true"/>
        </w:rPr>
        <w:t xml:space="preserve">, </w:t>
      </w:r>
      <w:r>
        <w:rPr>
          <w:rtl w:val="true"/>
        </w:rPr>
        <w:t>ובהעדר כל סיבה מורפולוגית אחרת שהייתה יכולה לגרום למותו של המנוח</w:t>
      </w:r>
      <w:r>
        <w:rPr>
          <w:rtl w:val="true"/>
        </w:rPr>
        <w:t xml:space="preserve">, </w:t>
      </w:r>
      <w:r>
        <w:rPr>
          <w:rtl w:val="true"/>
        </w:rPr>
        <w:t>פרט לדימום התת</w:t>
      </w:r>
      <w:r>
        <w:rPr>
          <w:rtl w:val="true"/>
        </w:rPr>
        <w:t>-</w:t>
      </w:r>
      <w:r>
        <w:rPr>
          <w:rtl w:val="true"/>
        </w:rPr>
        <w:t>עכבישי בגזע המח</w:t>
      </w:r>
      <w:r>
        <w:rPr>
          <w:rtl w:val="true"/>
        </w:rPr>
        <w:t xml:space="preserve">. </w:t>
      </w:r>
      <w:r>
        <w:rPr>
          <w:rtl w:val="true"/>
        </w:rPr>
        <w:t>על קביעות אלה חזר ד</w:t>
      </w:r>
      <w:r>
        <w:rPr>
          <w:rtl w:val="true"/>
        </w:rPr>
        <w:t>"</w:t>
      </w:r>
      <w:r>
        <w:rPr>
          <w:rtl w:val="true"/>
        </w:rPr>
        <w:t>ר קוטיק גם בעדותו בבית המשפט</w:t>
      </w:r>
      <w:r>
        <w:rPr>
          <w:rtl w:val="true"/>
        </w:rPr>
        <w:t xml:space="preserve">. </w:t>
      </w:r>
      <w:r>
        <w:rPr>
          <w:rtl w:val="true"/>
        </w:rPr>
        <w:t>בית משפט קמא אימץ קביעות אלה</w:t>
      </w:r>
      <w:r>
        <w:rPr>
          <w:rtl w:val="true"/>
        </w:rPr>
        <w:t xml:space="preserve">, </w:t>
      </w:r>
      <w:r>
        <w:rPr>
          <w:rtl w:val="true"/>
        </w:rPr>
        <w:t>לאחר שההגנה ניסתה במהלך הדיון בבית משפט קמא ללא הצלחה לערער עליהן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במסגרת הערעור</w:t>
      </w:r>
      <w:r>
        <w:rPr>
          <w:rtl w:val="true"/>
        </w:rPr>
        <w:t xml:space="preserve">, </w:t>
      </w:r>
      <w:r>
        <w:rPr>
          <w:rtl w:val="true"/>
        </w:rPr>
        <w:t>מבקשת ההגנה מחד גיסא לשוב ולערער על קביעות אלה בהסתמך על הראיה החדשה</w:t>
      </w:r>
      <w:r>
        <w:rPr>
          <w:rtl w:val="true"/>
        </w:rPr>
        <w:t xml:space="preserve">, </w:t>
      </w:r>
      <w:r>
        <w:rPr>
          <w:rtl w:val="true"/>
        </w:rPr>
        <w:t>כשמאידך גיסא הראיה החדשה מבקשת להתמודד עם קביעות אלה באמצעות העלאת ספקות והשערות שהמקום לבררם היה בעת עמידתו של ד</w:t>
      </w:r>
      <w:r>
        <w:rPr>
          <w:rtl w:val="true"/>
        </w:rPr>
        <w:t>"</w:t>
      </w:r>
      <w:r>
        <w:rPr>
          <w:rtl w:val="true"/>
        </w:rPr>
        <w:t>ר קוטיק על דוכן העדים</w:t>
      </w:r>
      <w:r>
        <w:rPr>
          <w:rtl w:val="true"/>
        </w:rPr>
        <w:t xml:space="preserve">. </w:t>
      </w:r>
      <w:r>
        <w:rPr>
          <w:rtl w:val="true"/>
        </w:rPr>
        <w:t>אין די בחוות דעת המעלה ספקות והשערות מסוג זה</w:t>
      </w:r>
      <w:r>
        <w:rPr>
          <w:rtl w:val="true"/>
        </w:rPr>
        <w:t xml:space="preserve">, </w:t>
      </w:r>
      <w:r>
        <w:rPr>
          <w:rtl w:val="true"/>
        </w:rPr>
        <w:t>כדי להצדיק צירוף ראיה חדשה</w:t>
      </w:r>
      <w:r>
        <w:rPr>
          <w:rtl w:val="true"/>
        </w:rPr>
        <w:t xml:space="preserve">, </w:t>
      </w:r>
      <w:r>
        <w:rPr>
          <w:rtl w:val="true"/>
        </w:rPr>
        <w:t>באופן שהלכה למעשה ידרוש בחינת ראיות וממצאי עובדה מחדש</w:t>
      </w:r>
      <w:r>
        <w:rPr>
          <w:rtl w:val="true"/>
        </w:rPr>
        <w:t xml:space="preserve">, </w:t>
      </w:r>
      <w:r>
        <w:rPr>
          <w:rtl w:val="true"/>
        </w:rPr>
        <w:t>כמקצה שיפורים לקו הגנה שכשל</w:t>
      </w:r>
      <w:r>
        <w:rPr>
          <w:rtl w:val="true"/>
        </w:rPr>
        <w:t xml:space="preserve">, </w:t>
      </w:r>
      <w:r>
        <w:rPr>
          <w:rtl w:val="true"/>
        </w:rPr>
        <w:t>ובהיעדר כל סיבה מוצדקת לכך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נושא הקשר הסיבתי היה במחלוקת בין הצדדים וההגנה לא חסכה בטיעוניה בסוגיה זו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משניתנה הכרעת דין</w:t>
      </w:r>
      <w:r>
        <w:rPr>
          <w:rtl w:val="true"/>
        </w:rPr>
        <w:t xml:space="preserve">, </w:t>
      </w:r>
      <w:r>
        <w:rPr>
          <w:rtl w:val="true"/>
        </w:rPr>
        <w:t>מבקשת ההגנה לשוב ולדון מחדש בסוגיה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ובהקשר לטענה שאף היא בגדר השערה כי מותו של המנוח יכול היה להיגרם כתוצאה ממחלותיו הכרוניות מהן סבל</w:t>
      </w:r>
      <w:r>
        <w:rPr>
          <w:rtl w:val="true"/>
        </w:rPr>
        <w:t xml:space="preserve">, </w:t>
      </w:r>
      <w:r>
        <w:rPr>
          <w:rtl w:val="true"/>
        </w:rPr>
        <w:t xml:space="preserve">אעיר כי על פי הוראת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המתה כוללת אף החשת מותו של אדם הסובל ממחלה או מפגיעה שעשויות היו לגרום למותו אף אלמלא המעשה או המחדל שהוביל למוות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בשים לב לטיב הראיה החדשה והסיכויים הקלושים ביותר שיש בה כדי להוביל לשינוי תוצאת ההליך בבית משפט קמא</w:t>
      </w:r>
      <w:r>
        <w:rPr>
          <w:rtl w:val="true"/>
        </w:rPr>
        <w:t xml:space="preserve">, </w:t>
      </w:r>
      <w:r>
        <w:rPr>
          <w:rtl w:val="true"/>
        </w:rPr>
        <w:t>ברי כי יש לדחות את הבקשה להוספתה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מתמקד ערעור המשיב על הכרעת הדין בטענות כנגד ממצאי עובדה ומהימנות שנקבעו בבית 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חלק ניכר מערעור המשיב חוסה תחת הכותרת </w:t>
      </w:r>
      <w:r>
        <w:rPr>
          <w:rtl w:val="true"/>
        </w:rPr>
        <w:t>"</w:t>
      </w:r>
      <w:r>
        <w:rPr>
          <w:rtl w:val="true"/>
        </w:rPr>
        <w:t>הקביעות העובדתיות של בית משפט קמא שגויות</w:t>
      </w:r>
      <w:r>
        <w:rPr>
          <w:rtl w:val="true"/>
        </w:rPr>
        <w:t xml:space="preserve">", </w:t>
      </w:r>
      <w:r>
        <w:rPr>
          <w:rtl w:val="true"/>
        </w:rPr>
        <w:t>כאשר בין היתר נטען כי המנוח הוא שהכה את המשיב ראשון</w:t>
      </w:r>
      <w:r>
        <w:rPr>
          <w:rtl w:val="true"/>
        </w:rPr>
        <w:t xml:space="preserve">; </w:t>
      </w:r>
      <w:r>
        <w:rPr>
          <w:rtl w:val="true"/>
        </w:rPr>
        <w:t>כי לא היה מקום לקבוע שהמשיב היה שתוי</w:t>
      </w:r>
      <w:r>
        <w:rPr>
          <w:rtl w:val="true"/>
        </w:rPr>
        <w:t xml:space="preserve">; </w:t>
      </w:r>
      <w:r>
        <w:rPr>
          <w:rtl w:val="true"/>
        </w:rPr>
        <w:t>כי לא היה מקום לתת אמון מלא בעדויותיהם של עדים שונים</w:t>
      </w:r>
      <w:r>
        <w:rPr>
          <w:rtl w:val="true"/>
        </w:rPr>
        <w:t xml:space="preserve">; </w:t>
      </w:r>
      <w:r>
        <w:rPr>
          <w:rtl w:val="true"/>
        </w:rPr>
        <w:t>כי היה מקום לתת אמון רב יותר בעדותו של המשיב עצמו</w:t>
      </w:r>
      <w:r>
        <w:rPr>
          <w:rtl w:val="true"/>
        </w:rPr>
        <w:t xml:space="preserve">; </w:t>
      </w:r>
      <w:r>
        <w:rPr>
          <w:rtl w:val="true"/>
        </w:rPr>
        <w:t>וכן הלאה</w:t>
      </w:r>
      <w:r>
        <w:rPr>
          <w:rtl w:val="true"/>
        </w:rPr>
        <w:t xml:space="preserve">. </w:t>
      </w:r>
      <w:r>
        <w:rPr>
          <w:rtl w:val="true"/>
        </w:rPr>
        <w:t>כן נטען כי המשיב לא היה מודע לאפשרות גרימת תוצאת המוות</w:t>
      </w:r>
      <w:r>
        <w:rPr>
          <w:rtl w:val="true"/>
        </w:rPr>
        <w:t xml:space="preserve">; </w:t>
      </w:r>
      <w:r>
        <w:rPr>
          <w:rtl w:val="true"/>
        </w:rPr>
        <w:t>כי היה מקום לתת אמון בגרסתו לפיה הוא הותקף ראשון בזירה הראשונה</w:t>
      </w:r>
      <w:r>
        <w:rPr>
          <w:rtl w:val="true"/>
        </w:rPr>
        <w:t xml:space="preserve">; </w:t>
      </w:r>
      <w:r>
        <w:rPr>
          <w:rtl w:val="true"/>
        </w:rPr>
        <w:t>וכי במהלך האירוע בזירה השנייה המשיב התנהג באופן שיש לראות בו הגנה עצמית</w:t>
      </w:r>
      <w:r>
        <w:rPr>
          <w:rtl w:val="true"/>
        </w:rPr>
        <w:t xml:space="preserve">. </w:t>
      </w:r>
      <w:r>
        <w:rPr>
          <w:rtl w:val="true"/>
        </w:rPr>
        <w:t>במהלך הדיון לפנינו</w:t>
      </w:r>
      <w:r>
        <w:rPr>
          <w:rtl w:val="true"/>
        </w:rPr>
        <w:t xml:space="preserve">, </w:t>
      </w:r>
      <w:r>
        <w:rPr>
          <w:rtl w:val="true"/>
        </w:rPr>
        <w:t>צמצם בא כוח המשיב את השגותיו ומיקד את טענתו בטענת ההגנה העצמית בזירה השנייה בלבד</w:t>
      </w:r>
      <w:r>
        <w:rPr>
          <w:rtl w:val="true"/>
        </w:rPr>
        <w:t xml:space="preserve">; </w:t>
      </w:r>
      <w:r>
        <w:rPr>
          <w:rtl w:val="true"/>
        </w:rPr>
        <w:t>בקיום הקשר הסיבתי בין המכות שהכה המשיב את המנוח למוות</w:t>
      </w:r>
      <w:r>
        <w:rPr>
          <w:rtl w:val="true"/>
        </w:rPr>
        <w:t xml:space="preserve">; </w:t>
      </w:r>
      <w:r>
        <w:rPr>
          <w:rtl w:val="true"/>
        </w:rPr>
        <w:t>ובמודעותו של המשיב לאפשרות גרימת מותו של 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 היא כי ערכאת הערעור אינה נוטה להתערב בממצאי עובדה ומהימנות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וזאת לאור יכולתה של הערכאה הדיונית להתרשם באופן בלתי אמצעי מן העדים והראיות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3.1.2021</w:t>
      </w:r>
      <w:r>
        <w:rPr>
          <w:rtl w:val="true"/>
        </w:rPr>
        <w:t xml:space="preserve">)). </w:t>
      </w:r>
      <w:r>
        <w:rPr>
          <w:rtl w:val="true"/>
        </w:rPr>
        <w:t>המשיב לא הציג כל טעם חריג אשר יכול להצדיק התערבות כזו בממצאי עובדה ומהימנות</w:t>
      </w:r>
      <w:r>
        <w:rPr>
          <w:rtl w:val="true"/>
        </w:rPr>
        <w:t xml:space="preserve">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מהוות כל הטענות בהקשרים אלה ניסיון לבצע מקצה שיפורים ביחס לקביעותיו של בית 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מצאתי להתעכב על טענת המשיב</w:t>
      </w:r>
      <w:r>
        <w:rPr>
          <w:rtl w:val="true"/>
        </w:rPr>
        <w:t xml:space="preserve">, </w:t>
      </w:r>
      <w:r>
        <w:rPr>
          <w:rtl w:val="true"/>
        </w:rPr>
        <w:t>לפיה לא הוכח קשר סיבתי בין מעשיו לבין גרימת מותו של המשיב</w:t>
      </w:r>
      <w:r>
        <w:rPr>
          <w:rtl w:val="true"/>
        </w:rPr>
        <w:t xml:space="preserve">. </w:t>
      </w:r>
      <w:r>
        <w:rPr>
          <w:rtl w:val="true"/>
        </w:rPr>
        <w:t>לשיטת המשיב</w:t>
      </w:r>
      <w:r>
        <w:rPr>
          <w:rtl w:val="true"/>
        </w:rPr>
        <w:t xml:space="preserve">, </w:t>
      </w:r>
      <w:r>
        <w:rPr>
          <w:rtl w:val="true"/>
        </w:rPr>
        <w:t xml:space="preserve">קביעת בית משפט קמא לפיה קיים קשר סיבתי בין המכות שהכה המשיב את המנוח ובין מות המנוח </w:t>
      </w:r>
      <w:r>
        <w:rPr>
          <w:rtl w:val="true"/>
        </w:rPr>
        <w:t>–</w:t>
      </w:r>
      <w:r>
        <w:rPr>
          <w:rtl w:val="true"/>
        </w:rPr>
        <w:t xml:space="preserve"> שגויה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מודגש כי בית משפט קמא לא הכריע בשאלה איזו מהמכות שהכה המשיב את המנוח</w:t>
      </w:r>
      <w:r>
        <w:rPr>
          <w:rtl w:val="true"/>
        </w:rPr>
        <w:t xml:space="preserve">, </w:t>
      </w:r>
      <w:r>
        <w:rPr>
          <w:rtl w:val="true"/>
        </w:rPr>
        <w:t>היא שגרמה למוות</w:t>
      </w:r>
      <w:r>
        <w:rPr>
          <w:rtl w:val="true"/>
        </w:rPr>
        <w:t xml:space="preserve">. </w:t>
      </w:r>
      <w:r>
        <w:rPr>
          <w:rtl w:val="true"/>
        </w:rPr>
        <w:t>כן נטען כי למנוח היו ליקויים בריאותיים שונים</w:t>
      </w:r>
      <w:r>
        <w:rPr>
          <w:rtl w:val="true"/>
        </w:rPr>
        <w:t xml:space="preserve">, </w:t>
      </w:r>
      <w:r>
        <w:rPr>
          <w:rtl w:val="true"/>
        </w:rPr>
        <w:t>שיכולים היו להביא למותו ללא קשר למכות שקיבל</w:t>
      </w:r>
      <w:r>
        <w:rPr>
          <w:rtl w:val="true"/>
        </w:rPr>
        <w:t xml:space="preserve">, </w:t>
      </w:r>
      <w:r>
        <w:rPr>
          <w:rtl w:val="true"/>
        </w:rPr>
        <w:t>וכי לא הוברר עד תום טיב הקשר בין הדימום התת</w:t>
      </w:r>
      <w:r>
        <w:rPr>
          <w:rtl w:val="true"/>
        </w:rPr>
        <w:t>-</w:t>
      </w:r>
      <w:r>
        <w:rPr>
          <w:rtl w:val="true"/>
        </w:rPr>
        <w:t>עכבישי שנמצא במוחו של המנוח לבין מותו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 מצאתי ממש בטענה זו</w:t>
      </w:r>
      <w:r>
        <w:rPr>
          <w:rtl w:val="true"/>
        </w:rPr>
        <w:t xml:space="preserve">. </w:t>
      </w:r>
      <w:r>
        <w:rPr>
          <w:rtl w:val="true"/>
        </w:rPr>
        <w:t>בית משפט קמא קבע כי המכות שהמשיב הנחית על המנוח הן שהביאו למותו של המנוח</w:t>
      </w:r>
      <w:r>
        <w:rPr>
          <w:rtl w:val="true"/>
        </w:rPr>
        <w:t>. "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הוכח קיומו של קשר סיבתי עובדתי בין המכות שהכה הנאשם את המנוח למותו של המנוח</w:t>
      </w:r>
      <w:r>
        <w:rPr>
          <w:rtl w:val="true"/>
        </w:rPr>
        <w:t xml:space="preserve">, </w:t>
      </w:r>
      <w:r>
        <w:rPr>
          <w:rtl w:val="true"/>
        </w:rPr>
        <w:t>מעבר לכל ספק סביר</w:t>
      </w:r>
      <w:r>
        <w:rPr>
          <w:rtl w:val="true"/>
        </w:rPr>
        <w:t xml:space="preserve">. </w:t>
      </w:r>
      <w:r>
        <w:rPr>
          <w:rtl w:val="true"/>
        </w:rPr>
        <w:t>הנאשם היכה את המנוח במכות אגרוף בראשו</w:t>
      </w:r>
      <w:r>
        <w:rPr>
          <w:rtl w:val="true"/>
        </w:rPr>
        <w:t xml:space="preserve">, </w:t>
      </w:r>
      <w:r>
        <w:rPr>
          <w:rtl w:val="true"/>
        </w:rPr>
        <w:t xml:space="preserve">ואף עשה שימוש כזה או אחר ברגליו </w:t>
      </w:r>
      <w:r>
        <w:rPr>
          <w:rtl w:val="true"/>
        </w:rPr>
        <w:t>(</w:t>
      </w:r>
      <w:r>
        <w:rPr>
          <w:rtl w:val="true"/>
        </w:rPr>
        <w:t>בעיטות או דריכות</w:t>
      </w:r>
      <w:r>
        <w:rPr>
          <w:rtl w:val="true"/>
        </w:rPr>
        <w:t xml:space="preserve">) </w:t>
      </w:r>
      <w:r>
        <w:rPr>
          <w:rtl w:val="true"/>
        </w:rPr>
        <w:t>על המנוח בזירה הראשונה</w:t>
      </w:r>
      <w:r>
        <w:rPr>
          <w:rtl w:val="true"/>
        </w:rPr>
        <w:t xml:space="preserve">. </w:t>
      </w:r>
      <w:r>
        <w:rPr>
          <w:rtl w:val="true"/>
        </w:rPr>
        <w:t>חלק ממכות האגרוף ניתנו שעה שהמנוח על הארץ ושעה שהנאשם אוחז בראשו</w:t>
      </w:r>
      <w:r>
        <w:rPr>
          <w:rtl w:val="true"/>
        </w:rPr>
        <w:t xml:space="preserve">. </w:t>
      </w:r>
      <w:r>
        <w:rPr>
          <w:rtl w:val="true"/>
        </w:rPr>
        <w:t>כתוצאה מהמכות נגרמו למנוח חבלות קשות ודימום תת עכבישי במוח</w:t>
      </w:r>
      <w:r>
        <w:rPr>
          <w:rtl w:val="true"/>
        </w:rPr>
        <w:t xml:space="preserve">. </w:t>
      </w:r>
      <w:r>
        <w:rPr>
          <w:rtl w:val="true"/>
        </w:rPr>
        <w:t>דימום זה במוח פגע במערכות חיים חיוניות של המנוח</w:t>
      </w:r>
      <w:r>
        <w:rPr>
          <w:rtl w:val="true"/>
        </w:rPr>
        <w:t xml:space="preserve">, </w:t>
      </w:r>
      <w:r>
        <w:rPr>
          <w:rtl w:val="true"/>
        </w:rPr>
        <w:t>מה שהוביל למותו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בקביעות אלה</w:t>
      </w:r>
      <w:r>
        <w:rPr>
          <w:rtl w:val="true"/>
        </w:rPr>
        <w:t xml:space="preserve">, </w:t>
      </w:r>
      <w:r>
        <w:rPr>
          <w:rtl w:val="true"/>
        </w:rPr>
        <w:t>של בית משפט קמא</w:t>
      </w:r>
      <w:r>
        <w:rPr>
          <w:rtl w:val="true"/>
        </w:rPr>
        <w:t xml:space="preserve">, </w:t>
      </w:r>
      <w:r>
        <w:rPr>
          <w:rtl w:val="true"/>
        </w:rPr>
        <w:t>שהתבססו בין היתר על עדותו וחוות דעתו של ד</w:t>
      </w:r>
      <w:r>
        <w:rPr>
          <w:rtl w:val="true"/>
        </w:rPr>
        <w:t>"</w:t>
      </w:r>
      <w:r>
        <w:rPr>
          <w:rtl w:val="true"/>
        </w:rPr>
        <w:t>ר קוטיק</w:t>
      </w:r>
      <w:r>
        <w:rPr>
          <w:rtl w:val="true"/>
        </w:rPr>
        <w:t xml:space="preserve">, </w:t>
      </w:r>
      <w:r>
        <w:rPr>
          <w:rtl w:val="true"/>
        </w:rPr>
        <w:t>שלא נסתרו</w:t>
      </w:r>
      <w:r>
        <w:rPr>
          <w:rtl w:val="true"/>
        </w:rPr>
        <w:t xml:space="preserve">, </w:t>
      </w:r>
      <w:r>
        <w:rPr>
          <w:rtl w:val="true"/>
        </w:rPr>
        <w:t>לא מצאתי עילה להתערב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קוטיק קבע כי מותו של המנוח נגרם קרוב לוודאי בעקבות דימום תת</w:t>
      </w:r>
      <w:r>
        <w:rPr>
          <w:rtl w:val="true"/>
        </w:rPr>
        <w:t>-</w:t>
      </w:r>
      <w:r>
        <w:rPr>
          <w:rtl w:val="true"/>
        </w:rPr>
        <w:t>עכבישי</w:t>
      </w:r>
      <w:r>
        <w:rPr>
          <w:rtl w:val="true"/>
        </w:rPr>
        <w:t xml:space="preserve">, </w:t>
      </w:r>
      <w:r>
        <w:rPr>
          <w:rtl w:val="true"/>
        </w:rPr>
        <w:t>בעיקר סביב המוחון וגזע המח</w:t>
      </w:r>
      <w:r>
        <w:rPr>
          <w:rtl w:val="true"/>
        </w:rPr>
        <w:t xml:space="preserve">, </w:t>
      </w:r>
      <w:r>
        <w:rPr>
          <w:rtl w:val="true"/>
        </w:rPr>
        <w:t>עקב חבלות קהות בצוואר</w:t>
      </w:r>
      <w:r>
        <w:rPr>
          <w:rtl w:val="true"/>
        </w:rPr>
        <w:t xml:space="preserve">. </w:t>
      </w:r>
      <w:r>
        <w:rPr>
          <w:rtl w:val="true"/>
        </w:rPr>
        <w:t>בהיעדר כל סיבה מורפולוגית אחרת שהייתה יכולה לגרום למותו של המנוח</w:t>
      </w:r>
      <w:r>
        <w:rPr>
          <w:rtl w:val="true"/>
        </w:rPr>
        <w:t xml:space="preserve">, </w:t>
      </w:r>
      <w:r>
        <w:rPr>
          <w:rtl w:val="true"/>
        </w:rPr>
        <w:t>הגיע למסקנה כי מותו של המנוח נגרם כתוצאה ממעשיו של המשיב</w:t>
      </w:r>
      <w:r>
        <w:rPr>
          <w:rtl w:val="true"/>
        </w:rPr>
        <w:t xml:space="preserve">, </w:t>
      </w:r>
      <w:r>
        <w:rPr>
          <w:rtl w:val="true"/>
        </w:rPr>
        <w:t>ולא מכל סיבה אחרת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הפנה בית משפט קמא לדברים 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5.8.2012</w:t>
      </w:r>
      <w:r>
        <w:rPr>
          <w:rtl w:val="true"/>
        </w:rPr>
        <w:t xml:space="preserve">) </w:t>
      </w:r>
      <w:r>
        <w:rPr>
          <w:rtl w:val="true"/>
        </w:rPr>
        <w:t xml:space="preserve">לפיהם </w:t>
      </w:r>
      <w:r>
        <w:rPr>
          <w:rtl w:val="true"/>
        </w:rPr>
        <w:t>"</w:t>
      </w:r>
      <w:r>
        <w:rPr>
          <w:rtl w:val="true"/>
        </w:rPr>
        <w:t>בקביעת קיומו של קשר סיבתי עובדתי בין התנהגות לתוצאה</w:t>
      </w:r>
      <w:r>
        <w:rPr>
          <w:rtl w:val="true"/>
        </w:rPr>
        <w:t xml:space="preserve">, </w:t>
      </w:r>
      <w:r>
        <w:rPr>
          <w:rtl w:val="true"/>
        </w:rPr>
        <w:t>אין בית</w:t>
      </w:r>
      <w:r>
        <w:rPr>
          <w:rtl w:val="true"/>
        </w:rPr>
        <w:t>-</w:t>
      </w:r>
      <w:r>
        <w:rPr>
          <w:rtl w:val="true"/>
        </w:rPr>
        <w:t>המשפט מתיימר לקבוע אמת מידה מדעית חד</w:t>
      </w:r>
      <w:r>
        <w:rPr>
          <w:rtl w:val="true"/>
        </w:rPr>
        <w:t>-</w:t>
      </w:r>
      <w:r>
        <w:rPr>
          <w:rtl w:val="true"/>
        </w:rPr>
        <w:t>משמעית ומוחלטת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מידת ההוכחה הנדרשת בפלילים הינה הוכחה מעבר לספק סביר ולא מעבר לכל ספק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לא נדרשת התביעה </w:t>
      </w:r>
      <w:r>
        <w:rPr>
          <w:rtl w:val="true"/>
        </w:rPr>
        <w:t>'...</w:t>
      </w:r>
      <w:r>
        <w:rPr>
          <w:rtl w:val="true"/>
        </w:rPr>
        <w:t>להפריך כל ספק ובוודאי לא כזה שבסיסו בהרהורי לב או בתאוריה שלא הוכחה</w:t>
      </w:r>
      <w:r>
        <w:rPr>
          <w:rtl w:val="true"/>
        </w:rPr>
        <w:t xml:space="preserve">' [...] </w:t>
      </w:r>
      <w:r>
        <w:rPr>
          <w:rtl w:val="true"/>
        </w:rPr>
        <w:t>אני סבור</w:t>
      </w:r>
      <w:r>
        <w:rPr>
          <w:rtl w:val="true"/>
        </w:rPr>
        <w:t xml:space="preserve">, </w:t>
      </w:r>
      <w:r>
        <w:rPr>
          <w:rtl w:val="true"/>
        </w:rPr>
        <w:t>כי בענייננו אין משמעות לגורם הרפואי המדויק ולתהליך שהתרחש בגופו של המנוח</w:t>
      </w:r>
      <w:r>
        <w:rPr>
          <w:rtl w:val="true"/>
        </w:rPr>
        <w:t xml:space="preserve">, </w:t>
      </w:r>
      <w:r>
        <w:rPr>
          <w:rtl w:val="true"/>
        </w:rPr>
        <w:t>אשר הוביל למותו</w:t>
      </w:r>
      <w:r>
        <w:rPr>
          <w:rtl w:val="true"/>
        </w:rPr>
        <w:t xml:space="preserve">".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בהינתן מסכת האלימות הקשה שהמשיב הפעיל כלפי המנוח</w:t>
      </w:r>
      <w:r>
        <w:rPr>
          <w:rtl w:val="true"/>
        </w:rPr>
        <w:t xml:space="preserve">, </w:t>
      </w:r>
      <w:r>
        <w:rPr>
          <w:rtl w:val="true"/>
        </w:rPr>
        <w:t>ובהיעדר כל ראיה לסתור את סיבת המוות שנקבעה על ידי ד</w:t>
      </w:r>
      <w:r>
        <w:rPr>
          <w:rtl w:val="true"/>
        </w:rPr>
        <w:t>"</w:t>
      </w:r>
      <w:r>
        <w:rPr>
          <w:rtl w:val="true"/>
        </w:rPr>
        <w:t>ר קוטיק</w:t>
      </w:r>
      <w:r>
        <w:rPr>
          <w:rtl w:val="true"/>
        </w:rPr>
        <w:t xml:space="preserve">, </w:t>
      </w:r>
      <w:r>
        <w:rPr>
          <w:rtl w:val="true"/>
        </w:rPr>
        <w:t>אינני רואה כל קושי בקביעתו של ד</w:t>
      </w:r>
      <w:r>
        <w:rPr>
          <w:rtl w:val="true"/>
        </w:rPr>
        <w:t>"</w:t>
      </w:r>
      <w:r>
        <w:rPr>
          <w:rtl w:val="true"/>
        </w:rPr>
        <w:t xml:space="preserve">ר קוטיק כי מותו של המנוח נגרם </w:t>
      </w:r>
      <w:r>
        <w:rPr>
          <w:rtl w:val="true"/>
        </w:rPr>
        <w:t>"</w:t>
      </w:r>
      <w:r>
        <w:rPr>
          <w:rtl w:val="true"/>
        </w:rPr>
        <w:t>קרוב לוודאי</w:t>
      </w:r>
      <w:r>
        <w:rPr>
          <w:rtl w:val="true"/>
        </w:rPr>
        <w:t xml:space="preserve">" </w:t>
      </w:r>
      <w:r>
        <w:rPr>
          <w:rtl w:val="true"/>
        </w:rPr>
        <w:t>מהמכות שקיבל מידי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כפי שציינתי בפסקה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 xml:space="preserve">הוראותיו של סעיף </w:t>
      </w:r>
      <w:r>
        <w:rPr/>
        <w:t>309</w:t>
      </w:r>
      <w:r>
        <w:rPr>
          <w:rtl w:val="true"/>
        </w:rPr>
        <w:t xml:space="preserve">, </w:t>
      </w:r>
      <w:r>
        <w:rPr>
          <w:rtl w:val="true"/>
        </w:rPr>
        <w:t xml:space="preserve">הקובע כי מי שבמעשה או במחדל </w:t>
      </w:r>
      <w:r>
        <w:rPr>
          <w:rtl w:val="true"/>
        </w:rPr>
        <w:t>"</w:t>
      </w:r>
      <w:r>
        <w:rPr>
          <w:rtl w:val="true"/>
        </w:rPr>
        <w:t>החיש את מותו של אדם הסובל ממחלה או מפגיעה שהיו גורמות למותו גם אילולא מעשהו או מחדלו זה</w:t>
      </w:r>
      <w:r>
        <w:rPr>
          <w:rtl w:val="true"/>
        </w:rPr>
        <w:t xml:space="preserve">", </w:t>
      </w:r>
      <w:r>
        <w:rPr>
          <w:rtl w:val="true"/>
        </w:rPr>
        <w:t>יראוהו כמי שגרם למותו של אדם אחר</w:t>
      </w:r>
      <w:r>
        <w:rPr>
          <w:rtl w:val="true"/>
        </w:rPr>
        <w:t xml:space="preserve">, </w:t>
      </w:r>
      <w:r>
        <w:rPr>
          <w:rtl w:val="true"/>
        </w:rPr>
        <w:t>נועלות כל פתח להתחמקות המשיב מאחריות לגרימת מותו של המנוח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אף אם המנוח סבל מליקויים רפואיים שונים</w:t>
      </w:r>
      <w:r>
        <w:rPr>
          <w:rtl w:val="true"/>
        </w:rPr>
        <w:t xml:space="preserve">, </w:t>
      </w:r>
      <w:r>
        <w:rPr>
          <w:rtl w:val="true"/>
        </w:rPr>
        <w:t>ואף אם הייתי נכון להניח כי קיים קשר בין ליקויים אלה למותו</w:t>
      </w:r>
      <w:r>
        <w:rPr>
          <w:rtl w:val="true"/>
        </w:rPr>
        <w:t xml:space="preserve">, </w:t>
      </w:r>
      <w:r>
        <w:rPr>
          <w:rtl w:val="true"/>
        </w:rPr>
        <w:t xml:space="preserve">הרי שבית משפט קמא קבע כעניין שבעובדה </w:t>
      </w:r>
      <w:r>
        <w:rPr>
          <w:rtl w:val="true"/>
        </w:rPr>
        <w:t>–</w:t>
      </w:r>
      <w:r>
        <w:rPr>
          <w:rtl w:val="true"/>
        </w:rPr>
        <w:t xml:space="preserve"> על סמך חומר הראיות שהונח לפניו בעניין זה </w:t>
      </w:r>
      <w:r>
        <w:rPr>
          <w:rtl w:val="true"/>
        </w:rPr>
        <w:t>–</w:t>
      </w:r>
      <w:r>
        <w:rPr>
          <w:rtl w:val="true"/>
        </w:rPr>
        <w:t xml:space="preserve"> כי הוכח קיומו של קשר סיבתי עובדתי בין המכות שהכה המשיב את המנוח לבין מותו</w:t>
      </w:r>
      <w:r>
        <w:rPr>
          <w:rtl w:val="true"/>
        </w:rPr>
        <w:t xml:space="preserve">, </w:t>
      </w:r>
      <w:r>
        <w:rPr>
          <w:rtl w:val="true"/>
        </w:rPr>
        <w:t>וזאת מעבר לכל ספק סביר</w:t>
      </w:r>
      <w:r>
        <w:rPr>
          <w:rtl w:val="true"/>
        </w:rPr>
        <w:t xml:space="preserve">. </w:t>
      </w:r>
      <w:r>
        <w:rPr>
          <w:rtl w:val="true"/>
        </w:rPr>
        <w:t>נמצא כי המכות הובילו לחבלות קשות ולדימום תת</w:t>
      </w:r>
      <w:r>
        <w:rPr>
          <w:rtl w:val="true"/>
        </w:rPr>
        <w:t>-</w:t>
      </w:r>
      <w:r>
        <w:rPr>
          <w:rtl w:val="true"/>
        </w:rPr>
        <w:t>עכבישי במוחו של המנוח</w:t>
      </w:r>
      <w:r>
        <w:rPr>
          <w:rtl w:val="true"/>
        </w:rPr>
        <w:t xml:space="preserve">, </w:t>
      </w:r>
      <w:r>
        <w:rPr>
          <w:rtl w:val="true"/>
        </w:rPr>
        <w:t>וכי דימום זה פגע במערכות חיים חיוניות באופן שהוביל למותו</w:t>
      </w:r>
      <w:r>
        <w:rPr>
          <w:rtl w:val="true"/>
        </w:rPr>
        <w:t xml:space="preserve">. </w:t>
      </w:r>
      <w:r>
        <w:rPr>
          <w:rtl w:val="true"/>
        </w:rPr>
        <w:t xml:space="preserve">גם אם מותו של המנוח הואץ כתוצאה מהמכות על רקע מחלות ובעיות בריאותיות מהן סבל </w:t>
      </w:r>
      <w:r>
        <w:rPr>
          <w:rtl w:val="true"/>
        </w:rPr>
        <w:t>–</w:t>
      </w:r>
      <w:r>
        <w:rPr>
          <w:rtl w:val="true"/>
        </w:rPr>
        <w:t xml:space="preserve"> עניין שלא הוכח כשלעצמו </w:t>
      </w:r>
      <w:r>
        <w:rPr>
          <w:rtl w:val="true"/>
        </w:rPr>
        <w:t>–</w:t>
      </w:r>
      <w:r>
        <w:rPr>
          <w:rtl w:val="true"/>
        </w:rPr>
        <w:t xml:space="preserve"> הרי שללא המכות שספג המנוח</w:t>
      </w:r>
      <w:r>
        <w:rPr>
          <w:rtl w:val="true"/>
        </w:rPr>
        <w:t xml:space="preserve">, </w:t>
      </w:r>
      <w:r>
        <w:rPr>
          <w:rtl w:val="true"/>
        </w:rPr>
        <w:t>מותו לא היה נגרם</w:t>
      </w:r>
      <w:r>
        <w:rPr>
          <w:rtl w:val="true"/>
        </w:rPr>
        <w:t xml:space="preserve">. </w:t>
      </w:r>
      <w:r>
        <w:rPr>
          <w:rtl w:val="true"/>
        </w:rPr>
        <w:t xml:space="preserve">מכאן שמעשיו של המשיב הם בגדר סיבה בלעדיה אין למותו של המנוח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9236/11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16.12.2011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לטענת ההגנה העצמית</w:t>
      </w:r>
      <w:r>
        <w:rPr>
          <w:rtl w:val="true"/>
        </w:rPr>
        <w:t xml:space="preserve">, </w:t>
      </w:r>
      <w:r>
        <w:rPr>
          <w:rtl w:val="true"/>
        </w:rPr>
        <w:t>הרי שאף היא מהווה הלכה למעשה ניסיון לערער על ממצאי עובדה שנקבעו בבית משפט קמא</w:t>
      </w:r>
      <w:r>
        <w:rPr>
          <w:rtl w:val="true"/>
        </w:rPr>
        <w:t xml:space="preserve">, </w:t>
      </w:r>
      <w:r>
        <w:rPr>
          <w:rtl w:val="true"/>
        </w:rPr>
        <w:t>מבלי שהוצגה כל עילה המצדיקה התערבות ערכאת הערעור בממצאים אלה</w:t>
      </w:r>
      <w:r>
        <w:rPr>
          <w:rtl w:val="true"/>
        </w:rPr>
        <w:t xml:space="preserve">. </w:t>
      </w:r>
      <w:r>
        <w:rPr>
          <w:rtl w:val="true"/>
        </w:rPr>
        <w:t>בגדר טענת ההגנה העצמית</w:t>
      </w:r>
      <w:r>
        <w:rPr>
          <w:rtl w:val="true"/>
        </w:rPr>
        <w:t xml:space="preserve">, </w:t>
      </w:r>
      <w:r>
        <w:rPr>
          <w:rtl w:val="true"/>
        </w:rPr>
        <w:t>טען המשיב כי ביקש להגן על עצמו מפני תקיפה</w:t>
      </w:r>
      <w:r>
        <w:rPr>
          <w:rtl w:val="true"/>
        </w:rPr>
        <w:t xml:space="preserve">, </w:t>
      </w:r>
      <w:r>
        <w:rPr>
          <w:rtl w:val="true"/>
        </w:rPr>
        <w:t>ולמצער מה שחשב באותה שעה לתקיפה</w:t>
      </w:r>
      <w:r>
        <w:rPr>
          <w:rtl w:val="true"/>
        </w:rPr>
        <w:t xml:space="preserve">, </w:t>
      </w:r>
      <w:r>
        <w:rPr>
          <w:rtl w:val="true"/>
        </w:rPr>
        <w:t>מצד המנוח</w:t>
      </w:r>
      <w:r>
        <w:rPr>
          <w:rtl w:val="true"/>
        </w:rPr>
        <w:t xml:space="preserve">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כפי שהועלתה גם בדיון בפנינו</w:t>
      </w:r>
      <w:r>
        <w:rPr>
          <w:rtl w:val="true"/>
        </w:rPr>
        <w:t xml:space="preserve">, </w:t>
      </w:r>
      <w:r>
        <w:rPr>
          <w:rtl w:val="true"/>
        </w:rPr>
        <w:t>התנהלותו של המשיב בזירה השניה</w:t>
      </w:r>
      <w:r>
        <w:rPr>
          <w:rtl w:val="true"/>
        </w:rPr>
        <w:t xml:space="preserve">, </w:t>
      </w:r>
      <w:r>
        <w:rPr>
          <w:rtl w:val="true"/>
        </w:rPr>
        <w:t>בה סבר כי המנוח רודף אחריו ורוצה להכותו</w:t>
      </w:r>
      <w:r>
        <w:rPr>
          <w:rtl w:val="true"/>
        </w:rPr>
        <w:t xml:space="preserve">, </w:t>
      </w:r>
      <w:r>
        <w:rPr>
          <w:rtl w:val="true"/>
        </w:rPr>
        <w:t>ולא יכול היה לברוח מפניו</w:t>
      </w:r>
      <w:r>
        <w:rPr>
          <w:rtl w:val="true"/>
        </w:rPr>
        <w:t xml:space="preserve">, </w:t>
      </w:r>
      <w:r>
        <w:rPr>
          <w:rtl w:val="true"/>
        </w:rPr>
        <w:t>עולה כדי הגנת עצמית</w:t>
      </w:r>
      <w:r>
        <w:rPr>
          <w:rtl w:val="true"/>
        </w:rPr>
        <w:t xml:space="preserve">. </w:t>
      </w:r>
      <w:r>
        <w:rPr>
          <w:rtl w:val="true"/>
        </w:rPr>
        <w:t>דין טענה זו להידחות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בית משפט קמא קבע כממצא שבעובדה ש</w:t>
      </w:r>
      <w:r>
        <w:rPr>
          <w:rtl w:val="true"/>
        </w:rPr>
        <w:t>"</w:t>
      </w:r>
      <w:r>
        <w:rPr>
          <w:rtl w:val="true"/>
        </w:rPr>
        <w:t>הנאשם לא הותקף על ידי המנוח</w:t>
      </w:r>
      <w:r>
        <w:rPr>
          <w:rtl w:val="true"/>
        </w:rPr>
        <w:t xml:space="preserve">, </w:t>
      </w:r>
      <w:r>
        <w:rPr>
          <w:rtl w:val="true"/>
        </w:rPr>
        <w:t>כי אם הוא זה שתקף את המנוח</w:t>
      </w:r>
      <w:r>
        <w:rPr>
          <w:rtl w:val="true"/>
        </w:rPr>
        <w:t xml:space="preserve">, </w:t>
      </w:r>
      <w:r>
        <w:rPr>
          <w:rtl w:val="true"/>
        </w:rPr>
        <w:t>בשתי הזירות</w:t>
      </w:r>
      <w:r>
        <w:rPr>
          <w:rtl w:val="true"/>
        </w:rPr>
        <w:t xml:space="preserve">, </w:t>
      </w:r>
      <w:r>
        <w:rPr>
          <w:rtl w:val="true"/>
        </w:rPr>
        <w:t>וכי גרסת ההגנה העצמית היא כבושה</w:t>
      </w:r>
      <w:r>
        <w:rPr>
          <w:rtl w:val="true"/>
        </w:rPr>
        <w:t xml:space="preserve">, </w:t>
      </w:r>
      <w:r>
        <w:rPr>
          <w:rtl w:val="true"/>
        </w:rPr>
        <w:t>לא מהימנה</w:t>
      </w:r>
      <w:r>
        <w:rPr>
          <w:rtl w:val="true"/>
        </w:rPr>
        <w:t xml:space="preserve">, </w:t>
      </w:r>
      <w:r>
        <w:rPr>
          <w:rtl w:val="true"/>
        </w:rPr>
        <w:t>ובעלת סתירות פנימיות וחיצוניות שיש לדחותה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לא הוצגה עילה המצדיקה התערבות בקביעה זו</w:t>
      </w:r>
      <w:r>
        <w:rPr>
          <w:rtl w:val="true"/>
        </w:rPr>
        <w:t xml:space="preserve">. </w:t>
      </w:r>
      <w:r>
        <w:rPr>
          <w:rtl w:val="true"/>
        </w:rPr>
        <w:t>בהינתן קביעתו של בית משפט קמא כי גם בזירה השניה לא פעל המשיב מתוך הגנה עצמית עת הלם באגרופו באופן עוצמתי בראשו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מתייתר הדיון בשאלה איזו מן המכות היא שהביאה למותו של המנוח </w:t>
      </w:r>
      <w:r>
        <w:rPr>
          <w:rtl w:val="true"/>
        </w:rPr>
        <w:t>–</w:t>
      </w:r>
      <w:r>
        <w:rPr>
          <w:rtl w:val="true"/>
        </w:rPr>
        <w:t xml:space="preserve"> אלו שקיבל בזירה הראשונה</w:t>
      </w:r>
      <w:r>
        <w:rPr>
          <w:rtl w:val="true"/>
        </w:rPr>
        <w:t xml:space="preserve">, </w:t>
      </w:r>
      <w:r>
        <w:rPr>
          <w:rtl w:val="true"/>
        </w:rPr>
        <w:t>או מכת האגרוף בזירה השניה</w:t>
      </w:r>
      <w:r>
        <w:rPr>
          <w:rtl w:val="true"/>
        </w:rPr>
        <w:t xml:space="preserve">, </w:t>
      </w:r>
      <w:r>
        <w:rPr>
          <w:rtl w:val="true"/>
        </w:rPr>
        <w:t>או השילוב ביניהן</w:t>
      </w:r>
      <w:r>
        <w:rPr>
          <w:rtl w:val="true"/>
        </w:rPr>
        <w:t xml:space="preserve">. </w:t>
      </w:r>
      <w:r>
        <w:rPr>
          <w:rtl w:val="true"/>
        </w:rPr>
        <w:t>מקובלת עליי קביעת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"</w:t>
      </w:r>
      <w:r>
        <w:rPr>
          <w:rtl w:val="true"/>
        </w:rPr>
        <w:t xml:space="preserve">סבורני כי בענייננו אין משמעות יתרה </w:t>
      </w:r>
      <w:r>
        <w:rPr>
          <w:rtl w:val="true"/>
        </w:rPr>
        <w:t>לשאלת זהות</w:t>
      </w:r>
      <w:r>
        <w:rPr>
          <w:rtl w:val="true"/>
        </w:rPr>
        <w:t xml:space="preserve"> המכה שגרמה לדימום התת</w:t>
      </w:r>
      <w:r>
        <w:rPr>
          <w:rtl w:val="true"/>
        </w:rPr>
        <w:t>-</w:t>
      </w:r>
      <w:r>
        <w:rPr>
          <w:rtl w:val="true"/>
        </w:rPr>
        <w:t xml:space="preserve">עכבישי ולמותו של המנוח שכן </w:t>
      </w:r>
      <w:r>
        <w:rPr>
          <w:rtl w:val="true"/>
        </w:rPr>
        <w:t xml:space="preserve">[...] </w:t>
      </w:r>
      <w:r>
        <w:rPr>
          <w:rtl w:val="true"/>
        </w:rPr>
        <w:t>בשתי הזירות לא היכה הנאשם את המנוח בנסיבות של הגנה עצמית ולמעשה מדובר באירוע אחד נמשך של אלימות רציפה של הנאשם כלפי המנוח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טענת היעדר המודעות לאפשרות גרימת המוות אינה מצדיקה אף היא להתערב בממצאיו של בית משפט קמא</w:t>
      </w:r>
      <w:r>
        <w:rPr>
          <w:rtl w:val="true"/>
        </w:rPr>
        <w:t xml:space="preserve">. </w:t>
      </w:r>
      <w:r>
        <w:rPr>
          <w:rtl w:val="true"/>
        </w:rPr>
        <w:t>המשיב סבור כי לא היה מקום לקבוע שהכה את המנוח במספר רב של אגרופים</w:t>
      </w:r>
      <w:r>
        <w:rPr>
          <w:rtl w:val="true"/>
        </w:rPr>
        <w:t xml:space="preserve">; </w:t>
      </w:r>
      <w:r>
        <w:rPr>
          <w:rtl w:val="true"/>
        </w:rPr>
        <w:t>כי היכה אותו כשהיה על הארץ</w:t>
      </w:r>
      <w:r>
        <w:rPr>
          <w:rtl w:val="true"/>
        </w:rPr>
        <w:t xml:space="preserve">; </w:t>
      </w:r>
      <w:r>
        <w:rPr>
          <w:rtl w:val="true"/>
        </w:rPr>
        <w:t xml:space="preserve">וכי היו קיימים פערי כוחות של ממש בין המשיב והמנוח </w:t>
      </w:r>
      <w:r>
        <w:rPr>
          <w:rtl w:val="true"/>
        </w:rPr>
        <w:t>–</w:t>
      </w:r>
      <w:r>
        <w:rPr>
          <w:rtl w:val="true"/>
        </w:rPr>
        <w:t xml:space="preserve"> קביעות מהן גזר בית משפט קמא כי המשיב היה מודע לאפשרות גרימת המוות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קבע כי </w:t>
      </w:r>
      <w:r>
        <w:rPr>
          <w:rtl w:val="true"/>
        </w:rPr>
        <w:t>"</w:t>
      </w:r>
      <w:r>
        <w:rPr>
          <w:rtl w:val="true"/>
        </w:rPr>
        <w:t xml:space="preserve">מכלול המכות שהכה הנאשם את המנוח ומיקומן מבסס היטב את חזקת המודעות של הנאשם לעניין אפשרות גרימת המוות של המנוח </w:t>
      </w:r>
      <w:r>
        <w:rPr>
          <w:rtl w:val="true"/>
        </w:rPr>
        <w:t>(</w:t>
      </w:r>
      <w:r>
        <w:rPr>
          <w:rtl w:val="true"/>
        </w:rPr>
        <w:t>על בסיס ניסיון החיים והשכל הישר</w:t>
      </w:r>
      <w:r>
        <w:rPr>
          <w:rtl w:val="true"/>
        </w:rPr>
        <w:t xml:space="preserve">), </w:t>
      </w:r>
      <w:r>
        <w:rPr>
          <w:rtl w:val="true"/>
        </w:rPr>
        <w:t>והנאשם לא סתר חזקה זאת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לא מצאתי כי בטיעוניו של המשיב בעניין זה יש כדי לסתור חזקה זו גם עתה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לאור כל זאת</w:t>
      </w:r>
      <w:r>
        <w:rPr>
          <w:rtl w:val="true"/>
        </w:rPr>
        <w:t xml:space="preserve">, </w:t>
      </w:r>
      <w:r>
        <w:rPr>
          <w:rtl w:val="true"/>
        </w:rPr>
        <w:t>יש להורות על דחיית ערעור המשיב על הכרעת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באשר לערעור המערערת על גזר הדין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העונש שהוטל על המשיב אינו הולם את המעשה בו הורשע</w:t>
      </w:r>
      <w:r>
        <w:rPr>
          <w:rtl w:val="true"/>
        </w:rPr>
        <w:t xml:space="preserve">; </w:t>
      </w:r>
      <w:r>
        <w:rPr>
          <w:rtl w:val="true"/>
        </w:rPr>
        <w:t xml:space="preserve">אינו נותן ביטוי הולם לתוצאה </w:t>
      </w:r>
      <w:r>
        <w:rPr>
          <w:rtl w:val="true"/>
        </w:rPr>
        <w:t>–</w:t>
      </w:r>
      <w:r>
        <w:rPr>
          <w:rtl w:val="true"/>
        </w:rPr>
        <w:t xml:space="preserve"> מותו של אדם</w:t>
      </w:r>
      <w:r>
        <w:rPr>
          <w:rtl w:val="true"/>
        </w:rPr>
        <w:t xml:space="preserve">; </w:t>
      </w:r>
      <w:r>
        <w:rPr>
          <w:rtl w:val="true"/>
        </w:rPr>
        <w:t>וכי בית משפט קמא מצא להקל עם המשיב על בסיס העובדה שהורשע בעבירת המתה בקלות דעת תחת עבירת ההריגה</w:t>
      </w:r>
      <w:r>
        <w:rPr>
          <w:rtl w:val="true"/>
        </w:rPr>
        <w:t xml:space="preserve">, </w:t>
      </w:r>
      <w:r>
        <w:rPr>
          <w:rtl w:val="true"/>
        </w:rPr>
        <w:t>שלא כנדרש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סבור כי ראוי להחמיר את עונשו של המשיב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התערבות ערכאת הערעור בחומרת עונש שהטילה הערכאה הדיונית שמורה למקרים חריגים בלבד</w:t>
      </w:r>
      <w:r>
        <w:rPr>
          <w:rtl w:val="true"/>
        </w:rPr>
        <w:t xml:space="preserve">, </w:t>
      </w:r>
      <w:r>
        <w:rPr>
          <w:rtl w:val="true"/>
        </w:rPr>
        <w:t xml:space="preserve">כאשר נפלה בגזר הדין טעות מהותית או שהעונש שנגזר על ידי הערכאה הדיונית חורג באופן ניכר מרמת הענישה הראויה או המקובלת בנסיבות דומות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מצאתי כי העונש שנגזר על המשיב חורג ממדיניות הענישה הראויה</w:t>
      </w:r>
      <w:r>
        <w:rPr>
          <w:rtl w:val="true"/>
        </w:rPr>
        <w:t xml:space="preserve">, </w:t>
      </w:r>
      <w:r>
        <w:rPr>
          <w:rtl w:val="true"/>
        </w:rPr>
        <w:t>אינו עולה בקנה אחד עם עקרון ההלימה</w:t>
      </w:r>
      <w:r>
        <w:rPr>
          <w:rtl w:val="true"/>
        </w:rPr>
        <w:t xml:space="preserve">, </w:t>
      </w:r>
      <w:r>
        <w:rPr>
          <w:rtl w:val="true"/>
        </w:rPr>
        <w:t>אינו נותן הגנה ראויה לעיקרון קדושת החיים ואינו נותן ביטוי הולם לעיקרון האשמה הטמון במעשה עצמו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הקל בעונשו של המשיב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נוכח העובדה שהורשע בעבירת המתה בקלות דעת תחת עבירת ההריגה אשר הייתה קבועה ב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כתב בית משפט קמא בגזר הדין כי </w:t>
      </w:r>
      <w:r>
        <w:rPr>
          <w:rtl w:val="true"/>
        </w:rPr>
        <w:t>"</w:t>
      </w:r>
      <w:r>
        <w:rPr>
          <w:rtl w:val="true"/>
        </w:rPr>
        <w:t>יש מקום לבחינה מחודשת של הענישה שיש להטיל במקרים של המתה מתוך 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ונראה כי הענישה </w:t>
      </w:r>
      <w:r>
        <w:rPr>
          <w:rtl w:val="true"/>
        </w:rPr>
        <w:t>"</w:t>
      </w:r>
      <w:r>
        <w:rPr>
          <w:rtl w:val="true"/>
        </w:rPr>
        <w:t>צריכה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ליתן ביטוי משמעותי יותר לעקרון האשמה ביחס למה שהיה נהוג קודם התיקון</w:t>
      </w:r>
      <w:r>
        <w:rPr>
          <w:rtl w:val="true"/>
        </w:rPr>
        <w:t xml:space="preserve">, </w:t>
      </w:r>
      <w:r>
        <w:rPr>
          <w:rtl w:val="true"/>
        </w:rPr>
        <w:t>והכל כמובן תלוי נסיבות ה</w:t>
      </w:r>
      <w:r>
        <w:rPr>
          <w:rtl w:val="true"/>
        </w:rPr>
        <w:t>'</w:t>
      </w:r>
      <w:r>
        <w:rPr>
          <w:rtl w:val="true"/>
        </w:rPr>
        <w:t>מעשה וה</w:t>
      </w:r>
      <w:r>
        <w:rPr>
          <w:rtl w:val="true"/>
        </w:rPr>
        <w:t>'</w:t>
      </w:r>
      <w:r>
        <w:rPr>
          <w:rtl w:val="true"/>
        </w:rPr>
        <w:t>עושה</w:t>
      </w:r>
      <w:r>
        <w:rPr>
          <w:rtl w:val="true"/>
        </w:rPr>
        <w:t>'" (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הרפורמה בעבירות ההמתה אינה יכולה להוות כשלעצמה נימוק להקלה בעונש</w:t>
      </w:r>
      <w:r>
        <w:rPr>
          <w:rtl w:val="true"/>
        </w:rPr>
        <w:t xml:space="preserve">. </w:t>
      </w:r>
      <w:r>
        <w:rPr>
          <w:rtl w:val="true"/>
        </w:rPr>
        <w:t>עבירת ההמתה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אשר נקבעה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במסגרת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קבעה עונש מקסימום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לממית בקלות דעת</w:t>
      </w:r>
      <w:r>
        <w:rPr>
          <w:rtl w:val="true"/>
        </w:rPr>
        <w:t xml:space="preserve">. </w:t>
      </w:r>
      <w:r>
        <w:rPr>
          <w:rtl w:val="true"/>
        </w:rPr>
        <w:t xml:space="preserve">עונש זה נקבע לא במטרה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להקל</w:t>
      </w:r>
      <w:r>
        <w:rPr>
          <w:rtl w:val="true"/>
        </w:rPr>
        <w:t xml:space="preserve"> עם הממיתים בקלות דעת</w:t>
      </w:r>
      <w:r>
        <w:rPr>
          <w:rtl w:val="true"/>
        </w:rPr>
        <w:t xml:space="preserve">, </w:t>
      </w:r>
      <w:r>
        <w:rPr>
          <w:rtl w:val="true"/>
        </w:rPr>
        <w:t>אשר עובר לרפורמה הורשעו בעבירת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כי אם במטרה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לשקף</w:t>
      </w:r>
      <w:r>
        <w:rPr>
          <w:rtl w:val="true"/>
        </w:rPr>
        <w:t xml:space="preserve"> את רמת הענישה אשר הייתה נהוגה בבתי המשפט ביחס לעבירות הריגה בנסיבות של קלות דעת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29.6.2020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בעובדה שהמשיב הורשע בעבירת המתה בקלות דעת</w:t>
      </w:r>
      <w:r>
        <w:rPr>
          <w:rtl w:val="true"/>
        </w:rPr>
        <w:t xml:space="preserve">, </w:t>
      </w:r>
      <w:r>
        <w:rPr>
          <w:rtl w:val="true"/>
        </w:rPr>
        <w:t>ולא בעבירת הריגה</w:t>
      </w:r>
      <w:r>
        <w:rPr>
          <w:rtl w:val="true"/>
        </w:rPr>
        <w:t xml:space="preserve">, </w:t>
      </w:r>
      <w:r>
        <w:rPr>
          <w:rtl w:val="true"/>
        </w:rPr>
        <w:t>כדי להביא כשלעצמה לכדי הקלה 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ענישה היא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לעולם אינדיבידואלית</w:t>
      </w:r>
      <w:r>
        <w:rPr>
          <w:rtl w:val="true"/>
        </w:rPr>
        <w:t xml:space="preserve">, </w:t>
      </w:r>
      <w:r>
        <w:rPr>
          <w:rtl w:val="true"/>
        </w:rPr>
        <w:t>ולעולם תלויה בנסיבות המעשה והעושה</w:t>
      </w:r>
      <w:r>
        <w:rPr>
          <w:rtl w:val="true"/>
        </w:rPr>
        <w:t xml:space="preserve">. </w:t>
      </w:r>
      <w:r>
        <w:rPr>
          <w:rtl w:val="true"/>
        </w:rPr>
        <w:t>בנסיבות המעשה והעושה 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מצאתי כי עונש של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מאסר אינו משקף את רמת האשם הטמונה במעשיו של המשיב</w:t>
      </w:r>
      <w:r>
        <w:rPr>
          <w:rtl w:val="true"/>
        </w:rPr>
        <w:t xml:space="preserve">. </w:t>
      </w:r>
      <w:r>
        <w:rPr>
          <w:rtl w:val="true"/>
        </w:rPr>
        <w:t>אין מדובר בתיק של המתה בקלות דעת בתאונה</w:t>
      </w:r>
      <w:r>
        <w:rPr>
          <w:rtl w:val="true"/>
        </w:rPr>
        <w:t xml:space="preserve">. </w:t>
      </w:r>
      <w:r>
        <w:rPr>
          <w:rtl w:val="true"/>
        </w:rPr>
        <w:t>התנהגותו של המשיב כללה הפעלת אלימות ממשית ומכוונת כלפי המנוח</w:t>
      </w:r>
      <w:r>
        <w:rPr>
          <w:rtl w:val="true"/>
        </w:rPr>
        <w:t xml:space="preserve">, </w:t>
      </w:r>
      <w:r>
        <w:rPr>
          <w:rtl w:val="true"/>
        </w:rPr>
        <w:t>שנועדה לפגוע בו</w:t>
      </w:r>
      <w:r>
        <w:rPr>
          <w:rtl w:val="true"/>
        </w:rPr>
        <w:t xml:space="preserve">, </w:t>
      </w:r>
      <w:r>
        <w:rPr>
          <w:rtl w:val="true"/>
        </w:rPr>
        <w:t>והובילה בסופו של דבר למותו</w:t>
      </w:r>
      <w:r>
        <w:rPr>
          <w:rtl w:val="true"/>
        </w:rPr>
        <w:t xml:space="preserve">. </w:t>
      </w:r>
      <w:r>
        <w:rPr>
          <w:rtl w:val="true"/>
        </w:rPr>
        <w:t>הכרעת דינו של בית משפט קמא מלאה בתיאור מעשי האלימות שהפעיל המשיב כלפי המנוח</w:t>
      </w:r>
      <w:r>
        <w:rPr>
          <w:rtl w:val="true"/>
        </w:rPr>
        <w:t xml:space="preserve">, </w:t>
      </w:r>
      <w:r>
        <w:rPr>
          <w:rtl w:val="true"/>
        </w:rPr>
        <w:t>ולמעשה די לקרוא את תיאור החבלות והנזקים המתוארים בכתב האישום ובהכרעת הדין</w:t>
      </w:r>
      <w:r>
        <w:rPr>
          <w:rtl w:val="true"/>
        </w:rPr>
        <w:t xml:space="preserve">, </w:t>
      </w:r>
      <w:r>
        <w:rPr>
          <w:rtl w:val="true"/>
        </w:rPr>
        <w:t>בהן פנס גדול בעין</w:t>
      </w:r>
      <w:r>
        <w:rPr>
          <w:rtl w:val="true"/>
        </w:rPr>
        <w:t xml:space="preserve">, </w:t>
      </w:r>
      <w:r>
        <w:rPr>
          <w:rtl w:val="true"/>
        </w:rPr>
        <w:t>חבורה גדולה במצח</w:t>
      </w:r>
      <w:r>
        <w:rPr>
          <w:rtl w:val="true"/>
        </w:rPr>
        <w:t xml:space="preserve">, </w:t>
      </w:r>
      <w:r>
        <w:rPr>
          <w:rtl w:val="true"/>
        </w:rPr>
        <w:t>חבלות באזור הפה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tl w:val="true"/>
        </w:rPr>
        <w:t xml:space="preserve">, </w:t>
      </w:r>
      <w:r>
        <w:rPr>
          <w:rtl w:val="true"/>
        </w:rPr>
        <w:t>שברים בעצמות האף</w:t>
      </w:r>
      <w:r>
        <w:rPr>
          <w:rtl w:val="true"/>
        </w:rPr>
        <w:t xml:space="preserve">, </w:t>
      </w:r>
      <w:r>
        <w:rPr>
          <w:rtl w:val="true"/>
        </w:rPr>
        <w:t>פלסי נוזל</w:t>
      </w:r>
      <w:r>
        <w:rPr>
          <w:rtl w:val="true"/>
        </w:rPr>
        <w:t>-</w:t>
      </w:r>
      <w:r>
        <w:rPr>
          <w:rtl w:val="true"/>
        </w:rPr>
        <w:t>דם במערות הפנים</w:t>
      </w:r>
      <w:r>
        <w:rPr>
          <w:rtl w:val="true"/>
        </w:rPr>
        <w:t xml:space="preserve">, </w:t>
      </w:r>
      <w:r>
        <w:rPr>
          <w:rtl w:val="true"/>
        </w:rPr>
        <w:t>שפכי דם תת</w:t>
      </w:r>
      <w:r>
        <w:rPr>
          <w:rtl w:val="true"/>
        </w:rPr>
        <w:t>-</w:t>
      </w:r>
      <w:r>
        <w:rPr>
          <w:rtl w:val="true"/>
        </w:rPr>
        <w:t>עוריים</w:t>
      </w:r>
      <w:r>
        <w:rPr>
          <w:rtl w:val="true"/>
        </w:rPr>
        <w:t xml:space="preserve">, </w:t>
      </w:r>
      <w:r>
        <w:rPr>
          <w:rtl w:val="true"/>
        </w:rPr>
        <w:t>פצעי שפשוף בעפעפיים ובלחיים</w:t>
      </w:r>
      <w:r>
        <w:rPr>
          <w:rtl w:val="true"/>
        </w:rPr>
        <w:t xml:space="preserve">, </w:t>
      </w:r>
      <w:r>
        <w:rPr>
          <w:rtl w:val="true"/>
        </w:rPr>
        <w:t>שפכי דם תת</w:t>
      </w:r>
      <w:r>
        <w:rPr>
          <w:rtl w:val="true"/>
        </w:rPr>
        <w:t>-</w:t>
      </w:r>
      <w:r>
        <w:rPr>
          <w:rtl w:val="true"/>
        </w:rPr>
        <w:t xml:space="preserve">לחמיתיים בלחמיות גלגלי העיניים והעפעפיים וחבלות קהות שונות </w:t>
      </w:r>
      <w:r>
        <w:rPr>
          <w:rtl w:val="true"/>
        </w:rPr>
        <w:t>(</w:t>
      </w:r>
      <w:r>
        <w:rPr>
          <w:rtl w:val="true"/>
        </w:rPr>
        <w:t xml:space="preserve">ראו בפסקאות </w:t>
      </w:r>
      <w:r>
        <w:rPr/>
        <w:t>107-106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כאשר המוות הוא תוצאה ישירה של מכות אלה</w:t>
      </w:r>
      <w:r>
        <w:rPr>
          <w:rtl w:val="true"/>
        </w:rPr>
        <w:t xml:space="preserve">. </w:t>
      </w:r>
      <w:r>
        <w:rPr>
          <w:rtl w:val="true"/>
        </w:rPr>
        <w:t>נטילת חייו של אדם במכות אכזריות ומרובות</w:t>
      </w:r>
      <w:r>
        <w:rPr>
          <w:rtl w:val="true"/>
        </w:rPr>
        <w:t xml:space="preserve">, </w:t>
      </w:r>
      <w:r>
        <w:rPr>
          <w:rtl w:val="true"/>
        </w:rPr>
        <w:t>כשהמשיב ממשיך וחובט במנוח גם כשזה היה מוטל חסר אונים על המדרכה</w:t>
      </w:r>
      <w:r>
        <w:rPr>
          <w:rtl w:val="true"/>
        </w:rPr>
        <w:t xml:space="preserve">, </w:t>
      </w:r>
      <w:r>
        <w:rPr>
          <w:rtl w:val="true"/>
        </w:rPr>
        <w:t>מלמדת על מידת אכזריות ואשמה גבוהה</w:t>
      </w:r>
      <w:r>
        <w:rPr>
          <w:rtl w:val="true"/>
        </w:rPr>
        <w:t xml:space="preserve">. </w:t>
      </w:r>
      <w:r>
        <w:rPr>
          <w:rtl w:val="true"/>
        </w:rPr>
        <w:t>העובדה שלשם נטילת חייו של המנוח לא נזקק המשיב לכלי משחית</w:t>
      </w:r>
      <w:r>
        <w:rPr>
          <w:rtl w:val="true"/>
        </w:rPr>
        <w:t xml:space="preserve">, </w:t>
      </w:r>
      <w:r>
        <w:rPr>
          <w:rtl w:val="true"/>
        </w:rPr>
        <w:t>ועשה זאת באגרופים ובעיטות</w:t>
      </w:r>
      <w:r>
        <w:rPr>
          <w:rtl w:val="true"/>
        </w:rPr>
        <w:t xml:space="preserve">, </w:t>
      </w:r>
      <w:r>
        <w:rPr>
          <w:rtl w:val="true"/>
        </w:rPr>
        <w:t>מלמדת דווקא על מידת האלימות הרבה שהופעלה על ידי המשיב כלפי המנוח</w:t>
      </w:r>
      <w:r>
        <w:rPr>
          <w:rtl w:val="true"/>
        </w:rPr>
        <w:t xml:space="preserve">, </w:t>
      </w:r>
      <w:r>
        <w:rPr>
          <w:rtl w:val="true"/>
        </w:rPr>
        <w:t xml:space="preserve">בהינתן כי עצם בחירתו של אדם שלא להשתמש בכלי נשק בעת תקיפה אינה יכולה להוות נסיבה מקלה משמעותית מקום בו נגרם נזק כה מופלג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13.5.2021</w:t>
      </w:r>
      <w:r>
        <w:rPr>
          <w:rtl w:val="true"/>
        </w:rPr>
        <w:t xml:space="preserve">)). </w:t>
      </w:r>
      <w:r>
        <w:rPr>
          <w:rtl w:val="true"/>
        </w:rPr>
        <w:t>במעשי תקיפה חוזרים ונשנים כמפורט בהכרעת הדין</w:t>
      </w:r>
      <w:r>
        <w:rPr>
          <w:rtl w:val="true"/>
        </w:rPr>
        <w:t xml:space="preserve">, </w:t>
      </w:r>
      <w:r>
        <w:rPr>
          <w:rtl w:val="true"/>
        </w:rPr>
        <w:t>המסתיימים במוות</w:t>
      </w:r>
      <w:r>
        <w:rPr>
          <w:rtl w:val="true"/>
        </w:rPr>
        <w:t xml:space="preserve">, </w:t>
      </w:r>
      <w:r>
        <w:rPr>
          <w:rtl w:val="true"/>
        </w:rPr>
        <w:t>טמון אשם רב מאוד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2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 בפסיקה מלמד כי על נאשמים שהורשעו בעבירת ההמתה בקלות דעת נגזרו עונשים חמורים יותר</w:t>
      </w:r>
      <w:r>
        <w:rPr>
          <w:rtl w:val="true"/>
        </w:rPr>
        <w:t xml:space="preserve">, </w:t>
      </w:r>
      <w:r>
        <w:rPr>
          <w:rtl w:val="true"/>
        </w:rPr>
        <w:t xml:space="preserve">אף כאשר המעשה שגרם למוות אינו מעשה הכולל </w:t>
      </w:r>
      <w:r>
        <w:rPr>
          <w:rtl w:val="true"/>
        </w:rPr>
        <w:t>–</w:t>
      </w:r>
      <w:r>
        <w:rPr>
          <w:rtl w:val="true"/>
        </w:rPr>
        <w:t xml:space="preserve"> מניה וביה </w:t>
      </w:r>
      <w:r>
        <w:rPr>
          <w:rtl w:val="true"/>
        </w:rPr>
        <w:t>–</w:t>
      </w:r>
      <w:r>
        <w:rPr>
          <w:rtl w:val="true"/>
        </w:rPr>
        <w:t xml:space="preserve"> יסוד של אלימות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21.4.2021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tl w:val="true"/>
        </w:rPr>
        <w:t xml:space="preserve">). </w:t>
      </w:r>
      <w:r>
        <w:rPr>
          <w:rtl w:val="true"/>
        </w:rPr>
        <w:t>כן הושתו עונשים מחמירים יותר באופן משמעותי על נאשמים שהורשעו בביצוע עבירת המתה בקלות דעת</w:t>
      </w:r>
      <w:r>
        <w:rPr>
          <w:rtl w:val="true"/>
        </w:rPr>
        <w:t xml:space="preserve">, </w:t>
      </w:r>
      <w:r>
        <w:rPr>
          <w:rtl w:val="true"/>
        </w:rPr>
        <w:t>בנסיבות בהן נעשו פעולות בעלות ממד אלים</w:t>
      </w:r>
      <w:r>
        <w:rPr>
          <w:rtl w:val="true"/>
        </w:rPr>
        <w:t xml:space="preserve">, </w:t>
      </w:r>
      <w:r>
        <w:rPr>
          <w:rtl w:val="true"/>
        </w:rPr>
        <w:t>כהצתה</w:t>
      </w:r>
      <w:r>
        <w:rPr>
          <w:rtl w:val="true"/>
        </w:rPr>
        <w:t xml:space="preserve">, </w:t>
      </w:r>
      <w:r>
        <w:rPr>
          <w:rtl w:val="true"/>
        </w:rPr>
        <w:t xml:space="preserve">שהובילו לפגיעה בצדדים שלישיים בלתי מעורבים בהם לא הייתה כל כוונה סובייקטיבית לפגוע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אמנם נקבע כי המשיב היה קל דעת ביחס לגרימת מותו של המנוח</w:t>
      </w:r>
      <w:r>
        <w:rPr>
          <w:rtl w:val="true"/>
        </w:rPr>
        <w:t xml:space="preserve">, </w:t>
      </w:r>
      <w:r>
        <w:rPr>
          <w:rtl w:val="true"/>
        </w:rPr>
        <w:t>אך המוות אינו תוצאה של תאונה</w:t>
      </w:r>
      <w:r>
        <w:rPr>
          <w:rtl w:val="true"/>
        </w:rPr>
        <w:t xml:space="preserve">. </w:t>
      </w:r>
      <w:r>
        <w:rPr>
          <w:rtl w:val="true"/>
        </w:rPr>
        <w:t>הוא תוצאה של מעשים אלימים</w:t>
      </w:r>
      <w:r>
        <w:rPr>
          <w:rtl w:val="true"/>
        </w:rPr>
        <w:t xml:space="preserve">, </w:t>
      </w:r>
      <w:r>
        <w:rPr>
          <w:rtl w:val="true"/>
        </w:rPr>
        <w:t>שכיוון המשיב ישירות כנגד המנוח</w:t>
      </w:r>
      <w:r>
        <w:rPr>
          <w:rtl w:val="true"/>
        </w:rPr>
        <w:t xml:space="preserve">, </w:t>
      </w:r>
      <w:r>
        <w:rPr>
          <w:rtl w:val="true"/>
        </w:rPr>
        <w:t>ומקל וחומר יש להחמיר בענישה</w:t>
      </w:r>
      <w:r>
        <w:rPr>
          <w:rtl w:val="true"/>
        </w:rPr>
        <w:t xml:space="preserve">. </w:t>
      </w:r>
      <w:r>
        <w:rPr>
          <w:rtl w:val="true"/>
        </w:rPr>
        <w:t xml:space="preserve">מכך עולה כי עונש בן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מאסר בלבד אינו פרופורציונאלי למידת האשמה שהתלוותה אליו</w:t>
      </w:r>
      <w:r>
        <w:rPr>
          <w:rtl w:val="true"/>
        </w:rPr>
        <w:t xml:space="preserve">, </w:t>
      </w:r>
      <w:r>
        <w:rPr>
          <w:rtl w:val="true"/>
        </w:rPr>
        <w:t>ואינו נותן ביטוי הולם לערך קדושת החיים</w:t>
      </w:r>
      <w:r>
        <w:rPr>
          <w:rtl w:val="true"/>
        </w:rPr>
        <w:t xml:space="preserve">, </w:t>
      </w:r>
      <w:r>
        <w:rPr>
          <w:rtl w:val="true"/>
        </w:rPr>
        <w:t>בו פגע המשיב פגיעה קשה</w:t>
      </w:r>
      <w:r>
        <w:rPr>
          <w:rtl w:val="true"/>
        </w:rPr>
        <w:t xml:space="preserve">, </w:t>
      </w:r>
      <w:r>
        <w:rPr>
          <w:rtl w:val="true"/>
        </w:rPr>
        <w:t>הסוטה סטייה חמורה ממדיניות הענישה</w:t>
      </w:r>
      <w:r>
        <w:rPr>
          <w:rtl w:val="true"/>
        </w:rPr>
        <w:t xml:space="preserve">, </w:t>
      </w:r>
      <w:r>
        <w:rPr>
          <w:rtl w:val="true"/>
        </w:rPr>
        <w:t>ובמכלול אינו מתיישב עם עיקרון ההלימה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בהינתן חומרת נסיבות ביצוע המעשים ואכזריותם</w:t>
      </w:r>
      <w:r>
        <w:rPr>
          <w:rtl w:val="true"/>
        </w:rPr>
        <w:t xml:space="preserve">, </w:t>
      </w:r>
      <w:r>
        <w:rPr>
          <w:rtl w:val="true"/>
        </w:rPr>
        <w:t>מידת האשמה הרבה שרובצת לפתחו של המשיב</w:t>
      </w:r>
      <w:r>
        <w:rPr>
          <w:rtl w:val="true"/>
        </w:rPr>
        <w:t xml:space="preserve">, </w:t>
      </w:r>
      <w:r>
        <w:rPr>
          <w:rtl w:val="true"/>
        </w:rPr>
        <w:t>הפגיעה הקשה בערך קדושת החיים</w:t>
      </w:r>
      <w:r>
        <w:rPr>
          <w:rtl w:val="true"/>
        </w:rPr>
        <w:t xml:space="preserve">, </w:t>
      </w:r>
      <w:r>
        <w:rPr>
          <w:rtl w:val="true"/>
        </w:rPr>
        <w:t>ומבלי למצות את הדין עם המשיב</w:t>
      </w:r>
      <w:r>
        <w:rPr>
          <w:rtl w:val="true"/>
        </w:rPr>
        <w:t xml:space="preserve">, </w:t>
      </w:r>
      <w:r>
        <w:rPr>
          <w:rtl w:val="true"/>
        </w:rPr>
        <w:t xml:space="preserve">אציע להעמיד את עונשו של המשיב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לריצוי בפועל</w:t>
      </w:r>
      <w:r>
        <w:rPr>
          <w:rtl w:val="true"/>
        </w:rPr>
        <w:t xml:space="preserve">, </w:t>
      </w:r>
      <w:r>
        <w:rPr>
          <w:rtl w:val="true"/>
        </w:rPr>
        <w:t>כשיתר חלקי גזר הדין יוותרו 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אם תשמע דעתי</w:t>
      </w:r>
      <w:r>
        <w:rPr>
          <w:rtl w:val="true"/>
        </w:rPr>
        <w:t xml:space="preserve">, </w:t>
      </w:r>
      <w:r>
        <w:rPr>
          <w:rtl w:val="true"/>
        </w:rPr>
        <w:t>נורה על דחיית ערעור המשיב על הכרעת הדין</w:t>
      </w:r>
      <w:r>
        <w:rPr>
          <w:rtl w:val="true"/>
        </w:rPr>
        <w:t xml:space="preserve">, </w:t>
      </w:r>
      <w:r>
        <w:rPr>
          <w:rtl w:val="true"/>
        </w:rPr>
        <w:t>ועל קבלת ערעור המערערת על גזר הדין</w:t>
      </w:r>
      <w:r>
        <w:rPr>
          <w:rtl w:val="true"/>
        </w:rPr>
        <w:t xml:space="preserve">, </w:t>
      </w:r>
      <w:r>
        <w:rPr>
          <w:rtl w:val="true"/>
        </w:rPr>
        <w:t>כך שרכיב המאסר בעונשו של המשיב יוחמר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eastAsia="Arial TUR" w:cs="Arial TUR" w:ascii="Arial TUR" w:hAnsi="Arial TUR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ברון</w:t>
      </w:r>
      <w:r>
        <w:rPr>
          <w:rFonts w:cs="Miriam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מטעמיו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eastAsia="Arial TUR" w:cs="Arial TUR"/>
          <w:sz w:val="22"/>
        </w:rPr>
      </w:pPr>
      <w:r>
        <w:rPr>
          <w:rFonts w:eastAsia="Arial TUR" w:cs="Arial TUR" w:ascii="Arial TUR" w:hAnsi="Arial TUR"/>
          <w:sz w:val="22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קרא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bookmarkStart w:id="15" w:name="Nitan"/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‏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25.8.2021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19084700</w:t>
      </w:r>
      <w:r>
        <w:rPr>
          <w:sz w:val="16"/>
          <w:rtl w:val="true"/>
        </w:rPr>
        <w:t>_</w:t>
      </w:r>
      <w:r>
        <w:rPr>
          <w:sz w:val="16"/>
        </w:rPr>
        <w:t>Q11.docx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54678313-8470/19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8470/19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קונסטנטין בורובסקי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148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00c" TargetMode="External"/><Relationship Id="rId6" Type="http://schemas.openxmlformats.org/officeDocument/2006/relationships/hyperlink" Target="http://www.nevo.co.il/law/70301/301c" TargetMode="External"/><Relationship Id="rId7" Type="http://schemas.openxmlformats.org/officeDocument/2006/relationships/hyperlink" Target="http://www.nevo.co.il/law/70301/309.4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211" TargetMode="External"/><Relationship Id="rId10" Type="http://schemas.openxmlformats.org/officeDocument/2006/relationships/hyperlink" Target="http://www.nevo.co.il/case/2541480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00c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4903/211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case/20687580" TargetMode="External"/><Relationship Id="rId17" Type="http://schemas.openxmlformats.org/officeDocument/2006/relationships/hyperlink" Target="http://www.nevo.co.il/law/74903/211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case/5788915" TargetMode="External"/><Relationship Id="rId20" Type="http://schemas.openxmlformats.org/officeDocument/2006/relationships/hyperlink" Target="http://www.nevo.co.il/law/70301/309.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6142559" TargetMode="External"/><Relationship Id="rId23" Type="http://schemas.openxmlformats.org/officeDocument/2006/relationships/hyperlink" Target="http://www.nevo.co.il/case/6026243" TargetMode="External"/><Relationship Id="rId24" Type="http://schemas.openxmlformats.org/officeDocument/2006/relationships/hyperlink" Target="http://www.nevo.co.il/case/5612299" TargetMode="External"/><Relationship Id="rId25" Type="http://schemas.openxmlformats.org/officeDocument/2006/relationships/hyperlink" Target="http://www.nevo.co.il/case/2654154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1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2401476" TargetMode="External"/><Relationship Id="rId30" Type="http://schemas.openxmlformats.org/officeDocument/2006/relationships/hyperlink" Target="http://www.nevo.co.il/case/26607075" TargetMode="External"/><Relationship Id="rId31" Type="http://schemas.openxmlformats.org/officeDocument/2006/relationships/hyperlink" Target="http://www.nevo.co.il/case/27372060" TargetMode="External"/><Relationship Id="rId32" Type="http://schemas.openxmlformats.org/officeDocument/2006/relationships/hyperlink" Target="https://supreme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2021-08-26T21:01:00Z</dcterms:created>
  <dc:creator>h4</dc:creator>
  <dc:description/>
  <cp:keywords/>
  <dc:language>en-IL</dc:language>
  <cp:lastModifiedBy>orly</cp:lastModifiedBy>
  <cp:lastPrinted>2021-08-25T14:03:00Z</cp:lastPrinted>
  <dcterms:modified xsi:type="dcterms:W3CDTF">2021-08-26T21:01:00Z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קונסטנטין בורובסקי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25414804:2;20687580;5788915;26142559;6026243;5612299;26541540;22401476;26607075;27372060</vt:lpwstr>
  </property>
  <property fmtid="{D5CDD505-2E9C-101B-9397-08002B2CF9AE}" pid="9" name="CITY">
    <vt:lpwstr/>
  </property>
  <property fmtid="{D5CDD505-2E9C-101B-9397-08002B2CF9AE}" pid="10" name="DATE">
    <vt:lpwstr>20210825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ברון;ג' קרא</vt:lpwstr>
  </property>
  <property fmtid="{D5CDD505-2E9C-101B-9397-08002B2CF9AE}" pid="14" name="LAWLISTTMP1">
    <vt:lpwstr>70301/300c;298;309.4;301c</vt:lpwstr>
  </property>
  <property fmtid="{D5CDD505-2E9C-101B-9397-08002B2CF9AE}" pid="15" name="LAWLISTTMP2">
    <vt:lpwstr>74903/211:2</vt:lpwstr>
  </property>
  <property fmtid="{D5CDD505-2E9C-101B-9397-08002B2CF9AE}" pid="16" name="LAWYER">
    <vt:lpwstr>עופר אשכנזי;מיכל רובינשטיין;עינת גדעוני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בתי-משפט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77;77;14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הגנות</vt:lpwstr>
  </property>
  <property fmtid="{D5CDD505-2E9C-101B-9397-08002B2CF9AE}" pid="41" name="NOSE23">
    <vt:lpwstr>ערעור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1446;1431;333</vt:lpwstr>
  </property>
  <property fmtid="{D5CDD505-2E9C-101B-9397-08002B2CF9AE}" pid="49" name="NOSE31">
    <vt:lpwstr>מדיניות ענישה: המתה בקלות דעת</vt:lpwstr>
  </property>
  <property fmtid="{D5CDD505-2E9C-101B-9397-08002B2CF9AE}" pid="50" name="NOSE310">
    <vt:lpwstr/>
  </property>
  <property fmtid="{D5CDD505-2E9C-101B-9397-08002B2CF9AE}" pid="51" name="NOSE32">
    <vt:lpwstr>הגנה עצמית</vt:lpwstr>
  </property>
  <property fmtid="{D5CDD505-2E9C-101B-9397-08002B2CF9AE}" pid="52" name="NOSE33">
    <vt:lpwstr>אי התערבות בממצאים עובדתיים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18472;8671;16253</vt:lpwstr>
  </property>
  <property fmtid="{D5CDD505-2E9C-101B-9397-08002B2CF9AE}" pid="60" name="PADIDATE">
    <vt:lpwstr>20210829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8470;3426</vt:lpwstr>
  </property>
  <property fmtid="{D5CDD505-2E9C-101B-9397-08002B2CF9AE}" pid="66" name="PROCYEAR">
    <vt:lpwstr>19;20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410120210825</vt:lpwstr>
  </property>
  <property fmtid="{D5CDD505-2E9C-101B-9397-08002B2CF9AE}" pid="70" name="TYPE_N_DATE">
    <vt:lpwstr>41020210825</vt:lpwstr>
  </property>
  <property fmtid="{D5CDD505-2E9C-101B-9397-08002B2CF9AE}" pid="71" name="VOLUME">
    <vt:lpwstr/>
  </property>
  <property fmtid="{D5CDD505-2E9C-101B-9397-08002B2CF9AE}" pid="72" name="WORDNUMPAGES">
    <vt:lpwstr>14</vt:lpwstr>
  </property>
</Properties>
</file>