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8477/17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27.9.2017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54619-08-16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פריד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351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6" w:name="ABSTRACT_START"/>
      <w:bookmarkEnd w:id="6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וקשות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רמס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כבודן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בוטה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ובנפשן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ולמען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יראו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וייראו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שנעשו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מדרגה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ראשונה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ובביתן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באחיותיו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מחדש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מהמקובל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טיעוני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במהותם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לטיעונים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ששטח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הטיעונים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ושיקללם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וקשות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רמס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כבודן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אחיותיו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המתלוננות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בוטה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ובנפשן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ולמען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יראו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וייראו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ועברייני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פוטנציאליים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שנעשו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מדרגה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ראשונה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ובביתן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הנלוזים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במתלוננות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פגיעות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ילוו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בוגרות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בייחוד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וזריקת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עידוד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הלקח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ביכולתו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להשתקם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ביתו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  <w:szCs w:val="26"/>
        </w:rPr>
      </w:pPr>
      <w:r>
        <w:rPr>
          <w:rFonts w:cs="FrankRuehl;Times New Roman" w:ascii="FrankRuehl;Times New Roman" w:hAnsi="FrankRuehl;Times New Roman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 w:val="24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54619-08-16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27.9.2017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cs="Miriam"/>
          <w:b/>
          <w:spacing w:val="0"/>
          <w:sz w:val="20"/>
          <w:szCs w:val="24"/>
        </w:rPr>
      </w:pPr>
      <w:r>
        <w:rPr>
          <w:rFonts w:cs="Miriam"/>
          <w:b/>
          <w:spacing w:val="0"/>
          <w:sz w:val="20"/>
          <w:szCs w:val="24"/>
          <w:rtl w:val="true"/>
        </w:rPr>
      </w:r>
    </w:p>
    <w:p>
      <w:pPr>
        <w:pStyle w:val="Ruller41"/>
        <w:spacing w:lineRule="auto" w:line="480"/>
        <w:ind w:end="0"/>
        <w:jc w:val="both"/>
        <w:rPr>
          <w:sz w:val="20"/>
        </w:rPr>
      </w:pP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2011-2009</w:t>
      </w:r>
      <w:r>
        <w:rPr>
          <w:rtl w:val="true"/>
        </w:rPr>
        <w:t xml:space="preserve">,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לאחותו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וחולה</w:t>
      </w:r>
      <w:r>
        <w:rPr>
          <w:rtl w:val="true"/>
        </w:rPr>
        <w:t xml:space="preserve">'.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משעשתה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, </w:t>
      </w:r>
      <w:r>
        <w:rPr>
          <w:rtl w:val="true"/>
        </w:rPr>
        <w:t>משח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בסבון</w:t>
      </w:r>
      <w:r>
        <w:rPr>
          <w:rtl w:val="true"/>
        </w:rPr>
        <w:t xml:space="preserve">,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וחולה</w:t>
      </w:r>
      <w:r>
        <w:rPr>
          <w:rtl w:val="true"/>
        </w:rPr>
        <w:t xml:space="preserve">',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בית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</w:t>
      </w:r>
      <w:r>
        <w:rPr>
          <w:rFonts w:cs="Times New Roman;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מהאחיות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תדירותם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על סמך הדברים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בחינת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מתחם העונש ההולם בגין העבירות שבוצעו בכל אחת מהמתלוננות יעמוד על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6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בקביעת העונש בגדרי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התחשב בית המשפט בעברו הנקי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חייו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חלוף הזמן מעת ביצוע העבירות והיותו של המערער אב 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התחשב בית המשפט המחוזי בהודייתו של המערער ובחרטה שהביע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כי צוינו סימני שאלה לגבי כנות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פנה לדון בהרחבה בשיקולי השיקום שהעניין דנן מעורר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הופנה במהלך 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לטיפול בעמותת אל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הגיע רק למספר פגישות טיפוליות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ולאחריהן סירב להמשיך בטיפול מכיוון שחש לדבריו שהטיפול אינו מסייע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בתסקיר שירות המבחן מיום </w:t>
      </w:r>
      <w:r>
        <w:rPr>
          <w:rFonts w:cs="Century" w:ascii="Century" w:hAnsi="Century"/>
        </w:rPr>
        <w:t>11.7.2017</w:t>
      </w:r>
      <w:r>
        <w:rPr>
          <w:rFonts w:cs="Century" w:ascii="Century" w:hAnsi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בשל להשתלב בטיפול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נקבע גם כי נראה שישנם מספר גורמי סיכון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עמדותיו של המערער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ואלו יכולים לפגוע בסיכויי ההצלחה של הטיפול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סמך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הענין הנדון אינו מצדיק סטייה מגדרי מתחם הענישה משיקולי שיקום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FrankRuehl;Times New Roman" w:ascii="FrankRuehl;Times New Roman" w:hAnsi="FrankRuehl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מיקד את ערעורו ברכיב המאסר בפועל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שגה בכך שלא העניק בכורה לשיקולי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חרף היותו קטין בעת 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העבירות היו פועל יוצא של חסכים רגשיים אשר מהם סבל בנערותו כתוצאה מנסיבות חייו המורכבות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בשל היותו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עבריין מין פתולוגי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ולפיכך ראוי להקל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סבור גם כי שגה בית המשפט המחוזי במשקל שנתן לכך שלא התמיד בטיפול שבו השתתף במהלך 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עבר תהליך משמעותי מאז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בשל כיום לטיפול שיקומי משמעותי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עונשו חמור ביחס למדיניות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לסטות לגביו מגדרי מתחם העונש ההולם משיקולי 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נסיבותיו האישיות 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לו בימי נערותו גורם שיכל לפרוק לפניו את תסכוליו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להעזר בו כדי להיחלץ ממשבריו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ההליך הפלילי ועונש המאסר גרמו נזק קשה למערער שבינתיים הקים משפחה ומנסה להשתקם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סמך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המערער להפחית מתקופת המאסר שהושת עליו לרצות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ביקש לדחות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חומרת מעשיו של המערער אינה נובעת אך מהמעשים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המצויים ברף הגבוה של עבירת המעשה המגונה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אלא גם מתדירות וריבוי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פרק הזמן הארוך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וביצועם בביתן של המתלוננות תוך ניצול הפרשי הגילאים שביניהם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נתן משקל רב לקטינותו של המערער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שאלמלא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נגזר עליו עונש כבד יותר במידה ניכרת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הטעים גם כי המערער הוסיף חטא על פשע בכך שפעל להכפיש את אחותו לאחר שחשפה את הדברים והסיט נגדה את בני משפחתם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אשר נאלצה לעזוב את ביתה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התנהגותו זו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חוסר נכונותו להשתלב בטיפול בטרם ניתן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מעיבים על החרטה שהביע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ומצדיקים את הענישה בה נקט בית המשפט המחוזי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בנימוקי הערעור ובגזר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שמעתי את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המערער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אחותו המתלוננת – הגעתי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1167/17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/>
        <w:t>7.3.2018</w:t>
      </w:r>
      <w:r>
        <w:rPr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rFonts w:ascii="Century" w:hAnsi="Century" w:cs="Century"/>
          <w:rtl w:val="true"/>
        </w:rPr>
        <w:t>טיעוניו של המערער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זהים במהותם לטיעונים ששטח לפני בית המשפט המחוזי</w:t>
      </w:r>
      <w:r>
        <w:rPr>
          <w:rFonts w:cs="Century" w:ascii="Century" w:hAnsi="Century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ושיקלל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,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ועברייני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ובביתן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6853/17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6.3.2018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ומתסקיר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,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חוששני</w:t>
      </w:r>
      <w:r>
        <w:rPr>
          <w:rtl w:val="true"/>
        </w:rPr>
        <w:t xml:space="preserve">, </w:t>
      </w:r>
      <w:r>
        <w:rPr>
          <w:rtl w:val="true"/>
        </w:rPr>
        <w:t>ילוו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בוגרות</w:t>
      </w:r>
      <w:r>
        <w:rPr>
          <w:rtl w:val="true"/>
        </w:rPr>
        <w:t xml:space="preserve">. </w:t>
      </w:r>
      <w:r>
        <w:rPr>
          <w:rtl w:val="true"/>
        </w:rPr>
        <w:t>הרשימו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בכנותן</w:t>
      </w:r>
      <w:r>
        <w:rPr>
          <w:rtl w:val="true"/>
        </w:rPr>
        <w:t xml:space="preserve">, </w:t>
      </w:r>
      <w:r>
        <w:rPr>
          <w:rtl w:val="true"/>
        </w:rPr>
        <w:t>וצרבו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בכאבן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החולפת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התחזקתי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והחלמתי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צמתים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ולהחליט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להתקדם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נלחמת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חזיתות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בפלאשבקים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בזיכרונות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ברתיעה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להילחם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המלחמות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האמיתיות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ענקית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ממפגשים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ממפגשים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אקראיים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בשבילי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מחלימה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ויסורים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שקרנית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ומדמיינת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דמיונות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ושאלתי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פתאום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מצטטת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בדייקנות</w:t>
      </w:r>
      <w:r>
        <w:rPr>
          <w:rFonts w:cs="Miriam" w:ascii="Century" w:hAnsi="Century"/>
          <w:b/>
          <w:spacing w:val="0"/>
          <w:szCs w:val="24"/>
          <w:rtl w:val="true"/>
        </w:rPr>
        <w:t>)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להתווכח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שופטים</w:t>
      </w:r>
      <w:r>
        <w:rPr>
          <w:rFonts w:cs="Miriam" w:ascii="Century" w:hAnsi="Century"/>
          <w:b/>
          <w:spacing w:val="0"/>
          <w:szCs w:val="24"/>
          <w:rtl w:val="true"/>
        </w:rPr>
        <w:t>??".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שנעשו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צדקתי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וקרבן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הזרקורים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שהיציאה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ליציאתו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מפורקת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לחתיכות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שידרה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לטיפול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ביושר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לנפגעות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Cs w:val="24"/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עינינו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הכאב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הנחוש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המאמץ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השבר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להצלחה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המתלוננות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הקהילה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תסקירי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מצביעים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רצונו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מאמציו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לשיקומו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בייחוד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בינתיים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ונולד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לסביבתו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הנוראיות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טוב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וזריקת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עידוד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הלקח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אמנם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ביתו</w:t>
      </w:r>
      <w:r>
        <w:rPr>
          <w:sz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>-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Fonts w:eastAsia="FrankRuehl;Times New Roman" w:ascii="FrankRuehl;Times New Roman" w:hAnsi="FrankRuehl;Times New Roman"/>
          <w:rtl w:val="true"/>
        </w:rPr>
        <w:t>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eastAsia="FrankRuehl;Times New Roman" w:ascii="FrankRuehl;Times New Roman" w:hAnsi="FrankRuehl;Times New Roman"/>
          <w:rtl w:val="true"/>
        </w:rPr>
        <w:t>‏</w:t>
      </w:r>
      <w:r>
        <w:rPr/>
        <w:t>14.3.2019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</w:t>
      </w:r>
      <w:r>
        <w:rPr>
          <w:rFonts w:cs="Times New Roman;Times New Roman"/>
          <w:sz w:val="16"/>
          <w:rtl w:val="true"/>
        </w:rPr>
        <w:t xml:space="preserve">  </w:t>
      </w:r>
      <w:r>
        <w:rPr>
          <w:sz w:val="16"/>
        </w:rPr>
        <w:t>17084770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BeginProtocol"/>
            <w:bookmarkStart w:id="13" w:name="secretary"/>
            <w:bookmarkEnd w:id="12"/>
            <w:bookmarkEnd w:id="13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bookmarkStart w:id="14" w:name="Writer_Name"/>
      <w:bookmarkEnd w:id="14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 xml:space="preserve">, </w:t>
      </w:r>
      <w:r>
        <w:rPr>
          <w:rtl w:val="true"/>
        </w:rPr>
        <w:t>ומתירים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firstLine="720"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19.3.2019</w:t>
      </w:r>
      <w:r>
        <w:rPr>
          <w:rtl w:val="true"/>
        </w:rPr>
        <w:t xml:space="preserve">). </w:t>
      </w:r>
    </w:p>
    <w:p>
      <w:pPr>
        <w:pStyle w:val="Ruller41"/>
        <w:spacing w:lineRule="auto" w:line="480"/>
        <w:ind w:firstLine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pacing w:lineRule="auto" w:line="480"/>
              <w:ind w:end="0"/>
              <w:jc w:val="both"/>
              <w:rPr/>
            </w:pPr>
            <w:bookmarkStart w:id="15" w:name="Start_Write"/>
            <w:bookmarkEnd w:id="15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17084770</w:t>
      </w:r>
      <w:r>
        <w:rPr>
          <w:sz w:val="16"/>
          <w:rtl w:val="true"/>
        </w:rPr>
        <w:t>_</w:t>
      </w:r>
      <w:r>
        <w:rPr>
          <w:sz w:val="16"/>
        </w:rPr>
        <w:t>O03.docx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54678313-8477/17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8477/17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8.a" TargetMode="External"/><Relationship Id="rId5" Type="http://schemas.openxmlformats.org/officeDocument/2006/relationships/hyperlink" Target="http://www.nevo.co.il/law/70301/351.c.1" TargetMode="External"/><Relationship Id="rId6" Type="http://schemas.openxmlformats.org/officeDocument/2006/relationships/hyperlink" Target="http://www.nevo.co.il/law/70301/351.c.1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303542" TargetMode="External"/><Relationship Id="rId11" Type="http://schemas.openxmlformats.org/officeDocument/2006/relationships/hyperlink" Target="http://www.nevo.co.il/case/23768103" TargetMode="External"/><Relationship Id="rId12" Type="http://schemas.openxmlformats.org/officeDocument/2006/relationships/hyperlink" Target="http://supreme.court.gov.il/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2019-03-20T10:55:00Z</dcterms:created>
  <dc:creator>h4</dc:creator>
  <dc:description/>
  <cp:keywords/>
  <dc:language>en-IL</dc:language>
  <cp:lastModifiedBy>orly</cp:lastModifiedBy>
  <cp:lastPrinted>2019-03-19T12:32:00Z</cp:lastPrinted>
  <dcterms:modified xsi:type="dcterms:W3CDTF">2019-03-20T10:55:00Z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22303542;23768103</vt:lpwstr>
  </property>
  <property fmtid="{D5CDD505-2E9C-101B-9397-08002B2CF9AE}" pid="9" name="CITY">
    <vt:lpwstr/>
  </property>
  <property fmtid="{D5CDD505-2E9C-101B-9397-08002B2CF9AE}" pid="10" name="DATE">
    <vt:lpwstr>20190319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מינץ;ע' גרוסקופף</vt:lpwstr>
  </property>
  <property fmtid="{D5CDD505-2E9C-101B-9397-08002B2CF9AE}" pid="14" name="LAWLISTTMP1">
    <vt:lpwstr>70301/351.c.1;345.a.3;348.a</vt:lpwstr>
  </property>
  <property fmtid="{D5CDD505-2E9C-101B-9397-08002B2CF9AE}" pid="15" name="LAWYER">
    <vt:lpwstr>אופיר טישלר;יהודה פריד;ברכה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16241;17039</vt:lpwstr>
  </property>
  <property fmtid="{D5CDD505-2E9C-101B-9397-08002B2CF9AE}" pid="59" name="PADIDATE">
    <vt:lpwstr>20190320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8477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410120190319</vt:lpwstr>
  </property>
  <property fmtid="{D5CDD505-2E9C-101B-9397-08002B2CF9AE}" pid="69" name="TYPE_N_DATE">
    <vt:lpwstr>41020190319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