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8479/16</w:t>
            </w:r>
          </w:p>
        </w:tc>
      </w:tr>
    </w:tbl>
    <w:p>
      <w:pPr>
        <w:pStyle w:val="Normal"/>
        <w:spacing w:lineRule="auto" w:line="48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39148-07-15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סג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נ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עטר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24.5.2018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ברגמן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הסימנים</w:t>
            </w:r>
            <w:r>
              <w:rPr>
                <w:rtl w:val="true"/>
              </w:rPr>
              <w:t xml:space="preserve">: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עדנה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קורנגולד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בזמנים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אבהית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בטחון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צנעתן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בבנותיה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גוזרת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מהמקובל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טיעוני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ושיקללם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בנפרד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בזמנים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ומקומות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היחסי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המגולמת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בייחוד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ממסגרות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סמכותו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לספק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אבהית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ותחושה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בטחון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רמס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כבודן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וחילל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צנעתן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לפגיעות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במתלוננות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קונקרטיות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מהעדכון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האסירים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מעניק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השמיעה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הובאה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ועונשו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המתחם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Start_Write"/>
      <w:bookmarkStart w:id="13" w:name="Start_Write"/>
      <w:bookmarkEnd w:id="13"/>
    </w:p>
    <w:p>
      <w:pPr>
        <w:pStyle w:val="Ruller41"/>
        <w:ind w:end="0"/>
        <w:jc w:val="both"/>
        <w:rPr>
          <w:rFonts w:cs="Miriam"/>
          <w:b/>
          <w:spacing w:val="0"/>
          <w:sz w:val="24"/>
        </w:rPr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סגנית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לורך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עטר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39148-07-15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19.9.2016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>
          <w:rFonts w:cs="Miriam"/>
          <w:b/>
          <w:spacing w:val="0"/>
          <w:sz w:val="20"/>
          <w:szCs w:val="24"/>
        </w:rPr>
      </w:pPr>
      <w:r>
        <w:rPr>
          <w:rFonts w:cs="Miriam"/>
          <w:b/>
          <w:spacing w:val="0"/>
          <w:sz w:val="20"/>
          <w:szCs w:val="24"/>
          <w:rtl w:val="true"/>
        </w:rPr>
      </w:r>
    </w:p>
    <w:p>
      <w:pPr>
        <w:pStyle w:val="Ruller41"/>
        <w:spacing w:lineRule="auto" w:line="480"/>
        <w:ind w:end="0"/>
        <w:jc w:val="both"/>
        <w:rPr>
          <w:sz w:val="20"/>
        </w:rPr>
      </w:pP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רקע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ועיקרי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כתב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האישום</w:t>
      </w:r>
      <w:r>
        <w:rPr>
          <w:rFonts w:eastAsia="Arial TUR;Arial" w:cs="Arial TUR;Arial"/>
          <w:b/>
          <w:b/>
          <w:spacing w:val="0"/>
          <w:sz w:val="20"/>
          <w:sz w:val="2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0"/>
          <w:sz w:val="20"/>
          <w:szCs w:val="24"/>
          <w:rtl w:val="true"/>
        </w:rPr>
        <w:t>המתוקן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בששה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ובמעשה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2015-2010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האחת</w:t>
      </w:r>
      <w:r>
        <w:rPr>
          <w:rtl w:val="true"/>
        </w:rPr>
        <w:t xml:space="preserve">, </w:t>
      </w:r>
      <w:r>
        <w:rPr>
          <w:rtl w:val="true"/>
        </w:rPr>
        <w:t>חיבקה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tl w:val="true"/>
        </w:rPr>
        <w:t xml:space="preserve">,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לבגדים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לידו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בתנועת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עושה</w:t>
      </w:r>
      <w:r>
        <w:rPr>
          <w:rtl w:val="true"/>
        </w:rPr>
        <w:t xml:space="preserve">?",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מתרגשת</w:t>
      </w:r>
      <w:r>
        <w:rPr>
          <w:rtl w:val="true"/>
        </w:rPr>
        <w:t xml:space="preserve">?".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2015-2010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חיבקה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לחולצתה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2013-2012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.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הבריכה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בתנועות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שפשוף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בשחיה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החמישי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2015-2014</w:t>
      </w:r>
      <w:r>
        <w:rPr>
          <w:rtl w:val="true"/>
        </w:rPr>
        <w:t xml:space="preserve">, </w:t>
      </w:r>
      <w:r>
        <w:rPr>
          <w:rtl w:val="true"/>
        </w:rPr>
        <w:t>ליטף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חיבקה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הששי</w:t>
      </w:r>
      <w:r>
        <w:rPr>
          <w:rtl w:val="true"/>
        </w:rPr>
        <w:t xml:space="preserve">,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/>
        <w:t>2012-2011</w:t>
      </w:r>
      <w:r>
        <w:rPr>
          <w:rtl w:val="true"/>
        </w:rPr>
        <w:t xml:space="preserve"> </w:t>
      </w:r>
      <w:r>
        <w:rPr>
          <w:rtl w:val="true"/>
        </w:rPr>
        <w:t>מישש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המדרגות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2010</w:t>
      </w:r>
      <w:r>
        <w:rPr>
          <w:rtl w:val="true"/>
        </w:rPr>
        <w:t xml:space="preserve">,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tl w:val="true"/>
        </w:rPr>
        <w:t xml:space="preserve">, </w:t>
      </w:r>
      <w:r>
        <w:rPr>
          <w:rtl w:val="true"/>
        </w:rPr>
        <w:t>וחדל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אימה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start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גזר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הדין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בית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המשפט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המחוזי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ומכיוון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כבודם</w:t>
      </w:r>
      <w:r>
        <w:rPr>
          <w:rtl w:val="true"/>
        </w:rPr>
        <w:t xml:space="preserve">,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ונפשם</w:t>
      </w:r>
      <w:r>
        <w:rPr>
          <w:rtl w:val="true"/>
        </w:rPr>
        <w:t xml:space="preserve">, </w:t>
      </w:r>
      <w:r>
        <w:rPr>
          <w:rtl w:val="true"/>
        </w:rPr>
        <w:t>ביטחונם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וצנעת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מהמעשים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המגונים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לאור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ולאחר בחינת מדיניות הענישה הנוהגת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קבע בית המשפט כי מתחם העונש ההולם בגין העבירות שבוצעו בכל אחת מהמתלוננות הוא 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עד 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7</w:t>
      </w:r>
      <w:r>
        <w:rPr>
          <w:rFonts w:cs="Century" w:ascii="Century" w:hAnsi="Century"/>
          <w:rtl w:val="true"/>
        </w:rPr>
        <w:t>.</w:t>
      </w: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בית המשפט המחוזי קבע כי לקות השמיעה של המערער כשלעצמה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אינה מהווה שיקול לסטייה ממתחם הענישה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לאור שיקולי הצדק שהוכרו בפסיקה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בית המשפט התחשב בלקות השמיעה של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לעניין קביעת העונש בגדרי מתחם הענישה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עוד התחשב בית המשפט בעברו הנקי של המערער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בהודייתו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שחסכה את הצורך בהעדת המתלוננות</w:t>
      </w:r>
      <w:r>
        <w:rPr>
          <w:rFonts w:cs="Century" w:ascii="Century" w:hAnsi="Century"/>
          <w:rtl w:val="true"/>
        </w:rPr>
        <w:t xml:space="preserve">; </w:t>
      </w:r>
      <w:r>
        <w:rPr>
          <w:rFonts w:ascii="Century" w:hAnsi="Century" w:cs="Century"/>
          <w:rtl w:val="true"/>
        </w:rPr>
        <w:t>ובכך שכל העבירות בוצעו באותה תקופה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מאידך גיסא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ציין בית המשפט כי בחוות הדעת שהתקבלה מטעם מרכז </w:t>
      </w:r>
      <w:r>
        <w:rPr>
          <w:rFonts w:cs="Century" w:ascii="Century" w:hAnsi="Century"/>
          <w:rtl w:val="true"/>
        </w:rPr>
        <w:t>'</w:t>
      </w:r>
      <w:r>
        <w:rPr>
          <w:rFonts w:ascii="Century" w:hAnsi="Century" w:cs="Century"/>
          <w:rtl w:val="true"/>
        </w:rPr>
        <w:t>התחלה חדשה</w:t>
      </w:r>
      <w:r>
        <w:rPr>
          <w:rFonts w:cs="Century" w:ascii="Century" w:hAnsi="Century"/>
          <w:rtl w:val="true"/>
        </w:rPr>
        <w:t xml:space="preserve">', </w:t>
      </w:r>
      <w:r>
        <w:rPr>
          <w:rFonts w:ascii="Century" w:hAnsi="Century" w:cs="Century"/>
          <w:rtl w:val="true"/>
        </w:rPr>
        <w:t>צוין שלמערער עיוותי חשיבה האופייניי</w:t>
      </w:r>
      <w:r>
        <w:rPr>
          <w:rFonts w:ascii="Century" w:hAnsi="Century" w:cs="Century"/>
          <w:rtl w:val="true"/>
        </w:rPr>
        <w:t>ם</w:t>
      </w:r>
      <w:r>
        <w:rPr>
          <w:rFonts w:ascii="Century" w:hAnsi="Century" w:cs="Century"/>
          <w:rtl w:val="true"/>
        </w:rPr>
        <w:t xml:space="preserve"> לעברייני מין שטרם מיצו את ההליך הטיפולי שלו הם זקוקים</w:t>
      </w:r>
      <w:r>
        <w:rPr>
          <w:rFonts w:cs="Century" w:ascii="Century" w:hAnsi="Century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בשיקלול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 w:before="0" w:after="0"/>
        <w:ind w:end="0"/>
        <w:contextualSpacing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עיקרי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טענות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הצדדים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ההדוק</w:t>
      </w:r>
      <w:r>
        <w:rPr>
          <w:rtl w:val="true"/>
        </w:rPr>
        <w:t xml:space="preserve">',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ומחמירים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הנובעים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הודייתו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והשפעת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מדיניות הענישה הנוהגת במקרים דומים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24.5.2018</w:t>
      </w:r>
      <w:r>
        <w:rPr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לחתונת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לביתן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בגידולן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מתלוננת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שהשמיע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ובתפקיד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שמילא</w:t>
      </w:r>
      <w:r>
        <w:rPr>
          <w:rtl w:val="true"/>
        </w:rPr>
        <w:t xml:space="preserve">,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>
          <w:rFonts w:cs="Miriam"/>
          <w:b/>
          <w:highlight w:val="yellow"/>
        </w:rPr>
      </w:pPr>
      <w:r>
        <w:rPr>
          <w:rFonts w:cs="Miriam"/>
          <w:b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480" w:before="0" w:after="0"/>
        <w:ind w:end="0"/>
        <w:contextualSpacing/>
        <w:jc w:val="both"/>
        <w:rPr>
          <w:rFonts w:cs="Miriam"/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דיון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והכרעה</w:t>
      </w:r>
    </w:p>
    <w:p>
      <w:pPr>
        <w:pStyle w:val="Ruller41"/>
        <w:ind w:end="0"/>
        <w:jc w:val="both"/>
        <w:rPr>
          <w:sz w:val="28"/>
        </w:rPr>
      </w:pPr>
      <w:r>
        <w:rPr>
          <w:rFonts w:cs="Century" w:ascii="Century" w:hAnsi="Century"/>
        </w:rPr>
        <w:t>10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 xml:space="preserve">לאחר </w:t>
      </w:r>
      <w:r>
        <w:rPr>
          <w:rFonts w:ascii="Century" w:hAnsi="Century" w:cs="Century"/>
          <w:rtl w:val="true"/>
        </w:rPr>
        <w:t xml:space="preserve">עיון בנימוקי </w:t>
      </w:r>
      <w:r>
        <w:rPr>
          <w:rFonts w:ascii="Century" w:hAnsi="Century" w:cs="Century"/>
          <w:rtl w:val="true"/>
        </w:rPr>
        <w:t>הערעור ובגזר הדין של בית המשפט המחוזי</w:t>
      </w:r>
      <w:r>
        <w:rPr>
          <w:rFonts w:cs="Century" w:ascii="Century" w:hAnsi="Century"/>
          <w:rtl w:val="true"/>
        </w:rPr>
        <w:t>,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ושמיעת טענות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כ </w:t>
      </w:r>
      <w:r>
        <w:rPr>
          <w:rFonts w:ascii="Century" w:hAnsi="Century" w:cs="Century"/>
          <w:rtl w:val="true"/>
        </w:rPr>
        <w:t>הצדדים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הגע</w:t>
      </w:r>
      <w:r>
        <w:rPr>
          <w:rFonts w:ascii="Century" w:hAnsi="Century" w:cs="Century"/>
          <w:rtl w:val="true"/>
        </w:rPr>
        <w:t>תי</w:t>
      </w:r>
      <w:r>
        <w:rPr>
          <w:rFonts w:ascii="Century" w:hAnsi="Century" w:cs="Century"/>
          <w:rtl w:val="true"/>
        </w:rPr>
        <w:t xml:space="preserve"> לכלל מסקנה כי דין הערעור להידחות</w:t>
      </w:r>
      <w:r>
        <w:rPr>
          <w:rFonts w:cs="Century" w:ascii="Century" w:hAnsi="Century"/>
          <w:rtl w:val="true"/>
        </w:rPr>
        <w:t xml:space="preserve">.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גוזרת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מחדש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>וראו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למשל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hyperlink r:id="rId4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1167/17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בפסקה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</w:rPr>
        <w:t>14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וההפניות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/>
        <w:t>7.3.2018</w:t>
      </w:r>
      <w:r>
        <w:rPr>
          <w:rtl w:val="true"/>
        </w:rPr>
        <w:t>)</w:t>
      </w:r>
      <w:r>
        <w:rPr>
          <w:sz w:val="28"/>
          <w:rtl w:val="true"/>
        </w:rPr>
        <w:t xml:space="preserve">). </w:t>
      </w:r>
      <w:r>
        <w:rPr>
          <w:rFonts w:ascii="Century" w:hAnsi="Century" w:cs="Century"/>
          <w:rtl w:val="true"/>
        </w:rPr>
        <w:t>טיעוניו של המערער לפנינו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זהים במהותם לטיעונים אותם שטח בפני בית משפט קמא</w:t>
      </w:r>
      <w:r>
        <w:rPr>
          <w:rFonts w:cs="Century" w:ascii="Century" w:hAnsi="Century"/>
          <w:rtl w:val="true"/>
        </w:rPr>
        <w:t>.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בית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המחוזי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התחשב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בכלל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ושיקלל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אותם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באופן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מדוד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וראוי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גזירת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העונש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משכך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אין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מקום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להתערב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בגזר</w:t>
      </w:r>
      <w:r>
        <w:rPr>
          <w:rFonts w:eastAsia="Arial TUR;Arial" w:cs="Arial TUR;Arial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הדין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בנפרד</w:t>
      </w:r>
      <w:r>
        <w:rPr>
          <w:rtl w:val="true"/>
        </w:rPr>
        <w:t xml:space="preserve">,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מהמתלוננות</w:t>
      </w:r>
      <w:r>
        <w:rPr>
          <w:rtl w:val="true"/>
        </w:rPr>
        <w:t xml:space="preserve">, </w:t>
      </w:r>
      <w:r>
        <w:rPr>
          <w:rtl w:val="true"/>
        </w:rPr>
        <w:t>בזמנים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המגולמת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נובעת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מהפגיעה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באוטונומיה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ובזכותה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נפגעת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להגן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גופה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ולהבטיח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צנעתה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sz w:val="28"/>
          <w:rtl w:val="true"/>
        </w:rPr>
        <w:t xml:space="preserve"> (</w:t>
      </w:r>
      <w:hyperlink r:id="rId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2684/16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26.10.2017</w:t>
      </w:r>
      <w:r>
        <w:rPr>
          <w:rtl w:val="true"/>
        </w:rPr>
        <w:t xml:space="preserve">)).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 xml:space="preserve">. </w:t>
      </w:r>
      <w:r>
        <w:rPr>
          <w:rtl w:val="true"/>
        </w:rPr>
        <w:t>המתלוננות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ממסגרות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כאב</w:t>
      </w:r>
      <w:r>
        <w:rPr>
          <w:rtl w:val="true"/>
        </w:rPr>
        <w:t xml:space="preserve">.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המתלוננות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אבהית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בטחון</w:t>
      </w:r>
      <w:r>
        <w:rPr>
          <w:rtl w:val="true"/>
        </w:rPr>
        <w:t xml:space="preserve">, </w:t>
      </w:r>
      <w:r>
        <w:rPr>
          <w:rtl w:val="true"/>
        </w:rPr>
        <w:t>רמס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כבודן</w:t>
      </w:r>
      <w:r>
        <w:rPr>
          <w:rtl w:val="true"/>
        </w:rPr>
        <w:t xml:space="preserve">, </w:t>
      </w:r>
      <w:r>
        <w:rPr>
          <w:rtl w:val="true"/>
        </w:rPr>
        <w:t>וחילל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צנעתן</w:t>
      </w:r>
      <w:r>
        <w:rPr>
          <w:rtl w:val="true"/>
        </w:rPr>
        <w:t xml:space="preserve">.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במתלוננות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להוקיע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מצערת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קונקרטיות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ועונשו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לחברַי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ד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מינץ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z w:val="18"/>
          <w:sz w:val="18"/>
          <w:szCs w:val="24"/>
          <w:u w:val="single"/>
          <w:rtl w:val="true"/>
        </w:rPr>
        <w:t>השופט</w:t>
      </w:r>
      <w:r>
        <w:rPr>
          <w:rFonts w:eastAsia="Arial TUR;Arial" w:cs="Arial TUR;Arial"/>
          <w:sz w:val="18"/>
          <w:sz w:val="18"/>
          <w:szCs w:val="24"/>
          <w:u w:val="single"/>
          <w:rtl w:val="true"/>
        </w:rPr>
        <w:t xml:space="preserve"> </w:t>
      </w:r>
      <w:r>
        <w:rPr>
          <w:rFonts w:cs="Miriam"/>
          <w:sz w:val="18"/>
          <w:sz w:val="18"/>
          <w:szCs w:val="24"/>
          <w:u w:val="single"/>
          <w:rtl w:val="true"/>
        </w:rPr>
        <w:t>י</w:t>
      </w:r>
      <w:r>
        <w:rPr>
          <w:rFonts w:cs="Miriam"/>
          <w:sz w:val="18"/>
          <w:szCs w:val="24"/>
          <w:u w:val="single"/>
          <w:rtl w:val="true"/>
        </w:rPr>
        <w:t xml:space="preserve">' </w:t>
      </w:r>
      <w:r>
        <w:rPr>
          <w:rFonts w:cs="Miriam"/>
          <w:sz w:val="18"/>
          <w:sz w:val="18"/>
          <w:szCs w:val="24"/>
          <w:u w:val="single"/>
          <w:rtl w:val="true"/>
        </w:rPr>
        <w:t>אלרון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  <w:tab/>
      </w:r>
      <w:r>
        <w:rPr>
          <w:rFonts w:ascii="Century" w:hAnsi="Century" w:cs="Century"/>
          <w:sz w:val="28"/>
          <w:sz w:val="28"/>
          <w:rtl w:val="true"/>
        </w:rPr>
        <w:t>הוחלט כאמור בפסק</w:t>
      </w:r>
      <w:r>
        <w:rPr>
          <w:rFonts w:cs="Century" w:ascii="Century" w:hAnsi="Century"/>
          <w:sz w:val="28"/>
          <w:rtl w:val="true"/>
        </w:rPr>
        <w:t>-</w:t>
      </w:r>
      <w:r>
        <w:rPr>
          <w:rFonts w:ascii="Century" w:hAnsi="Century" w:cs="Century"/>
          <w:sz w:val="28"/>
          <w:sz w:val="28"/>
          <w:rtl w:val="true"/>
        </w:rPr>
        <w:t xml:space="preserve">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Fonts w:cs="Century" w:ascii="Century" w:hAnsi="Century"/>
          <w:sz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cs="Century" w:ascii="Century" w:hAnsi="Century"/>
          <w:sz w:val="28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  <w:sz w:val="28"/>
        </w:rPr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30.5.2018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16084790</w:t>
      </w:r>
      <w:r>
        <w:rPr>
          <w:sz w:val="16"/>
          <w:rtl w:val="true"/>
        </w:rPr>
        <w:t>_</w:t>
      </w:r>
      <w:r>
        <w:rPr>
          <w:sz w:val="16"/>
        </w:rPr>
        <w:t>O01.doc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6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54678313-8479/16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8479/16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673507" TargetMode="External"/><Relationship Id="rId3" Type="http://schemas.openxmlformats.org/officeDocument/2006/relationships/hyperlink" Target="http://www.nevo.co.il/case/20673507" TargetMode="External"/><Relationship Id="rId4" Type="http://schemas.openxmlformats.org/officeDocument/2006/relationships/hyperlink" Target="http://www.nevo.co.il/case/22303542" TargetMode="External"/><Relationship Id="rId5" Type="http://schemas.openxmlformats.org/officeDocument/2006/relationships/hyperlink" Target="http://www.nevo.co.il/case/22303085" TargetMode="External"/><Relationship Id="rId6" Type="http://schemas.openxmlformats.org/officeDocument/2006/relationships/hyperlink" Target="https://supreme.court.gov.il/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2018-06-04T06:11:00Z</dcterms:created>
  <dc:creator> </dc:creator>
  <dc:description/>
  <cp:keywords/>
  <dc:language>en-IL</dc:language>
  <cp:lastModifiedBy>orly</cp:lastModifiedBy>
  <cp:lastPrinted>2018-05-24T15:44:00Z</cp:lastPrinted>
  <dcterms:modified xsi:type="dcterms:W3CDTF">2018-06-04T06:11:00Z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20673507:2;22303542;22303085</vt:lpwstr>
  </property>
  <property fmtid="{D5CDD505-2E9C-101B-9397-08002B2CF9AE}" pid="9" name="CITY">
    <vt:lpwstr/>
  </property>
  <property fmtid="{D5CDD505-2E9C-101B-9397-08002B2CF9AE}" pid="10" name="DATE">
    <vt:lpwstr>20180530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סולברג;ד' מינץ;י' אלרון</vt:lpwstr>
  </property>
  <property fmtid="{D5CDD505-2E9C-101B-9397-08002B2CF9AE}" pid="14" name="LAWYER">
    <vt:lpwstr>רוני זלושינסקי;שירן ברגמן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דיון פלילי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18;77;77</vt:lpwstr>
  </property>
  <property fmtid="{D5CDD505-2E9C-101B-9397-08002B2CF9AE}" pid="36" name="NOSE21">
    <vt:lpwstr>ערעור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504;1446;1446</vt:lpwstr>
  </property>
  <property fmtid="{D5CDD505-2E9C-101B-9397-08002B2CF9AE}" pid="47" name="NOSE31">
    <vt:lpwstr>אי-התערבות במידת העונש</vt:lpwstr>
  </property>
  <property fmtid="{D5CDD505-2E9C-101B-9397-08002B2CF9AE}" pid="48" name="NOSE310">
    <vt:lpwstr/>
  </property>
  <property fmtid="{D5CDD505-2E9C-101B-9397-08002B2CF9AE}" pid="49" name="NOSE32">
    <vt:lpwstr>מדיניות ענישה: עבירות מין במשפחה</vt:lpwstr>
  </property>
  <property fmtid="{D5CDD505-2E9C-101B-9397-08002B2CF9AE}" pid="50" name="NOSE33">
    <vt:lpwstr>מתחם הענישה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17039;16241;14985</vt:lpwstr>
  </property>
  <property fmtid="{D5CDD505-2E9C-101B-9397-08002B2CF9AE}" pid="58" name="PADIDATE">
    <vt:lpwstr>20180604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8479</vt:lpwstr>
  </property>
  <property fmtid="{D5CDD505-2E9C-101B-9397-08002B2CF9AE}" pid="64" name="PROCYEAR">
    <vt:lpwstr>16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410120180530</vt:lpwstr>
  </property>
  <property fmtid="{D5CDD505-2E9C-101B-9397-08002B2CF9AE}" pid="68" name="TYPE_N_DATE">
    <vt:lpwstr>41020180530</vt:lpwstr>
  </property>
  <property fmtid="{D5CDD505-2E9C-101B-9397-08002B2CF9AE}" pid="69" name="VOLUME">
    <vt:lpwstr/>
  </property>
  <property fmtid="{D5CDD505-2E9C-101B-9397-08002B2CF9AE}" pid="70" name="WORDNUMPAGES">
    <vt:lpwstr>7</vt:lpwstr>
  </property>
</Properties>
</file>