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snapToGrid w:val="false"/>
              <w:spacing w:lineRule="auto" w:line="240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8500/22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8655/22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napToGrid w:val="false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12"/>
        <w:gridCol w:w="5142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8500/22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8655/22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אביטבול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3222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8500/22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8655/22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14571-11-20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24.5.2022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31.10.22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19.6.2023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8500/22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8655/22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8500/22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8655/22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מסעד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9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57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מעשה מגונה בקטינה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 סעיף </w:t>
      </w:r>
      <w:r>
        <w:rPr>
          <w:rFonts w:cs="Times New Roman" w:ascii="Times New Roman" w:hAnsi="Times New Roman"/>
          <w:spacing w:val="0"/>
          <w:szCs w:val="26"/>
        </w:rPr>
        <w:t>348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התייחס לעונש המזערי כנדרש לפי סעיף </w:t>
      </w:r>
      <w:r>
        <w:rPr>
          <w:rFonts w:cs="Times New Roman" w:ascii="Times New Roman" w:hAnsi="Times New Roman"/>
          <w:spacing w:val="0"/>
          <w:szCs w:val="26"/>
        </w:rPr>
        <w:t>355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ושגה עת סטה ממנו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לרשום 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נסיבות העניין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קיימים 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שלמרות שלא נרשמו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בכוחם להביא לסטייה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לקולא </w:t>
      </w:r>
      <w:r>
        <w:rPr>
          <w:rFonts w:ascii="Times New Roman" w:hAnsi="Times New Roman" w:cs="Times New Roman"/>
          <w:spacing w:val="0"/>
          <w:szCs w:val="26"/>
          <w:rtl w:val="true"/>
        </w:rPr>
        <w:t>מחובת העונש המזערי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ולפיכך יש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להחמיר את עונשו של המערער ולגזור עליו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שים לב לנסיבות לקולא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ולכלל ש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מדרכה של ערכאת הערעור 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יושתו על המערער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נוסף על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שהושתו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לצד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עונשי מינימום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הרשיע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8500/22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מעשה מגונה בקטינה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עבירה לפי סעיף </w:t>
      </w:r>
      <w:r>
        <w:rPr>
          <w:rFonts w:cs="Times New Roman" w:ascii="Times New Roman" w:hAnsi="Times New Roman"/>
          <w:spacing w:val="0"/>
          <w:szCs w:val="26"/>
        </w:rPr>
        <w:t>348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סעיף </w:t>
      </w:r>
      <w:r>
        <w:rPr>
          <w:rFonts w:cs="Times New Roman" w:ascii="Times New Roman" w:hAnsi="Times New Roman"/>
          <w:spacing w:val="0"/>
          <w:szCs w:val="26"/>
        </w:rPr>
        <w:t>345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וסעיף </w:t>
      </w:r>
      <w:r>
        <w:rPr>
          <w:rFonts w:cs="Times New Roman" w:ascii="Times New Roman" w:hAnsi="Times New Roman"/>
          <w:spacing w:val="0"/>
          <w:szCs w:val="26"/>
        </w:rPr>
        <w:t>345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הושת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 ופיצוי לנפגעת העבירה בסך של </w:t>
      </w:r>
      <w:r>
        <w:rPr>
          <w:rFonts w:cs="Times New Roman" w:ascii="Times New Roman" w:hAnsi="Times New Roman"/>
          <w:spacing w:val="0"/>
          <w:szCs w:val="26"/>
        </w:rPr>
        <w:t>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נסבים </w:t>
      </w:r>
      <w:r>
        <w:rPr>
          <w:rFonts w:ascii="Times New Roman" w:hAnsi="Times New Roman" w:cs="Times New Roman"/>
          <w:spacing w:val="0"/>
          <w:szCs w:val="26"/>
          <w:rtl w:val="true"/>
        </w:rPr>
        <w:t>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סולברג ובהסכמת השופטים אלרון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8500/22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8655/22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355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שכותרתו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מזערי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אדם בעבירה לפי סעיפים </w:t>
      </w:r>
      <w:r>
        <w:rPr>
          <w:rFonts w:cs="Times New Roman" w:ascii="Times New Roman" w:hAnsi="Times New Roman"/>
          <w:spacing w:val="0"/>
          <w:szCs w:val="26"/>
          <w:rtl w:val="true"/>
        </w:rPr>
        <w:t>[...]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348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), 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[...]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יפחת עונשו מרבע העונש המרבי שנקבע לאותה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אם כן החליט בית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מטעמים מיוחדים שיירשמו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מאסר לפי סעיף קטן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כולו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המרבי שנקבע בסעיף </w:t>
      </w:r>
      <w:r>
        <w:rPr>
          <w:rFonts w:cs="Times New Roman" w:ascii="Times New Roman" w:hAnsi="Times New Roman"/>
          <w:spacing w:val="0"/>
          <w:szCs w:val="26"/>
        </w:rPr>
        <w:t>348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שבהפרתו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עומד על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שלפי סעיף </w:t>
      </w:r>
      <w:r>
        <w:rPr>
          <w:rFonts w:cs="Times New Roman" w:ascii="Times New Roman" w:hAnsi="Times New Roman"/>
          <w:spacing w:val="0"/>
          <w:szCs w:val="26"/>
        </w:rPr>
        <w:t>355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המזערי לעבירה זו עומד על </w:t>
      </w:r>
      <w:r>
        <w:rPr>
          <w:rFonts w:cs="Times New Roman" w:ascii="Times New Roman" w:hAnsi="Times New Roman"/>
          <w:spacing w:val="0"/>
          <w:szCs w:val="26"/>
        </w:rPr>
        <w:t>2.5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שגזר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על המערער מהווה חריגה ניכרת לקולא מהעונש המזערי שנקבע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לעבירה שבה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חריגה זו נעשתה מבלי שנרשמו 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ובכך שגה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הגוזר את הדין לציין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במפורש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מהם הטעמים המיוחדים שהובילוהו לסטייה מהעונש המזערי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דרש התקיימות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המובחנים מ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סתם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אלה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ירשמו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לכן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לקבל טענה לפיה טעם שנזכר בגזר הדין הוא טעם 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הימנעות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מהתייחסות לסוגית הטעמים המיוחדים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מלמדת על כי אלה אינם מתקיימים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השאלה היא האם ב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העניין קיימים 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שלמרות שלא נרשמו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בכוחם להביא לסטייה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לקולא </w:t>
      </w:r>
      <w:r>
        <w:rPr>
          <w:rFonts w:ascii="Times New Roman" w:hAnsi="Times New Roman" w:cs="Times New Roman"/>
          <w:spacing w:val="0"/>
          <w:szCs w:val="26"/>
          <w:rtl w:val="true"/>
        </w:rPr>
        <w:t>מחובת העונש המזערי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שיהוי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בהגשת </w:t>
      </w:r>
      <w:r>
        <w:rPr>
          <w:rFonts w:ascii="Times New Roman" w:hAnsi="Times New Roman" w:cs="Times New Roman"/>
          <w:spacing w:val="0"/>
          <w:szCs w:val="26"/>
          <w:rtl w:val="true"/>
        </w:rPr>
        <w:t>כתב האישום יש לתת משקל של ממש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השיהוי אינו בא בגדר אותם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 חריגה מענישת המינימום שהתקין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גיל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ומצבו הבריאותי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מהווים טעמים מיוחדים המצדיקים לסטות לקולא מהעונש המזערי עד כדי ריצוי העונש 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תוצאה זו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נדחתה אף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שלפיה ראוי היה לקבוע מתחם קל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העונש ההולם והעונש המזערי קשורים קשר אמיץ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כבר נפסק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המינימום הוא בבחינת אינדיקציה לחומרה שמיוחסת לעבירה ולמידת הפגיעה בערכים המוגנים מחמת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שתהיה לו השפעה גם על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הטענה כי משך הזמן והשיהוי מהווים הצדקה לקבוע מתחם עונש קל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לסטות מהמתחם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אלו נשקלים תדיר לקולא בתוך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לופוליאנסקי הוכרה האפשרות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חריגים שבחריגים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לסטות לקולא ממתחם העונש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שלא מטעמי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צוין </w:t>
      </w:r>
      <w:r>
        <w:rPr>
          <w:rFonts w:ascii="Times New Roman" w:hAnsi="Times New Roman" w:cs="Times New Roman"/>
          <w:spacing w:val="0"/>
          <w:szCs w:val="26"/>
          <w:rtl w:val="true"/>
        </w:rPr>
        <w:t>שמדובר בפתח צר ל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חריגה ממתחם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>יו 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 קרובות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ולוּ במעט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להיכנס בפתח הצר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נפתח בעניין לופוליאנסקי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קיימת סיבה לסטות מהעונש המזערי וממתחם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השיהוי הכבד ראוי להילקח בחשבון כשיקול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הטעמים הנוספים שנשקלו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גילו המתקדם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 הבריאותי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העדר הרשעות קודמות וחלוף הזמן ממועד ביצוע העבירה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מצדיקים הימנעות ממיצוי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לקולא בחירת המערער לחזור בו מערעורו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המהווה הודאה בפגיעה שפגע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ולקיחת אחריות על מעשה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מצוות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ובהעדר טעמים מיוחדים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ראוי להחמיר את עונשו של המערער ולגזור עליו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לנסיבות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השיהוי שנפל ונטילת האחריות על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ונוכח הכלל לפיו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מדרכה של ערכאת הערעור 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גזור על המערער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נוספים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שרכיב ענישה זה יועמד על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זאת לצד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שנגזרו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Writer_Name"/>
      <w:bookmarkStart w:id="14" w:name="Writer_Name"/>
      <w:bookmarkEnd w:id="14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4"/>
        </w:numPr>
        <w:ind w:hanging="0" w:start="0" w:end="0"/>
        <w:jc w:val="both"/>
        <w:textAlignment w:val="auto"/>
        <w:rPr/>
      </w:pPr>
      <w:r>
        <w:rPr>
          <w:rtl w:val="true"/>
        </w:rPr>
        <w:t>ערעור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מזה ומזה</w:t>
      </w:r>
      <w:r>
        <w:rPr>
          <w:rtl w:val="true"/>
        </w:rPr>
        <w:t xml:space="preserve">, </w:t>
      </w:r>
      <w:r>
        <w:rPr>
          <w:rtl w:val="true"/>
        </w:rPr>
        <w:t xml:space="preserve">על פסק הדין </w:t>
      </w:r>
      <w:r>
        <w:rPr>
          <w:rtl w:val="true"/>
        </w:rPr>
        <w:t xml:space="preserve">של בית המשפט המחוזי </w:t>
      </w:r>
      <w:r>
        <w:rPr>
          <w:rtl w:val="true"/>
        </w:rPr>
        <w:t>בירושלים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</w:t>
      </w:r>
      <w:r>
        <w:rPr>
          <w:rtl w:val="true"/>
        </w:rPr>
        <w:t>י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/>
        <w:t>24.5.2022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31</w:t>
      </w:r>
      <w:r>
        <w:rPr/>
        <w:t>.</w:t>
      </w:r>
      <w:r>
        <w:rPr/>
        <w:t>10</w:t>
      </w:r>
      <w:r>
        <w:rPr/>
        <w:t>.2022</w:t>
      </w:r>
      <w:r>
        <w:rPr>
          <w:rtl w:val="true"/>
        </w:rPr>
        <w:t xml:space="preserve">, </w:t>
      </w:r>
      <w:r>
        <w:rPr>
          <w:rtl w:val="true"/>
        </w:rPr>
        <w:t>בתפ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/>
        <w:t>14571-11-20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סג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tl w:val="true"/>
        </w:rPr>
        <w:t xml:space="preserve">). </w:t>
      </w:r>
      <w:r>
        <w:rPr>
          <w:rtl w:val="true"/>
        </w:rPr>
        <w:t>ערעור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8500/22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8655/22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מכוון כלפי הכרעת הדין וגזר הדין</w:t>
      </w:r>
      <w:r>
        <w:rPr>
          <w:rtl w:val="true"/>
        </w:rPr>
        <w:t xml:space="preserve">; </w:t>
      </w:r>
      <w:r>
        <w:rPr>
          <w:rtl w:val="true"/>
        </w:rPr>
        <w:t>ערעור המדינה</w:t>
      </w:r>
      <w:r>
        <w:rPr>
          <w:rtl w:val="true"/>
        </w:rPr>
        <w:t xml:space="preserve">, </w:t>
      </w:r>
      <w:r>
        <w:rPr>
          <w:rtl w:val="true"/>
        </w:rPr>
        <w:t>המערערת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8655/22</w:t>
      </w:r>
      <w:r>
        <w:rPr>
          <w:rtl w:val="true"/>
        </w:rPr>
        <w:t xml:space="preserve"> </w:t>
      </w:r>
      <w:r>
        <w:rPr>
          <w:rtl w:val="true"/>
        </w:rPr>
        <w:t>והמשיבה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8500/22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מכוון כלפי גזר הדין בלבד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24.5.2022</w:t>
      </w:r>
      <w:r>
        <w:rPr>
          <w:rtl w:val="true"/>
        </w:rPr>
        <w:t xml:space="preserve">, </w:t>
      </w:r>
      <w:r>
        <w:rPr>
          <w:rtl w:val="true"/>
        </w:rPr>
        <w:t xml:space="preserve">הרשיע בית המשפט המחוזי את המערער בביצוע מעשה מגונה בקטינה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העובדות בתמצית</w:t>
      </w:r>
      <w:r>
        <w:rPr>
          <w:rtl w:val="true"/>
        </w:rPr>
        <w:t xml:space="preserve">, </w:t>
      </w:r>
      <w:r>
        <w:rPr>
          <w:rtl w:val="true"/>
        </w:rPr>
        <w:t>כפי שנקבעו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הן אלה</w:t>
      </w:r>
      <w:r>
        <w:rPr>
          <w:rtl w:val="true"/>
        </w:rPr>
        <w:t xml:space="preserve">: </w:t>
      </w:r>
      <w:r>
        <w:rPr>
          <w:rtl w:val="true"/>
        </w:rPr>
        <w:t>המערער נהג לחלק בימי ששי עלוני שבת</w:t>
      </w:r>
      <w:r>
        <w:rPr>
          <w:rtl w:val="true"/>
        </w:rPr>
        <w:t xml:space="preserve">, </w:t>
      </w:r>
      <w:r>
        <w:rPr>
          <w:rtl w:val="true"/>
        </w:rPr>
        <w:t>ובמסגרת זו</w:t>
      </w:r>
      <w:r>
        <w:rPr>
          <w:rtl w:val="true"/>
        </w:rPr>
        <w:t xml:space="preserve">, </w:t>
      </w:r>
      <w:r>
        <w:rPr>
          <w:rtl w:val="true"/>
        </w:rPr>
        <w:t>על מנת לקחת עלונים</w:t>
      </w:r>
      <w:r>
        <w:rPr>
          <w:rtl w:val="true"/>
        </w:rPr>
        <w:t xml:space="preserve">, </w:t>
      </w:r>
      <w:r>
        <w:rPr>
          <w:rtl w:val="true"/>
        </w:rPr>
        <w:t>הגיעה לביתו נפגעת העבירה</w:t>
      </w:r>
      <w:r>
        <w:rPr>
          <w:rtl w:val="true"/>
        </w:rPr>
        <w:t xml:space="preserve">, </w:t>
      </w:r>
      <w:r>
        <w:rPr>
          <w:rtl w:val="true"/>
        </w:rPr>
        <w:t>שכנתו</w:t>
      </w:r>
      <w:r>
        <w:rPr>
          <w:rtl w:val="true"/>
        </w:rPr>
        <w:t xml:space="preserve">, </w:t>
      </w:r>
      <w:r>
        <w:rPr>
          <w:rtl w:val="true"/>
        </w:rPr>
        <w:t>קטינה בת 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וחצי שנים במועד ביצוע המעשים</w:t>
      </w:r>
      <w:r>
        <w:rPr>
          <w:rtl w:val="true"/>
        </w:rPr>
        <w:t xml:space="preserve">. </w:t>
      </w:r>
      <w:r>
        <w:rPr>
          <w:rtl w:val="true"/>
        </w:rPr>
        <w:t>באחד מהמפגשים פנה אליה המערער ושאל אותה מדוע היא מגיעה לאסוף את עלוני השבת עם חברותיה</w:t>
      </w:r>
      <w:r>
        <w:rPr>
          <w:rtl w:val="true"/>
        </w:rPr>
        <w:t xml:space="preserve">, </w:t>
      </w:r>
      <w:r>
        <w:rPr>
          <w:rtl w:val="true"/>
        </w:rPr>
        <w:t>ונגע בכף ידה</w:t>
      </w:r>
      <w:r>
        <w:rPr>
          <w:rtl w:val="true"/>
        </w:rPr>
        <w:t xml:space="preserve">. </w:t>
      </w:r>
      <w:r>
        <w:rPr>
          <w:rtl w:val="true"/>
        </w:rPr>
        <w:t>במועד אחר</w:t>
      </w:r>
      <w:r>
        <w:rPr>
          <w:rtl w:val="true"/>
        </w:rPr>
        <w:t xml:space="preserve">, </w:t>
      </w:r>
      <w:r>
        <w:rPr>
          <w:rtl w:val="true"/>
        </w:rPr>
        <w:t>שבה והגיעה נפגעת העבירה לביתו של המערער</w:t>
      </w:r>
      <w:r>
        <w:rPr>
          <w:rtl w:val="true"/>
        </w:rPr>
        <w:t xml:space="preserve">, </w:t>
      </w:r>
      <w:r>
        <w:rPr>
          <w:rtl w:val="true"/>
        </w:rPr>
        <w:t>גם כן על מנת לאסוף את עלוני השבת</w:t>
      </w:r>
      <w:r>
        <w:rPr>
          <w:rtl w:val="true"/>
        </w:rPr>
        <w:t xml:space="preserve">; </w:t>
      </w:r>
      <w:r>
        <w:rPr>
          <w:rtl w:val="true"/>
        </w:rPr>
        <w:t>הפעם הזו</w:t>
      </w:r>
      <w:r>
        <w:rPr>
          <w:rtl w:val="true"/>
        </w:rPr>
        <w:t xml:space="preserve">, </w:t>
      </w:r>
      <w:r>
        <w:rPr>
          <w:rtl w:val="true"/>
        </w:rPr>
        <w:t>החזיק המערער בידהּ</w:t>
      </w:r>
      <w:r>
        <w:rPr>
          <w:rtl w:val="true"/>
        </w:rPr>
        <w:t xml:space="preserve">, </w:t>
      </w:r>
      <w:r>
        <w:rPr>
          <w:rtl w:val="true"/>
        </w:rPr>
        <w:t>הכניסהּ לביתו</w:t>
      </w:r>
      <w:r>
        <w:rPr>
          <w:rtl w:val="true"/>
        </w:rPr>
        <w:t xml:space="preserve">, </w:t>
      </w:r>
      <w:r>
        <w:rPr>
          <w:rtl w:val="true"/>
        </w:rPr>
        <w:t>ונעל את בריח הדלת העליון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החל לגעת בה המערער </w:t>
      </w:r>
      <w:r>
        <w:rPr>
          <w:rtl w:val="true"/>
        </w:rPr>
        <w:t>–</w:t>
      </w:r>
      <w:r>
        <w:rPr>
          <w:rtl w:val="true"/>
        </w:rPr>
        <w:t xml:space="preserve"> תחילה בחזהּ</w:t>
      </w:r>
      <w:r>
        <w:rPr>
          <w:rtl w:val="true"/>
        </w:rPr>
        <w:t xml:space="preserve">, </w:t>
      </w:r>
      <w:r>
        <w:rPr>
          <w:rtl w:val="true"/>
        </w:rPr>
        <w:t>לאחר מכן עמד מאחוריה והחל לגעת באיבר מינה</w:t>
      </w:r>
      <w:r>
        <w:rPr>
          <w:rtl w:val="true"/>
        </w:rPr>
        <w:t xml:space="preserve">, </w:t>
      </w:r>
      <w:r>
        <w:rPr>
          <w:rtl w:val="true"/>
        </w:rPr>
        <w:t>מעל לבגדיה</w:t>
      </w:r>
      <w:r>
        <w:rPr>
          <w:rtl w:val="true"/>
        </w:rPr>
        <w:t xml:space="preserve">, </w:t>
      </w:r>
      <w:r>
        <w:rPr>
          <w:rtl w:val="true"/>
        </w:rPr>
        <w:t>ובהמשך אף הכניס את ידו מתחת לתחתוניה והחל למשש את איבר מינה</w:t>
      </w:r>
      <w:r>
        <w:rPr>
          <w:rtl w:val="true"/>
        </w:rPr>
        <w:t xml:space="preserve">, </w:t>
      </w:r>
      <w:r>
        <w:rPr>
          <w:rtl w:val="true"/>
        </w:rPr>
        <w:t>כשבמקביל הוא נוגע באיבר מינו</w:t>
      </w:r>
      <w:r>
        <w:rPr>
          <w:rtl w:val="true"/>
        </w:rPr>
        <w:t xml:space="preserve">. </w:t>
      </w:r>
      <w:r>
        <w:rPr>
          <w:rtl w:val="true"/>
        </w:rPr>
        <w:t>במהלך ביצוע המעשים</w:t>
      </w:r>
      <w:r>
        <w:rPr>
          <w:rtl w:val="true"/>
        </w:rPr>
        <w:t xml:space="preserve">, </w:t>
      </w:r>
      <w:r>
        <w:rPr>
          <w:rtl w:val="true"/>
        </w:rPr>
        <w:t>ביקשה נפגעת העבירה מן המערער שלא יגע בה</w:t>
      </w:r>
      <w:r>
        <w:rPr>
          <w:rtl w:val="true"/>
        </w:rPr>
        <w:t xml:space="preserve">, </w:t>
      </w:r>
      <w:r>
        <w:rPr>
          <w:rtl w:val="true"/>
        </w:rPr>
        <w:t>אך הלה לא חדל ממעשיו</w:t>
      </w:r>
      <w:r>
        <w:rPr>
          <w:rtl w:val="true"/>
        </w:rPr>
        <w:t xml:space="preserve">, </w:t>
      </w:r>
      <w:r>
        <w:rPr>
          <w:rtl w:val="true"/>
        </w:rPr>
        <w:t>עד אשר צלצל הטלפון</w:t>
      </w:r>
      <w:r>
        <w:rPr>
          <w:rtl w:val="true"/>
        </w:rPr>
        <w:t xml:space="preserve">; </w:t>
      </w:r>
      <w:r>
        <w:rPr>
          <w:rtl w:val="true"/>
        </w:rPr>
        <w:t>בעקבות כך</w:t>
      </w:r>
      <w:r>
        <w:rPr>
          <w:rtl w:val="true"/>
        </w:rPr>
        <w:t xml:space="preserve">, </w:t>
      </w:r>
      <w:r>
        <w:rPr>
          <w:rtl w:val="true"/>
        </w:rPr>
        <w:t>שחרר המערער את נפגעת העבירה</w:t>
      </w:r>
      <w:r>
        <w:rPr>
          <w:rtl w:val="true"/>
        </w:rPr>
        <w:t xml:space="preserve">, </w:t>
      </w:r>
      <w:r>
        <w:rPr>
          <w:rtl w:val="true"/>
        </w:rPr>
        <w:t>וזו מיהרה לנוס מן המקום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31.10.2022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</w:t>
      </w:r>
      <w:r>
        <w:rPr>
          <w:rtl w:val="true"/>
        </w:rPr>
        <w:t>ו 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>
          <w:rtl w:val="true"/>
        </w:rPr>
        <w:t xml:space="preserve">יסוד </w:t>
      </w:r>
      <w:r>
        <w:rPr>
          <w:rtl w:val="true"/>
        </w:rPr>
        <w:t>טיעוני הצדדים</w:t>
      </w:r>
      <w:r>
        <w:rPr>
          <w:rtl w:val="true"/>
        </w:rPr>
        <w:t xml:space="preserve">, </w:t>
      </w:r>
      <w:r>
        <w:rPr>
          <w:rtl w:val="true"/>
        </w:rPr>
        <w:t>כפי שנסקרו בגזר הדין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ֵּ</w:t>
      </w:r>
      <w:r>
        <w:rPr>
          <w:rtl w:val="true"/>
        </w:rPr>
        <w:t>ר</w:t>
      </w:r>
      <w:r>
        <w:rPr>
          <w:rtl w:val="true"/>
        </w:rPr>
        <w:t>ַ</w:t>
      </w:r>
      <w:r>
        <w:rPr>
          <w:rtl w:val="true"/>
        </w:rPr>
        <w:t xml:space="preserve">ט בית המשפט המחוזי את </w:t>
      </w:r>
      <w:r>
        <w:rPr>
          <w:rtl w:val="true"/>
        </w:rPr>
        <w:t>שיקולי הענישה השונים</w:t>
      </w:r>
      <w:r>
        <w:rPr>
          <w:rtl w:val="true"/>
        </w:rPr>
        <w:t xml:space="preserve">, </w:t>
      </w:r>
      <w:r>
        <w:rPr>
          <w:rtl w:val="true"/>
        </w:rPr>
        <w:t>לכאן ולכאן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</w:t>
      </w:r>
      <w:r>
        <w:rPr>
          <w:rtl w:val="true"/>
        </w:rPr>
        <w:t xml:space="preserve"> הערכים המוגנים בהם פגע המערער</w:t>
      </w:r>
      <w:r>
        <w:rPr>
          <w:rtl w:val="true"/>
        </w:rPr>
        <w:t xml:space="preserve">, </w:t>
      </w:r>
      <w:r>
        <w:rPr>
          <w:rtl w:val="true"/>
        </w:rPr>
        <w:t>והוסיף והדגיש</w:t>
      </w:r>
      <w:r>
        <w:rPr>
          <w:rtl w:val="true"/>
        </w:rPr>
        <w:t xml:space="preserve">, </w:t>
      </w:r>
      <w:r>
        <w:rPr>
          <w:rtl w:val="true"/>
        </w:rPr>
        <w:t>כי הפגיעה בערכים המוגנים במקרה זה מצויה ברף הגבוה</w:t>
      </w:r>
      <w:r>
        <w:rPr>
          <w:rtl w:val="true"/>
        </w:rPr>
        <w:t xml:space="preserve">, </w:t>
      </w:r>
      <w:r>
        <w:rPr>
          <w:rtl w:val="true"/>
        </w:rPr>
        <w:t>בהיות נפגעת העבירה קטינה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אחר זאת</w:t>
      </w:r>
      <w:r>
        <w:rPr>
          <w:rtl w:val="true"/>
        </w:rPr>
        <w:t xml:space="preserve">, </w:t>
      </w:r>
      <w:r>
        <w:rPr>
          <w:rtl w:val="true"/>
        </w:rPr>
        <w:t>נבחנו 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ובהקשר זה צוין ניצול האמון שנתנה נפגעת העבירה</w:t>
      </w:r>
      <w:r>
        <w:rPr>
          <w:rtl w:val="true"/>
        </w:rPr>
        <w:t xml:space="preserve">, </w:t>
      </w:r>
      <w:r>
        <w:rPr>
          <w:rtl w:val="true"/>
        </w:rPr>
        <w:t>ונתנו הוריה</w:t>
      </w:r>
      <w:r>
        <w:rPr>
          <w:rtl w:val="true"/>
        </w:rPr>
        <w:t xml:space="preserve">, </w:t>
      </w:r>
      <w:r>
        <w:rPr>
          <w:rtl w:val="true"/>
        </w:rPr>
        <w:t>במערער</w:t>
      </w:r>
      <w:r>
        <w:rPr>
          <w:rtl w:val="true"/>
        </w:rPr>
        <w:t xml:space="preserve">; </w:t>
      </w:r>
      <w:r>
        <w:rPr>
          <w:rtl w:val="true"/>
        </w:rPr>
        <w:t>צוינו פערי הכוחות</w:t>
      </w:r>
      <w:r>
        <w:rPr>
          <w:rtl w:val="true"/>
        </w:rPr>
        <w:t xml:space="preserve">; </w:t>
      </w:r>
      <w:r>
        <w:rPr>
          <w:rtl w:val="true"/>
        </w:rPr>
        <w:t>צוינו הפרשי הגילאים</w:t>
      </w:r>
      <w:r>
        <w:rPr>
          <w:rtl w:val="true"/>
        </w:rPr>
        <w:t xml:space="preserve">; </w:t>
      </w:r>
      <w:r>
        <w:rPr>
          <w:rtl w:val="true"/>
        </w:rPr>
        <w:t>וצוינה העובדה שהמערער לא שעה לבקשת הנפגעת לחדול ממעשיו</w:t>
      </w:r>
      <w:r>
        <w:rPr>
          <w:rtl w:val="true"/>
        </w:rPr>
        <w:t xml:space="preserve">, </w:t>
      </w:r>
      <w:r>
        <w:rPr>
          <w:rtl w:val="true"/>
        </w:rPr>
        <w:t>ועצר רק בשל צלצול הטלפון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נזקפה לחובת המערער הפגיעה החמורה שנגרמה לנפגעת העבירה</w:t>
      </w:r>
      <w:r>
        <w:rPr>
          <w:rtl w:val="true"/>
        </w:rPr>
        <w:t xml:space="preserve">, </w:t>
      </w:r>
      <w:r>
        <w:rPr>
          <w:rtl w:val="true"/>
        </w:rPr>
        <w:t>כפי שזו משתקפת מתסקיר שנערך בעניינה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הוכרע כי מתחם העונש ההולם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בבואו לגזור את העונש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בתוך המתחם שנקבע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שקל בית המשפט המחוזי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שיקולים</w:t>
      </w:r>
      <w:r>
        <w:rPr>
          <w:rtl w:val="true"/>
        </w:rPr>
        <w:t xml:space="preserve"> לקולא</w:t>
      </w:r>
      <w:r>
        <w:rPr>
          <w:rtl w:val="true"/>
        </w:rPr>
        <w:t xml:space="preserve">: </w:t>
      </w:r>
      <w:r>
        <w:rPr>
          <w:rtl w:val="true"/>
        </w:rPr>
        <w:t>גילו המתקדם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1957</w:t>
      </w:r>
      <w:r>
        <w:rPr>
          <w:rtl w:val="true"/>
        </w:rPr>
        <w:t xml:space="preserve">; </w:t>
      </w:r>
      <w:r>
        <w:rPr>
          <w:rtl w:val="true"/>
        </w:rPr>
        <w:t>מצבו הבריאותי</w:t>
      </w:r>
      <w:r>
        <w:rPr>
          <w:rtl w:val="true"/>
        </w:rPr>
        <w:t xml:space="preserve">; </w:t>
      </w:r>
      <w:r>
        <w:rPr>
          <w:rtl w:val="true"/>
        </w:rPr>
        <w:t>היעדר הרשעות קודמות</w:t>
      </w:r>
      <w:r>
        <w:rPr>
          <w:rtl w:val="true"/>
        </w:rPr>
        <w:t xml:space="preserve">; </w:t>
      </w:r>
      <w:r>
        <w:rPr>
          <w:rtl w:val="true"/>
        </w:rPr>
        <w:t>חלוף הזמן ממועד ביצוע העבירה</w:t>
      </w:r>
      <w:r>
        <w:rPr>
          <w:rtl w:val="true"/>
        </w:rPr>
        <w:t xml:space="preserve">, </w:t>
      </w:r>
      <w:r>
        <w:rPr>
          <w:rtl w:val="true"/>
        </w:rPr>
        <w:t>שבמהלכו לא נפתחו נגדו תיקים נוספים</w:t>
      </w:r>
      <w:r>
        <w:rPr>
          <w:rtl w:val="true"/>
        </w:rPr>
        <w:t xml:space="preserve">. </w:t>
      </w:r>
      <w:r>
        <w:rPr>
          <w:rtl w:val="true"/>
        </w:rPr>
        <w:t>עוד נשקל לקולא השיהוי שנפל בהגשת כתב האישום</w:t>
      </w:r>
      <w:r>
        <w:rPr>
          <w:rtl w:val="true"/>
        </w:rPr>
        <w:t xml:space="preserve">, </w:t>
      </w:r>
      <w:r>
        <w:rPr>
          <w:rtl w:val="true"/>
        </w:rPr>
        <w:t>שכן זה הוגש רק בחלוף 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וחצי ממועד האירועים</w:t>
      </w:r>
      <w:r>
        <w:rPr>
          <w:rtl w:val="true"/>
        </w:rPr>
        <w:t xml:space="preserve">, </w:t>
      </w:r>
      <w:r>
        <w:rPr>
          <w:rtl w:val="true"/>
        </w:rPr>
        <w:t>ולמעלה משנתיים וחצי ממועד תלונתה של נפגעת העבירה</w:t>
      </w:r>
      <w:r>
        <w:rPr>
          <w:rtl w:val="true"/>
        </w:rPr>
        <w:t xml:space="preserve">. </w:t>
      </w:r>
      <w:r>
        <w:rPr>
          <w:rtl w:val="true"/>
        </w:rPr>
        <w:t>ביחס לכך הבהיר בית המשפט המחוזי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לשיהוי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מהחשיפה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הצדקה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על יסוד כל אלה</w:t>
      </w:r>
      <w:r>
        <w:rPr>
          <w:rtl w:val="true"/>
        </w:rPr>
        <w:t xml:space="preserve">, </w:t>
      </w:r>
      <w:r>
        <w:rPr>
          <w:rtl w:val="true"/>
        </w:rPr>
        <w:t>נקבע כי העונש שיש להשית על המערער מצוי בקרבה לרף התחתון של מתחם העונש ההולם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הוטל על המערער עונש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לבל יעבור עבירה בה הורשע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, </w:t>
      </w:r>
      <w:r>
        <w:rPr>
          <w:rtl w:val="true"/>
        </w:rPr>
        <w:t xml:space="preserve">וכן פיצוי לנפגעת העבירה בסך של </w:t>
      </w:r>
      <w:r>
        <w:rPr/>
        <w:t>50,000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המערער</w:t>
      </w:r>
      <w:r>
        <w:rPr>
          <w:shd w:fill="FFFFFF" w:val="clear"/>
          <w:rtl w:val="true"/>
        </w:rPr>
        <w:t xml:space="preserve"> הגיש ערעור </w:t>
      </w:r>
      <w:r>
        <w:rPr>
          <w:shd w:fill="FFFFFF" w:val="clear"/>
          <w:rtl w:val="true"/>
        </w:rPr>
        <w:t xml:space="preserve">הן </w:t>
      </w:r>
      <w:r>
        <w:rPr>
          <w:shd w:fill="FFFFFF" w:val="clear"/>
          <w:rtl w:val="true"/>
        </w:rPr>
        <w:t>על הכרעת הדין</w:t>
      </w:r>
      <w:r>
        <w:rPr>
          <w:shd w:fill="FFFFFF" w:val="clear"/>
          <w:rtl w:val="true"/>
        </w:rPr>
        <w:t xml:space="preserve"> הן </w:t>
      </w:r>
      <w:r>
        <w:rPr>
          <w:shd w:fill="FFFFFF" w:val="clear"/>
          <w:rtl w:val="true"/>
        </w:rPr>
        <w:t>על גזר הדין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אך בדיון </w:t>
      </w:r>
      <w:r>
        <w:rPr>
          <w:shd w:fill="FFFFFF" w:val="clear"/>
          <w:rtl w:val="true"/>
        </w:rPr>
        <w:t>על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פה שקיימנו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ביום </w:t>
      </w:r>
      <w:r>
        <w:rPr>
          <w:shd w:fill="FFFFFF" w:val="clear"/>
        </w:rPr>
        <w:t>19.6.2023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חזר בו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בעקבות הערותינו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מערעורו</w:t>
      </w:r>
      <w:r>
        <w:rPr>
          <w:shd w:fill="FFFFFF" w:val="clear"/>
          <w:rtl w:val="true"/>
        </w:rPr>
        <w:t xml:space="preserve"> על הכרעת הדין</w:t>
      </w:r>
      <w:r>
        <w:rPr>
          <w:shd w:fill="FFFFFF" w:val="clear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משחזר בו המערער מערעורו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נותרים לפנינו ערעורים הדדיים על גזר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המערער מנסה כוחו ב</w:t>
      </w:r>
      <w:r>
        <w:rPr>
          <w:shd w:fill="FFFFFF" w:val="clear"/>
          <w:rtl w:val="true"/>
        </w:rPr>
        <w:t>-</w:t>
      </w:r>
      <w:r>
        <w:rPr>
          <w:shd w:fill="FFFFFF" w:val="clear"/>
        </w:rPr>
        <w:t>3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טענות ביחס לגזר הדין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העיקרית</w:t>
      </w:r>
      <w:r>
        <w:rPr>
          <w:shd w:fill="FFFFFF" w:val="clear"/>
          <w:rtl w:val="true"/>
        </w:rPr>
        <w:t xml:space="preserve"> היא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כי השיהוי הנזכר שנפל בהגשת כתב האישום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</w:t>
      </w:r>
      <w:r>
        <w:rPr>
          <w:rtl w:val="true"/>
        </w:rPr>
        <w:t>מצדיק שנקל עמו</w:t>
      </w:r>
      <w:r>
        <w:rPr>
          <w:rtl w:val="true"/>
        </w:rPr>
        <w:t xml:space="preserve">. </w:t>
      </w:r>
      <w:r>
        <w:rPr>
          <w:rtl w:val="true"/>
        </w:rPr>
        <w:t>לצד טענת השיהוי</w:t>
      </w:r>
      <w:r>
        <w:rPr>
          <w:rtl w:val="true"/>
        </w:rPr>
        <w:t xml:space="preserve">, </w:t>
      </w:r>
      <w:r>
        <w:rPr>
          <w:rtl w:val="true"/>
        </w:rPr>
        <w:t>מבקש המערער כי נקל עמו גם נוכח חלוף הזמן מביצוע העבירה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יש להתייחס לשיקול זה במובחן מסוגיית השיהוי</w:t>
      </w:r>
      <w:r>
        <w:rPr>
          <w:rtl w:val="true"/>
        </w:rPr>
        <w:t xml:space="preserve">, </w:t>
      </w:r>
      <w:r>
        <w:rPr>
          <w:rtl w:val="true"/>
        </w:rPr>
        <w:t>שהרי אף במקרים בהם לא נפל שיהוי כלל</w:t>
      </w:r>
      <w:r>
        <w:rPr>
          <w:rtl w:val="true"/>
        </w:rPr>
        <w:t xml:space="preserve">, </w:t>
      </w:r>
      <w:r>
        <w:rPr>
          <w:rtl w:val="true"/>
        </w:rPr>
        <w:t>חלוף הזמן הוא שיקול לקולא</w:t>
      </w:r>
      <w:r>
        <w:rPr>
          <w:rtl w:val="true"/>
        </w:rPr>
        <w:t xml:space="preserve">.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כל שיקול מצדיק הקלה בנפרד</w:t>
      </w:r>
      <w:r>
        <w:rPr>
          <w:rtl w:val="true"/>
        </w:rPr>
        <w:t xml:space="preserve">, </w:t>
      </w:r>
      <w:r>
        <w:rPr>
          <w:rtl w:val="true"/>
        </w:rPr>
        <w:t>אך מהצטברותם של שני השיקולים בצוותא</w:t>
      </w:r>
      <w:r>
        <w:rPr>
          <w:rtl w:val="true"/>
        </w:rPr>
        <w:t xml:space="preserve">, </w:t>
      </w:r>
      <w:r>
        <w:rPr>
          <w:rtl w:val="true"/>
        </w:rPr>
        <w:t>כך המערער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משיקולי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לחיזוק דבריו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מפנה המערער ל</w:t>
      </w:r>
      <w:hyperlink r:id="rId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5669/14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8.2.2016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וליאנסקי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נוספת נוגעת למתחם העונש ההולם שנקבע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לגישת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נכון היה לקבוע רף תחתון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לריצוי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בעניין זה הפנה המערער ל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פסקי דין </w:t>
      </w:r>
      <w:r>
        <w:rPr>
          <w:rtl w:val="true"/>
        </w:rPr>
        <w:t>–</w:t>
      </w:r>
      <w:r>
        <w:rPr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10068/16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</w:t>
      </w:r>
      <w:r>
        <w:rPr/>
        <w:t>.</w:t>
      </w:r>
      <w:r>
        <w:rPr/>
        <w:t>1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1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10068/16</w:t>
        </w:r>
      </w:hyperlink>
      <w:r>
        <w:rPr>
          <w:rtl w:val="true"/>
        </w:rPr>
        <w:t xml:space="preserve">), </w:t>
      </w:r>
      <w:r>
        <w:rPr>
          <w:rtl w:val="true"/>
        </w:rPr>
        <w:t>ו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1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3021/17</w:t>
        </w:r>
      </w:hyperlink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המקרים נעברו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מין בתוך המשפחה</w:t>
      </w:r>
      <w:r>
        <w:rPr>
          <w:rtl w:val="true"/>
        </w:rPr>
        <w:t xml:space="preserve">, </w:t>
      </w:r>
      <w:r>
        <w:rPr>
          <w:rtl w:val="true"/>
        </w:rPr>
        <w:t xml:space="preserve">ותחתית המתחם היתה שנת מאסר </w:t>
      </w:r>
      <w:r>
        <w:rPr>
          <w:rtl w:val="true"/>
        </w:rPr>
        <w:t>(</w:t>
      </w:r>
      <w:r>
        <w:rPr>
          <w:rtl w:val="true"/>
        </w:rPr>
        <w:t xml:space="preserve">בית משפט זה דחה ערעורים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tl w:val="true"/>
        </w:rPr>
        <w:t xml:space="preserve"> העונש</w:t>
      </w:r>
      <w:r>
        <w:rPr>
          <w:rtl w:val="true"/>
        </w:rPr>
        <w:t xml:space="preserve">). </w:t>
      </w:r>
      <w:r>
        <w:rPr>
          <w:rtl w:val="true"/>
        </w:rPr>
        <w:t xml:space="preserve">המערער סבור כי משום שבעניין דנן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בודד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ראוי לקבוע כי תחתית המתחם נמוכה אף יותר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בנפגעת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נפלו</w:t>
      </w:r>
      <w:r>
        <w:rPr>
          <w:rtl w:val="true"/>
        </w:rPr>
        <w:t xml:space="preserve"> </w:t>
      </w:r>
      <w:r>
        <w:rPr>
          <w:rtl w:val="true"/>
        </w:rPr>
        <w:t>טעויות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–</w:t>
      </w:r>
      <w:r>
        <w:rPr>
          <w:rtl w:val="true"/>
        </w:rPr>
        <w:t xml:space="preserve"> הן 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הן בהתייחסות לעונש המזערי הקבוע לעבירה</w:t>
      </w:r>
      <w:r>
        <w:rPr>
          <w:rtl w:val="true"/>
        </w:rPr>
        <w:t xml:space="preserve">. </w:t>
      </w:r>
      <w:r>
        <w:rPr>
          <w:rtl w:val="true"/>
        </w:rPr>
        <w:t>בערעורה</w:t>
      </w:r>
      <w:r>
        <w:rPr>
          <w:rtl w:val="true"/>
        </w:rPr>
        <w:t xml:space="preserve">, </w:t>
      </w:r>
      <w:r>
        <w:rPr>
          <w:rtl w:val="true"/>
        </w:rPr>
        <w:t>הפנתה המדינה לפסקי דין שניתנו בבית משפט זה</w:t>
      </w:r>
      <w:r>
        <w:rPr>
          <w:rtl w:val="true"/>
        </w:rPr>
        <w:t xml:space="preserve">, </w:t>
      </w:r>
      <w:r>
        <w:rPr>
          <w:rtl w:val="true"/>
        </w:rPr>
        <w:t>בהתייחס לעבירות דומות לדנן</w:t>
      </w:r>
      <w:r>
        <w:rPr>
          <w:rtl w:val="true"/>
        </w:rPr>
        <w:t xml:space="preserve">, </w:t>
      </w:r>
      <w:r>
        <w:rPr>
          <w:rtl w:val="true"/>
        </w:rPr>
        <w:t xml:space="preserve">שבהם נגזרו עונשים חמורים יותר מהעונש שנגזר על המערער </w:t>
      </w:r>
      <w:r>
        <w:rPr>
          <w:rtl w:val="true"/>
        </w:rPr>
        <w:t>–</w:t>
      </w:r>
      <w:r>
        <w:rPr>
          <w:rtl w:val="true"/>
        </w:rPr>
        <w:t xml:space="preserve"> ביניהם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3906/21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21.12.2021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3783/22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7.12.2022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הוסיפה המדינה לטעון</w:t>
      </w:r>
      <w:r>
        <w:rPr>
          <w:rtl w:val="true"/>
        </w:rPr>
        <w:t xml:space="preserve">, </w:t>
      </w:r>
      <w:r>
        <w:rPr>
          <w:rtl w:val="true"/>
        </w:rPr>
        <w:t xml:space="preserve">כי בהתאם </w:t>
      </w:r>
      <w:hyperlink r:id="rId2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 עונש מזערי לשורה של עבירות מין</w:t>
      </w:r>
      <w:r>
        <w:rPr>
          <w:rtl w:val="true"/>
        </w:rPr>
        <w:t xml:space="preserve">, </w:t>
      </w:r>
      <w:r>
        <w:rPr>
          <w:rtl w:val="true"/>
        </w:rPr>
        <w:t>בכללן העבירה שבביצועה הורשע המערער</w:t>
      </w:r>
      <w:r>
        <w:rPr>
          <w:rtl w:val="true"/>
        </w:rPr>
        <w:t xml:space="preserve">, </w:t>
      </w:r>
      <w:r>
        <w:rPr>
          <w:rtl w:val="true"/>
        </w:rPr>
        <w:t>היה על בית המשפט לגזור עליו עונש שלא יפחת 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אלא אם ראה לחרוג מכך</w:t>
      </w:r>
      <w:r>
        <w:rPr>
          <w:rtl w:val="true"/>
        </w:rPr>
        <w:t xml:space="preserve">, </w:t>
      </w:r>
      <w:r>
        <w:rPr>
          <w:rtl w:val="true"/>
        </w:rPr>
        <w:t>מטעמים מיוחדים שירשמו</w:t>
      </w:r>
      <w:r>
        <w:rPr>
          <w:rtl w:val="true"/>
        </w:rPr>
        <w:t xml:space="preserve">; </w:t>
      </w:r>
      <w:r>
        <w:rPr>
          <w:rtl w:val="true"/>
        </w:rPr>
        <w:t xml:space="preserve">ומכיוון שבעניין שלפנינו לא נרשמו בפסק הדין טעמים מיוחדים </w:t>
      </w:r>
      <w:r>
        <w:rPr>
          <w:rtl w:val="true"/>
        </w:rPr>
        <w:t>–</w:t>
      </w:r>
      <w:r>
        <w:rPr>
          <w:rtl w:val="true"/>
        </w:rPr>
        <w:t xml:space="preserve"> גזר הדין אינו עומד בדרישת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ונדרשת התערבותנו בו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עיון ב</w:t>
      </w:r>
      <w:r>
        <w:rPr>
          <w:rtl w:val="true"/>
        </w:rPr>
        <w:t>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ים מזה ומזה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שמיעת 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 ל</w:t>
      </w:r>
      <w:r>
        <w:rPr>
          <w:rtl w:val="true"/>
        </w:rPr>
        <w:t>פנינו</w:t>
      </w:r>
      <w:r>
        <w:rPr>
          <w:rtl w:val="true"/>
        </w:rPr>
        <w:t xml:space="preserve">, </w:t>
      </w:r>
      <w:r>
        <w:rPr>
          <w:rtl w:val="true"/>
        </w:rPr>
        <w:t xml:space="preserve">עמדתי היא שדין ערעור המערער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8500/22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 xml:space="preserve">ואילו דין ערעור המדינה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8655/22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הת</w:t>
      </w:r>
      <w:r>
        <w:rPr>
          <w:rtl w:val="true"/>
        </w:rPr>
        <w:t>קבל</w:t>
      </w:r>
      <w:r>
        <w:rPr>
          <w:rtl w:val="true"/>
        </w:rPr>
        <w:t xml:space="preserve">, </w:t>
      </w:r>
      <w:r>
        <w:rPr>
          <w:rtl w:val="true"/>
        </w:rPr>
        <w:t>כפי שאפרט להלן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אומר תחילה</w:t>
      </w:r>
      <w:r>
        <w:rPr>
          <w:rtl w:val="true"/>
        </w:rPr>
        <w:t xml:space="preserve">: </w:t>
      </w:r>
      <w:r>
        <w:rPr>
          <w:rtl w:val="true"/>
        </w:rPr>
        <w:t xml:space="preserve">העונש שנגזר על המערער </w:t>
      </w:r>
      <w:r>
        <w:rPr>
          <w:rtl w:val="true"/>
        </w:rPr>
        <w:t>–</w:t>
      </w:r>
      <w:r>
        <w:rPr>
          <w:rtl w:val="true"/>
        </w:rPr>
        <w:t xml:space="preserve"> קל</w:t>
      </w:r>
      <w:r>
        <w:rPr>
          <w:rtl w:val="true"/>
        </w:rPr>
        <w:t xml:space="preserve">. </w:t>
      </w:r>
      <w:r>
        <w:rPr>
          <w:rtl w:val="true"/>
        </w:rPr>
        <w:t xml:space="preserve">בהחלט יתכן כי </w:t>
      </w:r>
      <w:r>
        <w:rPr>
          <w:rtl w:val="true"/>
        </w:rPr>
        <w:t>אילו</w:t>
      </w:r>
      <w:r>
        <w:rPr>
          <w:rtl w:val="true"/>
        </w:rPr>
        <w:t xml:space="preserve"> </w:t>
      </w:r>
      <w:r>
        <w:rPr>
          <w:rtl w:val="true"/>
        </w:rPr>
        <w:t>נדרשתי</w:t>
      </w:r>
      <w:r>
        <w:rPr>
          <w:rtl w:val="true"/>
        </w:rPr>
        <w:t xml:space="preserve"> אני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מבראשית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יה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יותר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בנקודת הזמן הנוכחית</w:t>
      </w:r>
      <w:r>
        <w:rPr>
          <w:rtl w:val="true"/>
        </w:rPr>
        <w:t xml:space="preserve">, </w:t>
      </w:r>
      <w:r>
        <w:rPr>
          <w:rtl w:val="true"/>
        </w:rPr>
        <w:t>בשבתנו כערכאת ערעור</w:t>
      </w:r>
      <w:r>
        <w:rPr>
          <w:rtl w:val="true"/>
        </w:rPr>
        <w:t xml:space="preserve">, </w:t>
      </w:r>
      <w:r>
        <w:rPr>
          <w:rtl w:val="true"/>
        </w:rPr>
        <w:t>לא זו השאלה העומדת על הפרק</w:t>
      </w:r>
      <w:r>
        <w:rPr>
          <w:rtl w:val="true"/>
        </w:rPr>
        <w:t xml:space="preserve">;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ברגיל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מתערבת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מוטעים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מתערבת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הנחוץ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8445/11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דעתי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31.12.2012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עלינו לבחון אפוא אם שגה בית המשפט המחוזי</w:t>
      </w:r>
      <w:r>
        <w:rPr>
          <w:rtl w:val="true"/>
        </w:rPr>
        <w:t xml:space="preserve">; </w:t>
      </w:r>
      <w:r>
        <w:rPr>
          <w:rtl w:val="true"/>
        </w:rPr>
        <w:t>ואם נדרשים אנו להתערב בגזר דינו</w:t>
      </w:r>
      <w:r>
        <w:rPr>
          <w:rtl w:val="true"/>
        </w:rPr>
        <w:t xml:space="preserve">. </w:t>
      </w:r>
      <w:r>
        <w:rPr>
          <w:rtl w:val="true"/>
        </w:rPr>
        <w:t>בעשותי כן</w:t>
      </w:r>
      <w:r>
        <w:rPr>
          <w:rtl w:val="true"/>
        </w:rPr>
        <w:t xml:space="preserve">, </w:t>
      </w:r>
      <w:r>
        <w:rPr>
          <w:rtl w:val="true"/>
        </w:rPr>
        <w:t>מסקנתי היא שאכן שגגה יצאה תחת ידו של בית המשפט המחוזי עת סטה מהעונש המזערי מבלי לרשום טעמים מיוחדים</w:t>
      </w:r>
      <w:r>
        <w:rPr>
          <w:rtl w:val="true"/>
        </w:rPr>
        <w:t xml:space="preserve">;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מנוס מהתערבותנו בגזר הדין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התייחסות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זערי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מזערי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מורנו כהאי לישנא</w:t>
      </w:r>
      <w:r>
        <w:rPr>
          <w:rtl w:val="true"/>
        </w:rPr>
        <w:t>: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z w:val="22"/>
          <w:szCs w:val="24"/>
        </w:rPr>
      </w:pPr>
      <w:r>
        <w:rPr>
          <w:rFonts w:cs="Miriam" w:ascii="Century" w:hAnsi="Century"/>
          <w:b/>
          <w:sz w:val="22"/>
          <w:szCs w:val="24"/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zCs w:val="24"/>
        </w:rPr>
      </w:pPr>
      <w:r>
        <w:rPr>
          <w:rStyle w:val="big-number"/>
          <w:rFonts w:cs="Miriam" w:ascii="Century" w:hAnsi="Century"/>
          <w:b/>
          <w:spacing w:val="0"/>
          <w:szCs w:val="24"/>
        </w:rPr>
        <w:t>355</w:t>
      </w:r>
      <w:r>
        <w:rPr>
          <w:rStyle w:val="big-number"/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 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הורשע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סעיפים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[...]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Cs w:val="24"/>
        </w:rPr>
        <w:t>348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), 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Style w:val="default"/>
          <w:rFonts w:cs="Miriam" w:ascii="Century" w:hAnsi="Century"/>
          <w:b/>
          <w:spacing w:val="0"/>
          <w:szCs w:val="24"/>
        </w:rPr>
        <w:t>1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 [...]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יפחת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מרבע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המרבי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שנקבע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לאותה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החליט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מטעמים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שיירשמו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להקל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בעונשו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zCs w:val="24"/>
        </w:rPr>
      </w:pPr>
      <w:r>
        <w:rPr>
          <w:rStyle w:val="default"/>
          <w:rFonts w:eastAsia="Century" w:cs="Century" w:ascii="Century" w:hAnsi="Century"/>
          <w:b/>
          <w:spacing w:val="0"/>
          <w:szCs w:val="24"/>
          <w:rtl w:val="true"/>
        </w:rPr>
        <w:t xml:space="preserve">      </w:t>
      </w:r>
      <w:r>
        <w:rPr>
          <w:rStyle w:val="default"/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 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קטן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בהעדר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טעמים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מיוחדים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כולו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העונש המרבי שנקבע </w:t>
      </w:r>
      <w:hyperlink r:id="rId29"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  <w:shd w:fill="FFFFFF" w:val="clear"/>
          </w:rPr>
          <w:t>348</w:t>
        </w:r>
        <w:r>
          <w:rPr>
            <w:rStyle w:val="Hyperlink"/>
            <w:rFonts w:cs="Century" w:ascii="Century" w:hAnsi="Century"/>
            <w:sz w:val="22"/>
            <w:shd w:fill="FFFFFF" w:val="clear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shd w:fill="FFFFFF" w:val="clear"/>
            <w:rtl w:val="true"/>
          </w:rPr>
          <w:t>)</w:t>
        </w:r>
      </w:hyperlink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לחוק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שבהפרתו הורשע המערער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עומד על </w:t>
      </w:r>
      <w:r>
        <w:rPr>
          <w:rFonts w:cs="Century" w:ascii="Century" w:hAnsi="Century"/>
          <w:sz w:val="22"/>
          <w:shd w:fill="FFFFFF" w:val="clear"/>
        </w:rPr>
        <w:t>10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שנות מאסר </w:t>
      </w:r>
      <w:r>
        <w:rPr>
          <w:rFonts w:cs="Century" w:ascii="Century" w:hAnsi="Century"/>
          <w:sz w:val="22"/>
          <w:shd w:fill="FFFFFF" w:val="clear"/>
          <w:rtl w:val="true"/>
        </w:rPr>
        <w:t>(</w:t>
      </w:r>
      <w:r>
        <w:rPr>
          <w:rFonts w:cs="Century" w:ascii="Century" w:hAnsi="Century"/>
          <w:sz w:val="22"/>
          <w:shd w:fill="FFFFFF" w:val="clear"/>
        </w:rPr>
        <w:t>120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חודשי מאסר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מכאן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שלפי מצוות </w:t>
      </w:r>
      <w:hyperlink r:id="rId30"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  <w:shd w:fill="FFFFFF" w:val="clear"/>
          </w:rPr>
          <w:t>355</w:t>
        </w:r>
        <w:r>
          <w:rPr>
            <w:rStyle w:val="Hyperlink"/>
            <w:rFonts w:cs="Century" w:ascii="Century" w:hAnsi="Century"/>
            <w:sz w:val="22"/>
            <w:shd w:fill="FFFFFF" w:val="clear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shd w:fill="FFFFFF" w:val="clear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shd w:fill="FFFFFF" w:val="clear"/>
            <w:rtl w:val="true"/>
          </w:rPr>
          <w:t>)</w:t>
        </w:r>
      </w:hyperlink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לחוק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העונש המזערי</w:t>
      </w:r>
      <w:r>
        <w:rPr>
          <w:rFonts w:ascii="Century" w:hAnsi="Century" w:cs="Century"/>
          <w:sz w:val="22"/>
          <w:sz w:val="22"/>
          <w:rtl w:val="true"/>
        </w:rPr>
        <w:t xml:space="preserve"> לעבירה זו עומד על </w:t>
      </w:r>
      <w:r>
        <w:rPr>
          <w:rFonts w:cs="Century" w:ascii="Century" w:hAnsi="Century"/>
          <w:sz w:val="22"/>
        </w:rPr>
        <w:t>2.5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שנות מאסר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עינינו הרואות אפוא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העונש שגזר בית המשפט המחוזי על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מאסר 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מהווה חריגה </w:t>
      </w:r>
      <w:r>
        <w:rPr>
          <w:rtl w:val="true"/>
        </w:rPr>
        <w:t>(</w:t>
      </w:r>
      <w:r>
        <w:rPr>
          <w:rtl w:val="true"/>
        </w:rPr>
        <w:t>ניכרת</w:t>
      </w:r>
      <w:r>
        <w:rPr>
          <w:rtl w:val="true"/>
        </w:rPr>
        <w:t xml:space="preserve">) </w:t>
      </w:r>
      <w:r>
        <w:rPr>
          <w:rtl w:val="true"/>
        </w:rPr>
        <w:t>לקולא מן העונש המזערי שנקבע בחוק</w:t>
      </w:r>
      <w:r>
        <w:rPr>
          <w:rtl w:val="true"/>
        </w:rPr>
        <w:t xml:space="preserve">, </w:t>
      </w:r>
      <w:r>
        <w:rPr>
          <w:rtl w:val="true"/>
        </w:rPr>
        <w:t>בהתייחס לעבירה שבה הורשע המערער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חריגה זו נעשתה מבלי שנרשמו טעמים מיוחדים</w:t>
      </w:r>
      <w:r>
        <w:rPr>
          <w:rtl w:val="true"/>
        </w:rPr>
        <w:t xml:space="preserve">, </w:t>
      </w:r>
      <w:r>
        <w:rPr>
          <w:rtl w:val="true"/>
        </w:rPr>
        <w:t>ובכך שגה בית המשפט המחוזי</w:t>
      </w:r>
      <w:r>
        <w:rPr>
          <w:rtl w:val="true"/>
        </w:rPr>
        <w:t xml:space="preserve">. </w:t>
      </w:r>
      <w:r>
        <w:rPr>
          <w:rtl w:val="true"/>
        </w:rPr>
        <w:t>צודקת המדינה בטענתה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המזערי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אף המערער הודה כי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המקסימאלי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אך הוסיף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משתמע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ובחלוף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המחריגים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אין בגזר הדין ביסוס לטענה זו של המערער</w:t>
      </w:r>
      <w:r>
        <w:rPr>
          <w:rtl w:val="true"/>
        </w:rPr>
        <w:t xml:space="preserve">; </w:t>
      </w:r>
      <w:r>
        <w:rPr>
          <w:rtl w:val="true"/>
        </w:rPr>
        <w:t>אין טעמים מיוחדים בגזר הדין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בית המשפט הגוזר את הדין לציין</w:t>
      </w:r>
      <w:r>
        <w:rPr>
          <w:rtl w:val="true"/>
        </w:rPr>
        <w:t xml:space="preserve">, </w:t>
      </w:r>
      <w:r>
        <w:rPr>
          <w:rtl w:val="true"/>
        </w:rPr>
        <w:t>כמצוות המחוקק</w:t>
      </w:r>
      <w:r>
        <w:rPr>
          <w:rtl w:val="true"/>
        </w:rPr>
        <w:t xml:space="preserve">, </w:t>
      </w:r>
      <w:r>
        <w:rPr>
          <w:rtl w:val="true"/>
        </w:rPr>
        <w:t>ברחל בתך הקטנה</w:t>
      </w:r>
      <w:r>
        <w:rPr>
          <w:rtl w:val="true"/>
        </w:rPr>
        <w:t xml:space="preserve">, </w:t>
      </w:r>
      <w:r>
        <w:rPr>
          <w:rtl w:val="true"/>
        </w:rPr>
        <w:t>מהם הטעמים המיוחדים שהובילוהו לסטייה מן העונש המזערי</w:t>
      </w:r>
      <w:r>
        <w:rPr>
          <w:rtl w:val="true"/>
        </w:rPr>
        <w:t xml:space="preserve">. </w:t>
      </w:r>
      <w:r>
        <w:rPr>
          <w:rtl w:val="true"/>
        </w:rPr>
        <w:t>בפרשה אחרת ציינתי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בקבעו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מינימום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ככזו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המצדיקה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מינימלי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בנסיבות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בהתקיימם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מיוחדים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יתכנו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מיוחדים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שיצדיקו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תחתון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יותר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וכאשר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סבור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קיימים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כאלה</w:t>
      </w:r>
      <w:r>
        <w:rPr>
          <w:rFonts w:cs="Miriam" w:ascii="Century" w:hAnsi="Century"/>
          <w:b/>
          <w:spacing w:val="0"/>
          <w:sz w:val="22"/>
          <w:szCs w:val="24"/>
          <w:u w:val="single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לפרטם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.12.2015</w:t>
      </w:r>
      <w:r>
        <w:rPr>
          <w:rtl w:val="true"/>
        </w:rPr>
        <w:t>)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  <w:rtl w:val="true"/>
        </w:rPr>
        <w:t xml:space="preserve">ההדגשה הוּספה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נ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ס</w:t>
      </w:r>
      <w:r>
        <w:rPr>
          <w:shd w:fill="FFFFFF" w:val="clear"/>
          <w:rtl w:val="true"/>
        </w:rPr>
        <w:t>')).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בשעה</w:t>
      </w:r>
      <w:r>
        <w:rPr>
          <w:rtl w:val="true"/>
        </w:rPr>
        <w:t xml:space="preserve"> שנגזר דינו של </w:t>
      </w:r>
      <w:r>
        <w:rPr>
          <w:rtl w:val="true"/>
        </w:rPr>
        <w:t>נאשם</w:t>
      </w:r>
      <w:r>
        <w:rPr>
          <w:rtl w:val="true"/>
        </w:rPr>
        <w:t xml:space="preserve"> שהורשע</w:t>
      </w:r>
      <w:r>
        <w:rPr>
          <w:rtl w:val="true"/>
        </w:rPr>
        <w:t xml:space="preserve">, </w:t>
      </w:r>
      <w:r>
        <w:rPr>
          <w:rtl w:val="true"/>
        </w:rPr>
        <w:t>משמשים בערבוביה שיקולים רבים ומגוונים – מהם שעניינם ב</w:t>
      </w:r>
      <w:r>
        <w:rPr>
          <w:rtl w:val="true"/>
        </w:rPr>
        <w:t>קביעת</w:t>
      </w:r>
      <w:r>
        <w:rPr>
          <w:rtl w:val="true"/>
        </w:rPr>
        <w:t xml:space="preserve"> מתחם הענישה</w:t>
      </w:r>
      <w:r>
        <w:rPr>
          <w:rtl w:val="true"/>
        </w:rPr>
        <w:t xml:space="preserve">, </w:t>
      </w:r>
      <w:r>
        <w:rPr>
          <w:rtl w:val="true"/>
        </w:rPr>
        <w:t>מהם שעניינם ב</w:t>
      </w:r>
      <w:r>
        <w:rPr>
          <w:rtl w:val="true"/>
        </w:rPr>
        <w:t>גזירת</w:t>
      </w:r>
      <w:r>
        <w:rPr>
          <w:rtl w:val="true"/>
        </w:rPr>
        <w:t xml:space="preserve"> הדין בתוך המתחם </w:t>
      </w:r>
      <w:r>
        <w:rPr>
          <w:rtl w:val="true"/>
        </w:rPr>
        <w:t>(</w:t>
      </w:r>
      <w:r>
        <w:rPr>
          <w:rtl w:val="true"/>
        </w:rPr>
        <w:t>או מחוצה לו</w:t>
      </w:r>
      <w:r>
        <w:rPr>
          <w:rtl w:val="true"/>
        </w:rPr>
        <w:t xml:space="preserve">, </w:t>
      </w:r>
      <w:r>
        <w:rPr>
          <w:rtl w:val="true"/>
        </w:rPr>
        <w:t>במקרים חריגים</w:t>
      </w:r>
      <w:r>
        <w:rPr>
          <w:rtl w:val="true"/>
        </w:rPr>
        <w:t xml:space="preserve">). </w:t>
      </w:r>
      <w:r>
        <w:rPr>
          <w:rtl w:val="true"/>
        </w:rPr>
        <w:t>ברי אפוא</w:t>
      </w:r>
      <w:r>
        <w:rPr>
          <w:rtl w:val="true"/>
        </w:rPr>
        <w:t xml:space="preserve">, </w:t>
      </w:r>
      <w:r>
        <w:rPr>
          <w:rtl w:val="true"/>
        </w:rPr>
        <w:t>כי נדירים המקרים – אם בכלל – שבהם לא י</w:t>
      </w:r>
      <w:r>
        <w:rPr>
          <w:rtl w:val="true"/>
        </w:rPr>
        <w:t>מצאו</w:t>
      </w:r>
      <w:r>
        <w:rPr>
          <w:rtl w:val="true"/>
        </w:rPr>
        <w:t xml:space="preserve"> שיקולי קולא</w:t>
      </w:r>
      <w:r>
        <w:rPr>
          <w:rtl w:val="true"/>
        </w:rPr>
        <w:t xml:space="preserve">, </w:t>
      </w:r>
      <w:r>
        <w:rPr>
          <w:rtl w:val="true"/>
        </w:rPr>
        <w:t>להיפוך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זכותו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מורשע</w:t>
      </w:r>
      <w:r>
        <w:rPr>
          <w:rtl w:val="true"/>
        </w:rPr>
        <w:t xml:space="preserve">. </w:t>
      </w:r>
      <w:r>
        <w:rPr>
          <w:rtl w:val="true"/>
        </w:rPr>
        <w:t>פועל יוצא מן האמור</w:t>
      </w:r>
      <w:r>
        <w:rPr>
          <w:rtl w:val="true"/>
        </w:rPr>
        <w:t xml:space="preserve">, </w:t>
      </w:r>
      <w:r>
        <w:rPr>
          <w:rtl w:val="true"/>
        </w:rPr>
        <w:t>הוא שכמעט תמיד יהיה לו לבעל דין במה להיאחז</w:t>
      </w:r>
      <w:r>
        <w:rPr>
          <w:rtl w:val="true"/>
        </w:rPr>
        <w:t xml:space="preserve">, </w:t>
      </w:r>
      <w:r>
        <w:rPr>
          <w:rtl w:val="true"/>
        </w:rPr>
        <w:t xml:space="preserve">ולטעון כי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שהדבר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פו</w:t>
      </w:r>
      <w:r>
        <w:rPr>
          <w:rtl w:val="true"/>
        </w:rPr>
        <w:t>ֹ</w:t>
      </w:r>
      <w:r>
        <w:rPr>
          <w:rtl w:val="true"/>
        </w:rPr>
        <w:t>רש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 </w:t>
      </w:r>
      <w:r>
        <w:rPr>
          <w:rtl w:val="true"/>
        </w:rPr>
        <w:t>ששיקול</w:t>
      </w:r>
      <w:r>
        <w:rPr>
          <w:rtl w:val="true"/>
        </w:rPr>
        <w:t xml:space="preserve"> </w:t>
      </w:r>
      <w:r>
        <w:rPr>
          <w:rtl w:val="true"/>
        </w:rPr>
        <w:t>קולא</w:t>
      </w:r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או כמה שיקולי קולא</w:t>
      </w:r>
      <w:r>
        <w:rPr>
          <w:rtl w:val="true"/>
        </w:rPr>
        <w:t xml:space="preserve">, </w:t>
      </w:r>
      <w:r>
        <w:rPr>
          <w:rtl w:val="true"/>
        </w:rPr>
        <w:t xml:space="preserve">שנזכרו בגזר דינו </w:t>
      </w:r>
      <w:r>
        <w:rPr>
          <w:rtl w:val="true"/>
        </w:rPr>
        <w:t>–</w:t>
      </w:r>
      <w:r>
        <w:rPr>
          <w:rtl w:val="true"/>
        </w:rPr>
        <w:t xml:space="preserve"> הם הם הטעמים המיוחדים שהניעו את בית המשפט לקבוע את שקבע ולגזור את שגזר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שלא זו הנחיית המחוקק</w:t>
      </w:r>
      <w:r>
        <w:rPr>
          <w:rtl w:val="true"/>
        </w:rPr>
        <w:t xml:space="preserve">, </w:t>
      </w:r>
      <w:r>
        <w:rPr>
          <w:rtl w:val="true"/>
        </w:rPr>
        <w:t xml:space="preserve">שדרש התקיימותם של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המובחנים מ</w:t>
      </w:r>
      <w:r>
        <w:rPr>
          <w:rtl w:val="true"/>
        </w:rPr>
        <w:t>'</w:t>
      </w:r>
      <w:r>
        <w:rPr>
          <w:rtl w:val="true"/>
        </w:rPr>
        <w:t>סתם</w:t>
      </w:r>
      <w:r>
        <w:rPr>
          <w:rtl w:val="true"/>
        </w:rPr>
        <w:t xml:space="preserve">' </w:t>
      </w:r>
      <w:r>
        <w:rPr>
          <w:rtl w:val="true"/>
        </w:rPr>
        <w:t>שיקולי קולא</w:t>
      </w:r>
      <w:r>
        <w:rPr>
          <w:rtl w:val="true"/>
        </w:rPr>
        <w:t xml:space="preserve">), </w:t>
      </w:r>
      <w:r>
        <w:rPr>
          <w:rtl w:val="true"/>
        </w:rPr>
        <w:t xml:space="preserve">וכי אלה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ירשמו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אין אפוא מקום לקבל טענה שלפיה טעם שנזכר בגזר הדין הוא טעם מיוחד</w:t>
      </w:r>
      <w:r>
        <w:rPr>
          <w:rtl w:val="true"/>
        </w:rPr>
        <w:t xml:space="preserve">, </w:t>
      </w:r>
      <w:r>
        <w:rPr>
          <w:rtl w:val="true"/>
        </w:rPr>
        <w:t>כפי הנדרש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מורם מן האמור</w:t>
      </w:r>
      <w:r>
        <w:rPr>
          <w:rtl w:val="true"/>
        </w:rPr>
        <w:t xml:space="preserve">, </w:t>
      </w:r>
      <w:r>
        <w:rPr>
          <w:rtl w:val="true"/>
        </w:rPr>
        <w:t xml:space="preserve">כי בכך שנהג בית המשפט המחוזי כפי שנהג </w:t>
      </w:r>
      <w:r>
        <w:rPr>
          <w:rtl w:val="true"/>
        </w:rPr>
        <w:t>–</w:t>
      </w:r>
      <w:r>
        <w:rPr>
          <w:rtl w:val="true"/>
        </w:rPr>
        <w:t xml:space="preserve"> קרי</w:t>
      </w:r>
      <w:r>
        <w:rPr>
          <w:rtl w:val="true"/>
        </w:rPr>
        <w:t xml:space="preserve">, </w:t>
      </w:r>
      <w:r>
        <w:rPr>
          <w:rtl w:val="true"/>
        </w:rPr>
        <w:t>גזר את עונשו של המערער מתחת לעונש המינימום</w:t>
      </w:r>
      <w:r>
        <w:rPr>
          <w:rtl w:val="true"/>
        </w:rPr>
        <w:t xml:space="preserve">, </w:t>
      </w:r>
      <w:r>
        <w:rPr>
          <w:rtl w:val="true"/>
        </w:rPr>
        <w:t xml:space="preserve">אך נמנע מהתייחסות לסוגיית הטעמים המיוחדים </w:t>
      </w:r>
      <w:r>
        <w:rPr>
          <w:rtl w:val="true"/>
        </w:rPr>
        <w:t>–</w:t>
      </w:r>
      <w:r>
        <w:rPr>
          <w:rtl w:val="true"/>
        </w:rPr>
        <w:t xml:space="preserve"> יש כדי להצדיק בחינה מחודשת של הענישה</w:t>
      </w:r>
      <w:r>
        <w:rPr>
          <w:rtl w:val="true"/>
        </w:rPr>
        <w:t xml:space="preserve">, </w:t>
      </w:r>
      <w:r>
        <w:rPr>
          <w:rtl w:val="true"/>
        </w:rPr>
        <w:t>אל מול ההוראה המחייבת בדבר הענישה המזערית</w:t>
      </w:r>
      <w:r>
        <w:rPr>
          <w:rtl w:val="true"/>
        </w:rPr>
        <w:t xml:space="preserve">;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אין די באמור על מנת לקבל את ערעור המדינה ולהחמיר בעונשו של המערער </w:t>
      </w:r>
      <w:r>
        <w:rPr>
          <w:rtl w:val="true"/>
        </w:rPr>
        <w:t>–</w:t>
      </w:r>
      <w:r>
        <w:rPr>
          <w:rtl w:val="true"/>
        </w:rPr>
        <w:t xml:space="preserve"> הימנעות בית המשפט המחוזי מהתייחסות לסוגית הטעמים המיוחדים</w:t>
      </w:r>
      <w:r>
        <w:rPr>
          <w:rtl w:val="true"/>
        </w:rPr>
        <w:t xml:space="preserve">, </w:t>
      </w:r>
      <w:r>
        <w:rPr>
          <w:rtl w:val="true"/>
        </w:rPr>
        <w:t>אינה מלמדת על כי אלה אינם מתקיימים בנסיבות המקרה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לשריפה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סנהדרין נא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אפנה עתה לבחינת השאלה אם בנסיבות העניין שלפנינו קיימים טעמים מיוחדים</w:t>
      </w:r>
      <w:r>
        <w:rPr>
          <w:rtl w:val="true"/>
        </w:rPr>
        <w:t xml:space="preserve">, </w:t>
      </w:r>
      <w:r>
        <w:rPr>
          <w:rtl w:val="true"/>
        </w:rPr>
        <w:t>שלמרות שלא נרשמו</w:t>
      </w:r>
      <w:r>
        <w:rPr>
          <w:rtl w:val="true"/>
        </w:rPr>
        <w:t xml:space="preserve">, </w:t>
      </w:r>
      <w:r>
        <w:rPr>
          <w:rtl w:val="true"/>
        </w:rPr>
        <w:t>בכוחם להביא לסטייה מחובת העונש המזערי</w:t>
      </w:r>
      <w:r>
        <w:rPr>
          <w:rtl w:val="true"/>
        </w:rPr>
        <w:t xml:space="preserve">, </w:t>
      </w:r>
      <w:r>
        <w:rPr>
          <w:rtl w:val="true"/>
        </w:rPr>
        <w:t>וכבקשת המערער</w:t>
      </w:r>
      <w:r>
        <w:rPr>
          <w:rtl w:val="true"/>
        </w:rPr>
        <w:t xml:space="preserve">, </w:t>
      </w:r>
      <w:r>
        <w:rPr>
          <w:rtl w:val="true"/>
        </w:rPr>
        <w:t>אף להוביל לענישה מקילה בדמות עבודות שירות בלבד</w:t>
      </w:r>
      <w:r>
        <w:rPr>
          <w:rtl w:val="true"/>
        </w:rPr>
        <w:t xml:space="preserve">. </w:t>
      </w:r>
      <w:r>
        <w:rPr>
          <w:rtl w:val="true"/>
        </w:rPr>
        <w:t>כפי שיוסבר להלן</w:t>
      </w:r>
      <w:r>
        <w:rPr>
          <w:rtl w:val="true"/>
        </w:rPr>
        <w:t xml:space="preserve">, </w:t>
      </w:r>
      <w:r>
        <w:rPr>
          <w:rtl w:val="true"/>
        </w:rPr>
        <w:t xml:space="preserve">תשובתי לכך </w:t>
      </w:r>
      <w:r>
        <w:rPr>
          <w:rtl w:val="true"/>
        </w:rPr>
        <w:t>–</w:t>
      </w:r>
      <w:r>
        <w:rPr>
          <w:rtl w:val="true"/>
        </w:rPr>
        <w:t xml:space="preserve"> בשלילה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מתקיימים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המזערי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המערער טוען כי השיהוי הוא טעם מיוחד </w:t>
      </w:r>
      <w:r>
        <w:rPr>
          <w:rtl w:val="true"/>
        </w:rPr>
        <w:t>(</w:t>
      </w:r>
      <w:r>
        <w:rPr>
          <w:rtl w:val="true"/>
        </w:rPr>
        <w:t>כנזכר לעיל</w:t>
      </w:r>
      <w:r>
        <w:rPr>
          <w:rtl w:val="true"/>
        </w:rPr>
        <w:t xml:space="preserve">, </w:t>
      </w:r>
      <w:r>
        <w:rPr>
          <w:rtl w:val="true"/>
        </w:rPr>
        <w:t>כתב האישום בעניין המערער הוגש בחלוף למעלה משנתיים וחצי ממועד הגשת התלונה על</w:t>
      </w:r>
      <w:r>
        <w:rPr>
          <w:rtl w:val="true"/>
        </w:rPr>
        <w:t>-</w:t>
      </w:r>
      <w:r>
        <w:rPr>
          <w:rtl w:val="true"/>
        </w:rPr>
        <w:t>ידי נפגעת העבירה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 </w:t>
      </w:r>
      <w:r>
        <w:rPr>
          <w:rtl w:val="true"/>
        </w:rPr>
        <w:t>להיתלות</w:t>
      </w:r>
      <w:r>
        <w:rPr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tl w:val="true"/>
        </w:rPr>
        <w:t xml:space="preserve"> </w:t>
      </w:r>
      <w:r>
        <w:rPr>
          <w:rtl w:val="true"/>
        </w:rPr>
        <w:t>ליועץ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תקופות</w:t>
      </w:r>
      <w:r>
        <w:rPr>
          <w:rtl w:val="true"/>
        </w:rPr>
        <w:t xml:space="preserve"> </w:t>
      </w:r>
      <w:r>
        <w:rPr>
          <w:rtl w:val="true"/>
        </w:rPr>
        <w:t>קצובות</w:t>
      </w:r>
      <w:r>
        <w:rPr>
          <w:rtl w:val="true"/>
        </w:rPr>
        <w:t xml:space="preserve"> </w:t>
      </w:r>
      <w:r>
        <w:rPr>
          <w:rtl w:val="true"/>
        </w:rPr>
        <w:t>לצרכי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שלאחריהן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יוגש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בהסכמתו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נתלה</w:t>
      </w:r>
      <w:r>
        <w:rPr>
          <w:rtl w:val="true"/>
        </w:rPr>
        <w:t xml:space="preserve"> </w:t>
      </w:r>
      <w:r>
        <w:rPr>
          <w:rtl w:val="true"/>
        </w:rPr>
        <w:t>בהנחיית</w:t>
      </w:r>
      <w:r>
        <w:rPr>
          <w:rtl w:val="true"/>
        </w:rPr>
        <w:t xml:space="preserve"> </w:t>
      </w:r>
      <w:r>
        <w:rPr>
          <w:rtl w:val="true"/>
        </w:rPr>
        <w:t>היוע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/>
        <w:t>4.1202</w:t>
      </w:r>
      <w:r>
        <w:rPr>
          <w:rtl w:val="true"/>
        </w:rPr>
        <w:t xml:space="preserve">, </w:t>
      </w:r>
      <w:r>
        <w:rPr>
          <w:rtl w:val="true"/>
        </w:rPr>
        <w:t>שכותרתה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המורה כי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שדינן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לפעול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חודשים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סעיף </w:t>
      </w:r>
      <w:r>
        <w:rPr/>
        <w:t>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להנחיה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מאוחר</w:t>
      </w:r>
      <w:r>
        <w:rPr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שיטת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באיחור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עמדתי היא שאכן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 xml:space="preserve">של ממש </w:t>
      </w:r>
      <w:r>
        <w:rPr>
          <w:rtl w:val="true"/>
        </w:rPr>
        <w:t>לשיהוי</w:t>
      </w:r>
      <w:r>
        <w:rPr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שאפרט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ברם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השיהוי</w:t>
      </w:r>
      <w:r>
        <w:rPr>
          <w:rtl w:val="true"/>
        </w:rPr>
        <w:t xml:space="preserve"> – </w:t>
      </w:r>
      <w:r>
        <w:rPr>
          <w:rtl w:val="true"/>
        </w:rPr>
        <w:t xml:space="preserve">על אף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מוצדק</w:t>
      </w:r>
      <w:r>
        <w:rPr>
          <w:rtl w:val="true"/>
        </w:rPr>
        <w:t xml:space="preserve"> –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טעמים</w:t>
      </w:r>
      <w:r>
        <w:rPr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המצדיקים גם חריגה מענישת המינימום שהתקין המחוקק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בשים לב למועדים הקבועים בהנחיית היועמ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משכו של השיהוי אינו ארוך במיוחד</w:t>
      </w:r>
      <w:r>
        <w:rPr>
          <w:rtl w:val="true"/>
        </w:rPr>
        <w:t xml:space="preserve">; </w:t>
      </w:r>
      <w:r>
        <w:rPr>
          <w:rtl w:val="true"/>
        </w:rPr>
        <w:t>ומאחר שכתב האישום הוגש טרם כניסת הנחיית היועמ</w:t>
      </w:r>
      <w:r>
        <w:rPr>
          <w:rtl w:val="true"/>
        </w:rPr>
        <w:t>"</w:t>
      </w:r>
      <w:r>
        <w:rPr>
          <w:rtl w:val="true"/>
        </w:rPr>
        <w:t>ש הנ</w:t>
      </w:r>
      <w:r>
        <w:rPr>
          <w:rtl w:val="true"/>
        </w:rPr>
        <w:t>"</w:t>
      </w:r>
      <w:r>
        <w:rPr>
          <w:rtl w:val="true"/>
        </w:rPr>
        <w:t xml:space="preserve">ל לתוקף </w:t>
      </w:r>
      <w:r>
        <w:rPr>
          <w:rtl w:val="true"/>
        </w:rPr>
        <w:t>–</w:t>
      </w:r>
      <w:r>
        <w:rPr>
          <w:rtl w:val="true"/>
        </w:rPr>
        <w:t xml:space="preserve"> סבורני כי חריגה מפרקי הזמן הקצובים בה</w:t>
      </w:r>
      <w:r>
        <w:rPr>
          <w:rtl w:val="true"/>
        </w:rPr>
        <w:t xml:space="preserve">, </w:t>
      </w:r>
      <w:r>
        <w:rPr>
          <w:rtl w:val="true"/>
        </w:rPr>
        <w:t>חמורה עוד פחות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מבלי להידרש לשאלה הכללית אם יכול שיהוי לעלות כדי טעם מיוחד כנדרש</w:t>
      </w:r>
      <w:r>
        <w:rPr>
          <w:rtl w:val="true"/>
        </w:rPr>
        <w:t xml:space="preserve">, </w:t>
      </w:r>
      <w:r>
        <w:rPr>
          <w:rtl w:val="true"/>
        </w:rPr>
        <w:t xml:space="preserve">אם לאו </w:t>
      </w:r>
      <w:r>
        <w:rPr>
          <w:rtl w:val="true"/>
        </w:rPr>
        <w:t>–</w:t>
      </w:r>
      <w:r>
        <w:rPr>
          <w:rtl w:val="true"/>
        </w:rPr>
        <w:t xml:space="preserve"> דעתי היא שהשיהוי שבו עסקינן</w:t>
      </w:r>
      <w:r>
        <w:rPr>
          <w:rtl w:val="true"/>
        </w:rPr>
        <w:t xml:space="preserve">, </w:t>
      </w:r>
      <w:r>
        <w:rPr>
          <w:rtl w:val="true"/>
        </w:rPr>
        <w:t>אינו מגיע עד ל</w:t>
      </w:r>
      <w:r>
        <w:rPr>
          <w:rtl w:val="true"/>
        </w:rPr>
        <w:t>'</w:t>
      </w:r>
      <w:r>
        <w:rPr>
          <w:rtl w:val="true"/>
        </w:rPr>
        <w:t>מדרגה</w:t>
      </w:r>
      <w:r>
        <w:rPr>
          <w:rtl w:val="true"/>
        </w:rPr>
        <w:t xml:space="preserve">'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שיקולים נוספים לקולא</w:t>
      </w:r>
      <w:r>
        <w:rPr>
          <w:rtl w:val="true"/>
        </w:rPr>
        <w:t xml:space="preserve">, </w:t>
      </w:r>
      <w:r>
        <w:rPr>
          <w:rtl w:val="true"/>
        </w:rPr>
        <w:t>דוגמת גילו של המערער ומצבו הבריאותי</w:t>
      </w:r>
      <w:r>
        <w:rPr>
          <w:rtl w:val="true"/>
        </w:rPr>
        <w:t xml:space="preserve">, </w:t>
      </w:r>
      <w:r>
        <w:rPr>
          <w:rtl w:val="true"/>
        </w:rPr>
        <w:t>אינם מהווים טעמים מיוחדים המצדיקים לסטות לקולא מהעונש המזערי עד כדי ריצוי העונש בעבודות שירות</w:t>
      </w:r>
      <w:r>
        <w:rPr>
          <w:rtl w:val="true"/>
        </w:rPr>
        <w:t xml:space="preserve">. </w:t>
      </w:r>
      <w:r>
        <w:rPr>
          <w:rtl w:val="true"/>
        </w:rPr>
        <w:t>כפי שנזדמן לחברי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לציין מספר פעמים</w:t>
      </w:r>
      <w:r>
        <w:rPr>
          <w:rtl w:val="true"/>
        </w:rPr>
        <w:t xml:space="preserve">, </w:t>
      </w:r>
      <w:r>
        <w:rPr>
          <w:rtl w:val="true"/>
        </w:rPr>
        <w:t>בהתייחסו לבעלי דין מבוגרים וחולים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בריאותו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לקויה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כניסתו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למאסר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"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2724/17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מורגנשטרן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24.04.2018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Fonts w:cs="Century" w:ascii="Century" w:hAnsi="Century"/>
          <w:sz w:val="22"/>
          <w:rtl w:val="true"/>
        </w:rPr>
        <w:t xml:space="preserve">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8299/19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</w:rPr>
        <w:t>.2020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משכך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איני סבור כי די בשיקולים אלה על מנת להצדיק סטייה מהעונש המזערי</w:t>
      </w:r>
      <w:r>
        <w:rPr>
          <w:rtl w:val="true"/>
        </w:rPr>
        <w:t xml:space="preserve"> הקבוע בחוק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תוצאה זו</w:t>
      </w:r>
      <w:r>
        <w:rPr>
          <w:rtl w:val="true"/>
        </w:rPr>
        <w:t xml:space="preserve">, </w:t>
      </w:r>
      <w:r>
        <w:rPr>
          <w:rtl w:val="true"/>
        </w:rPr>
        <w:t>יש לדחות את הטענה הנוספת שהעלה ב</w:t>
      </w:r>
      <w:r>
        <w:rPr>
          <w:rtl w:val="true"/>
        </w:rPr>
        <w:t>"</w:t>
      </w:r>
      <w:r>
        <w:rPr>
          <w:rtl w:val="true"/>
        </w:rPr>
        <w:t>כ של המערער</w:t>
      </w:r>
      <w:r>
        <w:rPr>
          <w:rtl w:val="true"/>
        </w:rPr>
        <w:t xml:space="preserve">, </w:t>
      </w:r>
      <w:r>
        <w:rPr>
          <w:rtl w:val="true"/>
        </w:rPr>
        <w:t>שלפיה ראוי היה לקבוע מתחם קל יותר</w:t>
      </w:r>
      <w:r>
        <w:rPr>
          <w:rtl w:val="true"/>
        </w:rPr>
        <w:t xml:space="preserve">. </w:t>
      </w:r>
      <w:r>
        <w:rPr>
          <w:rtl w:val="true"/>
        </w:rPr>
        <w:t xml:space="preserve">מתחם העונש ההולם והעונש המזערי </w:t>
      </w:r>
      <w:r>
        <w:rPr>
          <w:rtl w:val="true"/>
        </w:rPr>
        <w:t>–</w:t>
      </w:r>
      <w:r>
        <w:rPr>
          <w:rtl w:val="true"/>
        </w:rPr>
        <w:t xml:space="preserve"> קשורים הם בקשר אמיץ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המינימום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אינדיקציה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שמיוחסת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המוגנים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ומשכך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4.11.2014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יש לדחות את הטענה כי משך הזמן והשיהוי מהווים הצדקה לקבוע מתחם עונש קל יותר</w:t>
      </w:r>
      <w:r>
        <w:rPr>
          <w:rtl w:val="true"/>
        </w:rPr>
        <w:t xml:space="preserve">, </w:t>
      </w:r>
      <w:r>
        <w:rPr>
          <w:rtl w:val="true"/>
        </w:rPr>
        <w:t>או לסטות מהמתחם 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tl w:val="true"/>
        </w:rPr>
        <w:t>ים אלו נשקלים</w:t>
      </w:r>
      <w:r>
        <w:rPr>
          <w:rtl w:val="true"/>
        </w:rPr>
        <w:t xml:space="preserve"> </w:t>
      </w:r>
      <w:r>
        <w:rPr>
          <w:rtl w:val="true"/>
        </w:rPr>
        <w:t>תדיר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כמצוותם הברורה של </w:t>
      </w:r>
      <w:hyperlink r:id="rId3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 </w:t>
      </w:r>
      <w:r>
        <w:rPr>
          <w:rtl w:val="true"/>
        </w:rPr>
        <w:t>אכיפת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>יא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("</w:t>
      </w:r>
      <w:r>
        <w:rPr>
          <w:rtl w:val="true"/>
        </w:rPr>
        <w:t>חלוף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מעת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")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טענת המערער שנטענה בקצרה</w:t>
      </w:r>
      <w:r>
        <w:rPr>
          <w:rtl w:val="true"/>
        </w:rPr>
        <w:t xml:space="preserve">, </w:t>
      </w:r>
      <w:r>
        <w:rPr>
          <w:rtl w:val="true"/>
        </w:rPr>
        <w:t xml:space="preserve">כי יש לסטות ממתחם הענישה לקולא בשל </w:t>
      </w:r>
      <w:r>
        <w:rPr>
          <w:rtl w:val="true"/>
        </w:rPr>
        <w:t>'</w:t>
      </w:r>
      <w:r>
        <w:rPr>
          <w:rtl w:val="true"/>
        </w:rPr>
        <w:t>שיקולי צדק</w:t>
      </w:r>
      <w:r>
        <w:rPr>
          <w:rtl w:val="true"/>
        </w:rPr>
        <w:t xml:space="preserve">', </w:t>
      </w:r>
      <w:r>
        <w:rPr>
          <w:rtl w:val="true"/>
        </w:rPr>
        <w:t xml:space="preserve">בהסתמך על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אין בה ממש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tl w:val="true"/>
        </w:rPr>
        <w:t xml:space="preserve"> הוכרה האפשרות של בית המשפט</w:t>
      </w:r>
      <w:r>
        <w:rPr>
          <w:rtl w:val="true"/>
        </w:rPr>
        <w:t xml:space="preserve">, </w:t>
      </w:r>
      <w:r>
        <w:rPr>
          <w:rtl w:val="true"/>
        </w:rPr>
        <w:t>במקרים חריגים שבחריגים</w:t>
      </w:r>
      <w:r>
        <w:rPr>
          <w:rtl w:val="true"/>
        </w:rPr>
        <w:t xml:space="preserve">, </w:t>
      </w:r>
      <w:r>
        <w:rPr>
          <w:rtl w:val="true"/>
        </w:rPr>
        <w:t>לסטות לקולא ממתחם העונש שנקבע</w:t>
      </w:r>
      <w:r>
        <w:rPr>
          <w:rtl w:val="true"/>
        </w:rPr>
        <w:t xml:space="preserve">, </w:t>
      </w:r>
      <w:r>
        <w:rPr>
          <w:rtl w:val="true"/>
        </w:rPr>
        <w:t>גם שלא מטעמי שיקום</w:t>
      </w:r>
      <w:r>
        <w:rPr>
          <w:rtl w:val="true"/>
        </w:rPr>
        <w:t xml:space="preserve">; </w:t>
      </w:r>
      <w:r>
        <w:rPr>
          <w:rtl w:val="true"/>
        </w:rPr>
        <w:t>אך צוין בפירוש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יודגש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ויודגש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היטב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פותחים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הוא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218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shd w:fill="FFFFFF" w:val="clear"/>
          </w:rPr>
          <w:t>10068/16</w:t>
        </w:r>
      </w:hyperlink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16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9</w:t>
      </w:r>
      <w:r>
        <w:rPr>
          <w:rFonts w:cs="FrankRuehl" w:ascii="FrankRuehl" w:hAnsi="FrankRuehl"/>
          <w:color w:val="000000"/>
          <w:sz w:val="28"/>
          <w:shd w:fill="FFFFFF" w:val="clear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</w:rPr>
        <w:t>1</w:t>
      </w:r>
      <w:r>
        <w:rPr>
          <w:rFonts w:cs="FrankRuehl" w:ascii="FrankRuehl" w:hAnsi="FrankRuehl"/>
          <w:color w:val="000000"/>
          <w:sz w:val="28"/>
          <w:shd w:fill="FFFFFF" w:val="clear"/>
        </w:rPr>
        <w:t>.2018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 מצאתי כי נסיבותיו של המערער קרובות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ולוּ במעט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להיכנס בפתח הצר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'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כמלא נקב מחט סידקית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שנפתח בעניין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גם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פסקי הדין שאליהם הפנה הסנגור </w:t>
      </w:r>
      <w:r>
        <w:rPr>
          <w:rtl w:val="true"/>
        </w:rPr>
        <w:t>–</w:t>
      </w:r>
      <w:r>
        <w:rPr>
          <w:rtl w:val="true"/>
        </w:rPr>
        <w:t xml:space="preserve"> אינם מועילים לו כלל וכלל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בשניהם </w:t>
      </w:r>
      <w:r>
        <w:rPr>
          <w:rFonts w:ascii="Century" w:hAnsi="Century" w:cs="Century"/>
          <w:sz w:val="22"/>
          <w:sz w:val="22"/>
          <w:rtl w:val="true"/>
        </w:rPr>
        <w:t>דחה</w:t>
      </w:r>
      <w:r>
        <w:rPr>
          <w:rtl w:val="true"/>
        </w:rPr>
        <w:t xml:space="preserve"> </w:t>
      </w:r>
      <w:r>
        <w:rPr>
          <w:rtl w:val="true"/>
        </w:rPr>
        <w:t xml:space="preserve">בית המשפט את הערעור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פשיטא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שאין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להסיק מדחיית הערעורים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כי ראוי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לקבל את ערעורו של המערער</w:t>
      </w:r>
      <w:r>
        <w:rPr>
          <w:rtl w:val="true"/>
        </w:rPr>
        <w:t xml:space="preserve"> ולהקל עמו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נוכח נקודת המוצא של ערכאת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שצוינה בפירוט בפסקי הדין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10068/16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; </w:t>
      </w:r>
      <w:hyperlink r:id="rId4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3021/17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בנסיבות המקרים הללו יש אמנם צדדים לחומרה ביחס לעניין דנן</w:t>
      </w:r>
      <w:r>
        <w:rPr>
          <w:rtl w:val="true"/>
        </w:rPr>
        <w:t xml:space="preserve">, </w:t>
      </w:r>
      <w:r>
        <w:rPr>
          <w:rtl w:val="true"/>
        </w:rPr>
        <w:t>אך גם צדדים לקולא</w:t>
      </w:r>
      <w:r>
        <w:rPr>
          <w:rtl w:val="true"/>
        </w:rPr>
        <w:t xml:space="preserve">, </w:t>
      </w:r>
      <w:r>
        <w:rPr>
          <w:rtl w:val="true"/>
        </w:rPr>
        <w:t xml:space="preserve">דוגמת </w:t>
      </w:r>
      <w:r>
        <w:rPr>
          <w:rtl w:val="true"/>
        </w:rPr>
        <w:t>הודא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באופן שהוביל לחסכון בזמן שיפוטי וייתר את הצורך להעיד את נפגעת העבירה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ובכך עיקר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הליכים אלה בית המשפט המחוזי הקפיד שלא לסטות ממתחם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ומהוראות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במובן זה</w:t>
      </w:r>
      <w:r>
        <w:rPr>
          <w:rtl w:val="true"/>
        </w:rPr>
        <w:t xml:space="preserve">, </w:t>
      </w:r>
      <w:r>
        <w:rPr>
          <w:rtl w:val="true"/>
        </w:rPr>
        <w:t xml:space="preserve">העונש שנגזר בדנן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</w:t>
      </w:r>
      <w:r>
        <w:rPr>
          <w:rtl w:val="true"/>
        </w:rPr>
        <w:t xml:space="preserve"> </w:t>
      </w:r>
      <w:r>
        <w:rPr>
          <w:rtl w:val="true"/>
        </w:rPr>
        <w:t>מן העונש שנגזר באותם המקרים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 מצאתי כי קיימת סיבה לסטות מהעונש המזערי וממתחם העונש ההולם</w:t>
      </w:r>
      <w:r>
        <w:rPr>
          <w:rtl w:val="true"/>
        </w:rPr>
        <w:t xml:space="preserve">, </w:t>
      </w:r>
      <w:r>
        <w:rPr>
          <w:rtl w:val="true"/>
        </w:rPr>
        <w:t>אך יחד עם זאת</w:t>
      </w:r>
      <w:r>
        <w:rPr>
          <w:rtl w:val="true"/>
        </w:rPr>
        <w:t xml:space="preserve">, </w:t>
      </w:r>
      <w:r>
        <w:rPr>
          <w:rtl w:val="true"/>
        </w:rPr>
        <w:t>כבית המשפט המחוזי</w:t>
      </w:r>
      <w:r>
        <w:rPr>
          <w:rtl w:val="true"/>
        </w:rPr>
        <w:t xml:space="preserve">, </w:t>
      </w:r>
      <w:r>
        <w:rPr>
          <w:rtl w:val="true"/>
        </w:rPr>
        <w:t>אף אני סבור כי השיהוי הכבד ראוי להילקח בחשבון כשיקול לקולא</w:t>
      </w:r>
      <w:r>
        <w:rPr>
          <w:rtl w:val="true"/>
        </w:rPr>
        <w:t xml:space="preserve">. </w:t>
      </w:r>
      <w:r>
        <w:rPr>
          <w:rtl w:val="true"/>
        </w:rPr>
        <w:t xml:space="preserve">גם הטעמים הנוספים שנשקלו </w:t>
      </w:r>
      <w:r>
        <w:rPr>
          <w:rtl w:val="true"/>
        </w:rPr>
        <w:t>–</w:t>
      </w:r>
      <w:r>
        <w:rPr>
          <w:rtl w:val="true"/>
        </w:rPr>
        <w:t xml:space="preserve"> גילו המתקדם של המערער</w:t>
      </w:r>
      <w:r>
        <w:rPr>
          <w:rtl w:val="true"/>
        </w:rPr>
        <w:t xml:space="preserve">, </w:t>
      </w:r>
      <w:r>
        <w:rPr>
          <w:rtl w:val="true"/>
        </w:rPr>
        <w:t>מצבו הבריאותי</w:t>
      </w:r>
      <w:r>
        <w:rPr>
          <w:rtl w:val="true"/>
        </w:rPr>
        <w:t xml:space="preserve">, </w:t>
      </w:r>
      <w:r>
        <w:rPr>
          <w:rtl w:val="true"/>
        </w:rPr>
        <w:t xml:space="preserve">היעדרן של הרשעות קודמות וחלוף הזמן ממועד ביצוע העבירה </w:t>
      </w:r>
      <w:r>
        <w:rPr>
          <w:rtl w:val="true"/>
        </w:rPr>
        <w:t>–</w:t>
      </w:r>
      <w:r>
        <w:rPr>
          <w:rtl w:val="true"/>
        </w:rPr>
        <w:t xml:space="preserve"> מצדיקים הימנעות ממיצוי הדין עִמו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שקלתי לקולא את בחירתו של המערער לחזור בו מערעורו על הכרעת הדין</w:t>
      </w:r>
      <w:r>
        <w:rPr>
          <w:rtl w:val="true"/>
        </w:rPr>
        <w:t xml:space="preserve">; </w:t>
      </w:r>
      <w:r>
        <w:rPr>
          <w:rtl w:val="true"/>
        </w:rPr>
        <w:t>בחירה המהווה הודאה בפגיעה שפגע</w:t>
      </w:r>
      <w:r>
        <w:rPr>
          <w:rtl w:val="true"/>
        </w:rPr>
        <w:t xml:space="preserve">, </w:t>
      </w:r>
      <w:r>
        <w:rPr>
          <w:rtl w:val="true"/>
        </w:rPr>
        <w:t>ולקיחת אחריות על מעשה העבירה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במועד מאוחר מאוד</w:t>
      </w:r>
      <w:r>
        <w:rPr>
          <w:rtl w:val="true"/>
        </w:rPr>
        <w:t xml:space="preserve">; </w:t>
      </w:r>
      <w:r>
        <w:rPr>
          <w:rtl w:val="true"/>
        </w:rPr>
        <w:t>בדרך עקומה</w:t>
      </w:r>
      <w:r>
        <w:rPr>
          <w:rtl w:val="true"/>
        </w:rPr>
        <w:t xml:space="preserve">; </w:t>
      </w:r>
      <w:r>
        <w:rPr>
          <w:rtl w:val="true"/>
        </w:rPr>
        <w:t>בצורה שאינה מיטבית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בעצם בחירתו זו</w:t>
      </w:r>
      <w:r>
        <w:rPr>
          <w:rtl w:val="true"/>
        </w:rPr>
        <w:t xml:space="preserve">, </w:t>
      </w:r>
      <w:r>
        <w:rPr>
          <w:rtl w:val="true"/>
        </w:rPr>
        <w:t>כמו גם בדברי ב</w:t>
      </w:r>
      <w:r>
        <w:rPr>
          <w:rtl w:val="true"/>
        </w:rPr>
        <w:t>"</w:t>
      </w:r>
      <w:r>
        <w:rPr>
          <w:rtl w:val="true"/>
        </w:rPr>
        <w:t>כ המערער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אשר מסר את הודעת המערער כי הוא לוקח אחריות על העבירות שביצע</w:t>
      </w:r>
      <w:r>
        <w:rPr>
          <w:rtl w:val="true"/>
        </w:rPr>
        <w:t xml:space="preserve">, </w:t>
      </w:r>
      <w:r>
        <w:rPr>
          <w:rtl w:val="true"/>
        </w:rPr>
        <w:t>יש כדי להוות טעם נוסף להקלה עִמו</w:t>
      </w:r>
      <w:r>
        <w:rPr>
          <w:rtl w:val="true"/>
        </w:rPr>
        <w:t xml:space="preserve">. </w:t>
      </w:r>
      <w:r>
        <w:rPr>
          <w:rtl w:val="true"/>
        </w:rPr>
        <w:t xml:space="preserve">הסיבה לכך נעוצה </w:t>
      </w:r>
      <w:r>
        <w:rPr>
          <w:rtl w:val="true"/>
        </w:rPr>
        <w:t>בחשיבות</w:t>
      </w:r>
      <w:r>
        <w:rPr>
          <w:rtl w:val="true"/>
        </w:rPr>
        <w:t xml:space="preserve"> </w:t>
      </w:r>
      <w:r>
        <w:rPr>
          <w:rtl w:val="true"/>
        </w:rPr>
        <w:t>ההכרה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 </w:t>
      </w:r>
      <w:r>
        <w:rPr>
          <w:rtl w:val="true"/>
        </w:rPr>
        <w:t>בפגיעה</w:t>
      </w:r>
      <w:r>
        <w:rPr>
          <w:rtl w:val="true"/>
        </w:rPr>
        <w:t xml:space="preserve"> </w:t>
      </w:r>
      <w:r>
        <w:rPr>
          <w:rtl w:val="true"/>
        </w:rPr>
        <w:t>כחלק</w:t>
      </w:r>
      <w:r>
        <w:rPr>
          <w:rtl w:val="true"/>
        </w:rPr>
        <w:t xml:space="preserve"> </w:t>
      </w:r>
      <w:r>
        <w:rPr>
          <w:rtl w:val="true"/>
        </w:rPr>
        <w:t>מהליך</w:t>
      </w:r>
      <w:r>
        <w:rPr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וחשוב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– </w:t>
      </w:r>
      <w:r>
        <w:rPr>
          <w:rtl w:val="true"/>
        </w:rPr>
        <w:t>בהשפעה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ניתן לקוות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תהיה</w:t>
      </w:r>
      <w:r>
        <w:rPr>
          <w:rtl w:val="true"/>
        </w:rPr>
        <w:t xml:space="preserve"> </w:t>
      </w:r>
      <w:r>
        <w:rPr>
          <w:rtl w:val="true"/>
        </w:rPr>
        <w:t>לנטילת</w:t>
      </w:r>
      <w:r>
        <w:rPr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שיקומה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נפגעת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בהינתן מצוות המחוקק</w:t>
      </w:r>
      <w:r>
        <w:rPr>
          <w:rtl w:val="true"/>
        </w:rPr>
        <w:t xml:space="preserve">, </w:t>
      </w:r>
      <w:r>
        <w:rPr>
          <w:rtl w:val="true"/>
        </w:rPr>
        <w:t xml:space="preserve">ובהיעדר טעמים מיוחדים </w:t>
      </w:r>
      <w:r>
        <w:rPr>
          <w:rtl w:val="true"/>
        </w:rPr>
        <w:t>–</w:t>
      </w:r>
      <w:r>
        <w:rPr>
          <w:rtl w:val="true"/>
        </w:rPr>
        <w:t xml:space="preserve"> סבורני כי ראוי לקבל את ערעור המדינה</w:t>
      </w:r>
      <w:r>
        <w:rPr>
          <w:rtl w:val="true"/>
        </w:rPr>
        <w:t xml:space="preserve">; </w:t>
      </w:r>
      <w:r>
        <w:rPr>
          <w:rtl w:val="true"/>
        </w:rPr>
        <w:t>להחמיר את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ולגזור עליו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בהתאם לחוק</w:t>
      </w:r>
      <w:r>
        <w:rPr>
          <w:rtl w:val="true"/>
        </w:rPr>
        <w:t>.</w:t>
      </w:r>
      <w:r>
        <w:rPr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מורנו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מכלל</w:t>
      </w:r>
      <w:r>
        <w:rPr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 </w:t>
      </w:r>
      <w:r>
        <w:rPr>
          <w:rtl w:val="true"/>
        </w:rPr>
        <w:t>שומעים אנו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–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שיינתן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8299/19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</w:t>
      </w:r>
      <w:r>
        <w:rPr/>
        <w:t>5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8235/19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5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בשים לב לנסיבות שצוינו לקולא </w:t>
      </w:r>
      <w:r>
        <w:rPr>
          <w:rtl w:val="true"/>
        </w:rPr>
        <w:t>–</w:t>
      </w:r>
      <w:r>
        <w:rPr>
          <w:rtl w:val="true"/>
        </w:rPr>
        <w:t xml:space="preserve"> ובפרט השיהוי שנפל ונטילת האחריות על המעשים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ובזכרנו את הכלל הידוע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הקובע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למצות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הדי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ן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" </w:t>
      </w:r>
      <w:r>
        <w:rPr>
          <w:rFonts w:cs="Century" w:ascii="Century" w:hAnsi="Century"/>
          <w:sz w:val="22"/>
          <w:shd w:fill="FFFFFF" w:val="clear"/>
          <w:rtl w:val="true"/>
        </w:rPr>
        <w:t>(</w:t>
      </w:r>
      <w:hyperlink r:id="rId4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shd w:fill="FFFFFF" w:val="clear"/>
          </w:rPr>
          <w:t>159/22</w:t>
        </w:r>
      </w:hyperlink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תאיה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z w:val="22"/>
          <w:shd w:fill="FFFFFF" w:val="clear"/>
        </w:rPr>
        <w:t>13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Century" w:ascii="Century" w:hAnsi="Century"/>
          <w:sz w:val="22"/>
          <w:shd w:fill="FFFFFF" w:val="clear"/>
          <w:rtl w:val="true"/>
        </w:rPr>
        <w:t>(</w:t>
      </w:r>
      <w:r>
        <w:rPr>
          <w:rFonts w:cs="Century" w:ascii="Century" w:hAnsi="Century"/>
          <w:sz w:val="22"/>
          <w:shd w:fill="FFFFFF" w:val="clear"/>
        </w:rPr>
        <w:t>2</w:t>
      </w:r>
      <w:r>
        <w:rPr>
          <w:rFonts w:cs="Century" w:ascii="Century" w:hAnsi="Century"/>
          <w:sz w:val="22"/>
          <w:shd w:fill="FFFFFF" w:val="clear"/>
        </w:rPr>
        <w:t>.</w:t>
      </w:r>
      <w:r>
        <w:rPr>
          <w:rFonts w:cs="Century" w:ascii="Century" w:hAnsi="Century"/>
          <w:sz w:val="22"/>
          <w:shd w:fill="FFFFFF" w:val="clear"/>
        </w:rPr>
        <w:t>3</w:t>
      </w:r>
      <w:r>
        <w:rPr>
          <w:rFonts w:cs="Century" w:ascii="Century" w:hAnsi="Century"/>
          <w:sz w:val="22"/>
          <w:shd w:fill="FFFFFF" w:val="clear"/>
        </w:rPr>
        <w:t>.2022</w:t>
      </w:r>
      <w:r>
        <w:rPr>
          <w:rFonts w:cs="Century" w:ascii="Century" w:hAnsi="Century"/>
          <w:sz w:val="22"/>
          <w:shd w:fill="FFFFFF" w:val="clear"/>
          <w:rtl w:val="true"/>
        </w:rPr>
        <w:t>)</w:t>
      </w:r>
      <w:r>
        <w:rPr>
          <w:rFonts w:cs="Century" w:ascii="Century" w:hAnsi="Century"/>
          <w:sz w:val="22"/>
          <w:shd w:fill="FFFFFF" w:val="clear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אציע לחברי כי נגזור על המערער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נוספים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את העבירה בה הורשע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8500/22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8655/22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נקבל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שיוּספוּ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firstLine="720"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BODYVERDICT"/>
        <w:ind w:firstLine="720"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BODYVERDICT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sz w:val="24"/>
          <w:szCs w:val="30"/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tabs>
          <w:tab w:val="clear" w:pos="720"/>
          <w:tab w:val="left" w:pos="6469" w:leader="none"/>
        </w:tabs>
        <w:ind w:end="0"/>
        <w:jc w:val="both"/>
        <w:rPr>
          <w:sz w:val="24"/>
          <w:szCs w:val="30"/>
        </w:rPr>
      </w:pPr>
      <w:r>
        <w:rPr>
          <w:sz w:val="24"/>
          <w:szCs w:val="30"/>
          <w:rtl w:val="true"/>
        </w:rPr>
        <w:tab/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להתייצב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לתחילת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ריצוי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עונשו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בבימ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קישון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ביום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23.7.2023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לא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יאוחר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מהשעה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Cs w:val="30"/>
        </w:rPr>
        <w:t>10:00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או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פי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החלטת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שב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ס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כשברשותו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תעודת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זהות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או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דרכון</w:t>
      </w:r>
      <w:r>
        <w:rPr>
          <w:sz w:val="24"/>
          <w:szCs w:val="30"/>
          <w:rtl w:val="true"/>
        </w:rPr>
        <w:t xml:space="preserve">. </w:t>
      </w:r>
      <w:r>
        <w:rPr>
          <w:sz w:val="24"/>
          <w:sz w:val="24"/>
          <w:szCs w:val="30"/>
          <w:rtl w:val="true"/>
        </w:rPr>
        <w:t>על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לתאם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הכניסה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למאסר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כולל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האפשרות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למיון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מוקדם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 w:val="24"/>
          <w:szCs w:val="30"/>
          <w:rtl w:val="true"/>
        </w:rPr>
        <w:t>עם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ענף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אבחון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ומיון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של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שב</w:t>
      </w:r>
      <w:r>
        <w:rPr>
          <w:sz w:val="24"/>
          <w:szCs w:val="30"/>
          <w:rtl w:val="true"/>
        </w:rPr>
        <w:t>"</w:t>
      </w:r>
      <w:r>
        <w:rPr>
          <w:sz w:val="24"/>
          <w:sz w:val="24"/>
          <w:szCs w:val="30"/>
          <w:rtl w:val="true"/>
        </w:rPr>
        <w:t>ס</w:t>
      </w:r>
      <w:r>
        <w:rPr>
          <w:rFonts w:eastAsia="Arial TUR;Arial" w:cs="Arial TUR;Arial"/>
          <w:sz w:val="24"/>
          <w:sz w:val="24"/>
          <w:szCs w:val="30"/>
          <w:rtl w:val="true"/>
        </w:rPr>
        <w:t xml:space="preserve"> </w:t>
      </w:r>
      <w:r>
        <w:rPr>
          <w:sz w:val="24"/>
          <w:sz w:val="24"/>
          <w:szCs w:val="30"/>
          <w:rtl w:val="true"/>
        </w:rPr>
        <w:t>בטלפונים</w:t>
      </w:r>
      <w:r>
        <w:rPr>
          <w:sz w:val="24"/>
          <w:szCs w:val="30"/>
          <w:rtl w:val="true"/>
        </w:rPr>
        <w:t xml:space="preserve">: </w:t>
      </w:r>
      <w:r>
        <w:rPr>
          <w:sz w:val="24"/>
          <w:szCs w:val="30"/>
        </w:rPr>
        <w:t>08-9787377</w:t>
      </w:r>
      <w:r>
        <w:rPr>
          <w:sz w:val="24"/>
          <w:szCs w:val="30"/>
          <w:rtl w:val="true"/>
        </w:rPr>
        <w:t xml:space="preserve">, </w:t>
      </w:r>
      <w:r>
        <w:rPr>
          <w:sz w:val="24"/>
          <w:szCs w:val="30"/>
        </w:rPr>
        <w:t>08-9787336</w:t>
      </w:r>
      <w:r>
        <w:rPr>
          <w:sz w:val="24"/>
          <w:szCs w:val="30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sz w:val="24"/>
          <w:szCs w:val="30"/>
        </w:rPr>
      </w:pPr>
      <w:r>
        <w:rPr>
          <w:sz w:val="24"/>
          <w:szCs w:val="30"/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10.7.2023</w:t>
      </w:r>
      <w:r>
        <w:rPr>
          <w:rtl w:val="true"/>
        </w:rPr>
        <w:t xml:space="preserve">). </w:t>
      </w:r>
      <w:bookmarkEnd w:id="17"/>
    </w:p>
    <w:p>
      <w:pPr>
        <w:pStyle w:val="Ruller41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22085000</w:t>
      </w:r>
      <w:r>
        <w:rPr>
          <w:sz w:val="16"/>
          <w:rtl w:val="true"/>
        </w:rPr>
        <w:t>_</w:t>
      </w:r>
      <w:r>
        <w:rPr>
          <w:sz w:val="16"/>
        </w:rPr>
        <w:t>O05.docx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יס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54678313-8500/22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8500/22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אליהו אביטבול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otnoteTextChar">
    <w:name w:val="Footnote Text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/>
    <w:rPr>
      <w:rFonts w:ascii="Century" w:hAnsi="Century" w:cs="FrankRuehl"/>
      <w:spacing w:val="10"/>
      <w:szCs w:val="20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70301/355" TargetMode="External"/><Relationship Id="rId7" Type="http://schemas.openxmlformats.org/officeDocument/2006/relationships/hyperlink" Target="http://www.nevo.co.il/law/70301/355.a" TargetMode="External"/><Relationship Id="rId8" Type="http://schemas.openxmlformats.org/officeDocument/2006/relationships/hyperlink" Target="http://www.nevo.co.il/law/70301/355.b" TargetMode="External"/><Relationship Id="rId9" Type="http://schemas.openxmlformats.org/officeDocument/2006/relationships/hyperlink" Target="http://www.nevo.co.il/law/70301/40ja.9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57a.a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45.b.1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17954217" TargetMode="External"/><Relationship Id="rId17" Type="http://schemas.openxmlformats.org/officeDocument/2006/relationships/hyperlink" Target="http://www.nevo.co.il/case/22303253" TargetMode="External"/><Relationship Id="rId18" Type="http://schemas.openxmlformats.org/officeDocument/2006/relationships/hyperlink" Target="http://www.nevo.co.il/case/22303253" TargetMode="External"/><Relationship Id="rId19" Type="http://schemas.openxmlformats.org/officeDocument/2006/relationships/hyperlink" Target="http://www.nevo.co.il/case/22546688" TargetMode="External"/><Relationship Id="rId20" Type="http://schemas.openxmlformats.org/officeDocument/2006/relationships/hyperlink" Target="http://www.nevo.co.il/case/22546688" TargetMode="External"/><Relationship Id="rId21" Type="http://schemas.openxmlformats.org/officeDocument/2006/relationships/hyperlink" Target="http://www.nevo.co.il/case/27676409" TargetMode="External"/><Relationship Id="rId22" Type="http://schemas.openxmlformats.org/officeDocument/2006/relationships/hyperlink" Target="http://www.nevo.co.il/case/28665164" TargetMode="External"/><Relationship Id="rId23" Type="http://schemas.openxmlformats.org/officeDocument/2006/relationships/hyperlink" Target="http://www.nevo.co.il/law/70301/355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55.a" TargetMode="External"/><Relationship Id="rId26" Type="http://schemas.openxmlformats.org/officeDocument/2006/relationships/hyperlink" Target="http://www.nevo.co.il/case/5607888" TargetMode="External"/><Relationship Id="rId27" Type="http://schemas.openxmlformats.org/officeDocument/2006/relationships/hyperlink" Target="http://www.nevo.co.il/law/70301/35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48.b" TargetMode="External"/><Relationship Id="rId30" Type="http://schemas.openxmlformats.org/officeDocument/2006/relationships/hyperlink" Target="http://www.nevo.co.il/law/70301/355.a" TargetMode="External"/><Relationship Id="rId31" Type="http://schemas.openxmlformats.org/officeDocument/2006/relationships/hyperlink" Target="http://www.nevo.co.il/case/20513526" TargetMode="External"/><Relationship Id="rId32" Type="http://schemas.openxmlformats.org/officeDocument/2006/relationships/hyperlink" Target="http://www.nevo.co.il/law/74903/57a.a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case/22505786" TargetMode="External"/><Relationship Id="rId35" Type="http://schemas.openxmlformats.org/officeDocument/2006/relationships/hyperlink" Target="http://www.nevo.co.il/case/26272196" TargetMode="External"/><Relationship Id="rId36" Type="http://schemas.openxmlformats.org/officeDocument/2006/relationships/hyperlink" Target="http://www.nevo.co.il/case/18107737" TargetMode="External"/><Relationship Id="rId37" Type="http://schemas.openxmlformats.org/officeDocument/2006/relationships/hyperlink" Target="http://www.nevo.co.il/law/70301/40ja.9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2303253" TargetMode="External"/><Relationship Id="rId40" Type="http://schemas.openxmlformats.org/officeDocument/2006/relationships/hyperlink" Target="http://www.nevo.co.il/case/22303253" TargetMode="External"/><Relationship Id="rId41" Type="http://schemas.openxmlformats.org/officeDocument/2006/relationships/hyperlink" Target="http://www.nevo.co.il/case/22546688" TargetMode="External"/><Relationship Id="rId42" Type="http://schemas.openxmlformats.org/officeDocument/2006/relationships/hyperlink" Target="http://www.nevo.co.il/law/70301/355.a" TargetMode="External"/><Relationship Id="rId43" Type="http://schemas.openxmlformats.org/officeDocument/2006/relationships/hyperlink" Target="http://www.nevo.co.il/law/70301/355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6272196" TargetMode="External"/><Relationship Id="rId46" Type="http://schemas.openxmlformats.org/officeDocument/2006/relationships/hyperlink" Target="http://www.nevo.co.il/case/26267989" TargetMode="External"/><Relationship Id="rId47" Type="http://schemas.openxmlformats.org/officeDocument/2006/relationships/hyperlink" Target="http://www.nevo.co.il/case/28229994" TargetMode="External"/><Relationship Id="rId48" Type="http://schemas.openxmlformats.org/officeDocument/2006/relationships/hyperlink" Target="https://supreme.court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2023-07-12T10:53:00Z</dcterms:created>
  <dc:creator>h4</dc:creator>
  <dc:description/>
  <cp:keywords/>
  <dc:language>en-IL</dc:language>
  <cp:lastModifiedBy>h1</cp:lastModifiedBy>
  <cp:lastPrinted>2023-07-10T15:00:00Z</cp:lastPrinted>
  <dcterms:modified xsi:type="dcterms:W3CDTF">2023-07-12T10:53:00Z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אליהו אביטבול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17954217;22303253:4;22546688:3;27676409;28665164;5607888;20513526;22505786;26272196:2;18107737;26267989;28229994</vt:lpwstr>
  </property>
  <property fmtid="{D5CDD505-2E9C-101B-9397-08002B2CF9AE}" pid="9" name="CITY">
    <vt:lpwstr/>
  </property>
  <property fmtid="{D5CDD505-2E9C-101B-9397-08002B2CF9AE}" pid="10" name="DATE">
    <vt:lpwstr>20230710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אלרון;ר' רונן</vt:lpwstr>
  </property>
  <property fmtid="{D5CDD505-2E9C-101B-9397-08002B2CF9AE}" pid="14" name="LAWLISTTMP1">
    <vt:lpwstr>70301/348.b:2;345.b.1;345.a.1;355.a:4;355;40ja.9;355.b</vt:lpwstr>
  </property>
  <property fmtid="{D5CDD505-2E9C-101B-9397-08002B2CF9AE}" pid="15" name="LAWLISTTMP2">
    <vt:lpwstr>74903/057a.a</vt:lpwstr>
  </property>
  <property fmtid="{D5CDD505-2E9C-101B-9397-08002B2CF9AE}" pid="16" name="LAWYER">
    <vt:lpwstr>מסעד מסעד;דני בר דוד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1446;1446;1446;1446;1446;1446</vt:lpwstr>
  </property>
  <property fmtid="{D5CDD505-2E9C-101B-9397-08002B2CF9AE}" pid="49" name="NOSE31">
    <vt:lpwstr>עונשי מינימום</vt:lpwstr>
  </property>
  <property fmtid="{D5CDD505-2E9C-101B-9397-08002B2CF9AE}" pid="50" name="NOSE310">
    <vt:lpwstr/>
  </property>
  <property fmtid="{D5CDD505-2E9C-101B-9397-08002B2CF9AE}" pid="51" name="NOSE32">
    <vt:lpwstr>מתחם הענישה</vt:lpwstr>
  </property>
  <property fmtid="{D5CDD505-2E9C-101B-9397-08002B2CF9AE}" pid="52" name="NOSE33">
    <vt:lpwstr>מדיניות ענישה: עבירות מין בקטינים</vt:lpwstr>
  </property>
  <property fmtid="{D5CDD505-2E9C-101B-9397-08002B2CF9AE}" pid="53" name="NOSE34">
    <vt:lpwstr>מדיניות ענישה: שיקולים לקולה</vt:lpwstr>
  </property>
  <property fmtid="{D5CDD505-2E9C-101B-9397-08002B2CF9AE}" pid="54" name="NOSE35">
    <vt:lpwstr>מדיניות ענישה: שיקולים לחומרה</vt:lpwstr>
  </property>
  <property fmtid="{D5CDD505-2E9C-101B-9397-08002B2CF9AE}" pid="55" name="NOSE36">
    <vt:lpwstr>דרכי ענישה: מאסר-על-תנאי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9000;14985;16970;8996;8995;8960</vt:lpwstr>
  </property>
  <property fmtid="{D5CDD505-2E9C-101B-9397-08002B2CF9AE}" pid="60" name="PADIDATE">
    <vt:lpwstr>20230711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8500;8655</vt:lpwstr>
  </property>
  <property fmtid="{D5CDD505-2E9C-101B-9397-08002B2CF9AE}" pid="66" name="PROCYEAR">
    <vt:lpwstr>22;22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410120230710</vt:lpwstr>
  </property>
  <property fmtid="{D5CDD505-2E9C-101B-9397-08002B2CF9AE}" pid="70" name="TYPE_N_DATE">
    <vt:lpwstr>41020230710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