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8515/17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13168-12-16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יחיאל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18"/>
                <w:sz w:val="18"/>
                <w:szCs w:val="24"/>
                <w:rtl w:val="true"/>
              </w:rPr>
              <w:t>כ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ט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בתשרי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התשע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ט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Cs w:val="24"/>
                <w:rtl w:val="true"/>
              </w:rPr>
              <w:t>(</w:t>
            </w:r>
            <w:r>
              <w:rPr>
                <w:sz w:val="18"/>
                <w:szCs w:val="24"/>
              </w:rPr>
              <w:t>8.10.2018</w:t>
            </w:r>
            <w:r>
              <w:rPr>
                <w:sz w:val="18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איילת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תדהר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העונשין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מאסר על תנאי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ערעור על חומרת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הפעלת 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 על המערער בגין הרשעתו בתקיפת קשישה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חומרת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 הנוהגת בעבירות שוד קשישים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 הפלילי המכביד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המשך פעילותו העבריינית והסלמתה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המאסרים המותנים התלויים ועומדים נגדו והעדר אופק 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נגד קשישים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יחד עם אחר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של קשירת קשר לביצוע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שוד בנסיבות מחמירות ותקיפת זקן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השית על המערער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הפעלת שני מאסרים על תנאי במצטבר אחד לשני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ובחפיפה חלקית לעונש המאסר שהוטל כך שהמערער ירצה מאסר לתקופה כוללת של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כמו כן הוטלו על המערער עונשים נלווים של מאסרים מותנים והוא חויב בתשלום פיצויים למתלוננת בסך של 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הנשיאה חיות והשופטת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חולק כי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ועוד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הינו חמור וקשה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הולם את נסיבות 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בביצוע עבירות חמורות של שוד בנסיבות מחמירות ותקיפת זקן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העונש המירבי הקבוע בצדה של עבירת השוד בנסיבות מחמירות הינו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והאחר קשרו קשר לשדוד קשישה בת </w:t>
      </w:r>
      <w:r>
        <w:rPr>
          <w:rFonts w:cs="Times New Roman" w:ascii="Times New Roman" w:hAnsi="Times New Roman"/>
          <w:spacing w:val="0"/>
          <w:sz w:val="24"/>
          <w:szCs w:val="26"/>
        </w:rPr>
        <w:t>89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בחרו בקרבנם במודע בשל חולשתה ופגיעותה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בתכנון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ההגנה לפיה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התחשב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חלוקת התפקידים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בינו לבין האחר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המערער לא נטל חלק בתקיפת הקשישה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שהטיעון העובדתי נכון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הוא נכון מבחינה משפטית וערכית בהקשר לחלוקת האשם המוסרי בביצוע עברייני המתבצע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תכנית עבריינית שבה משתתף יותר מאשר מבצע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חולקים מבצעי העבירה בצוותא בתפקידים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האחר הפיל וריתק את הקשישה ובכך אפשר למערער לבצע 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בחיפוש אחר דברי ערך בדירתה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שניהם מבצעים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ומידת אשמם המוסרי שווה ולא היה מקום לאבחן ביניהם בקביעת מידת האשם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ההגנה כי האלימות שהופעלה לא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יתה ברף העליון נשקלה לקולא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עדיין מדובר באלימות קשה ופוטנציאל הנזק היה גדול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שבעת ביצוע המעשה היה בן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וחודשיים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קלות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 למערער עבר פלילי מכביד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ועונשי מאסר בפועל ועונשי מאסר מותנים לא הרתיעו אותו מלשוב ולהסתבך בעבירות נשוא תיק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 קצר בלבד לאחר שחרורו ממאסרו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ההגנה בדבר חשיפת המאסר המותנה ביוזמת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משהובא לידיעת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דבר קיומה של הרשעת המערער בתיק נשוא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מפאת שגגת המשיבה לא הוצג בפניו גזר הדין בו הוטל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 עשה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שבדק את מכלול התיק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גזר הדין המשלים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שמאסר זה נחשף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בטרם נגזר דינו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סייעה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לראות את התמונה במלואה וכך לשקול את מכלול הנסיבות בגזירת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מבלי חשיפת קיומו של המאסר המותנה בטרם גזירת הדין לא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יתה כל מניעה להפעלתו גם לאחר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חומרת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 הנוהגת בעבירות שוד קשישים המצדדת בהטלת ענישה ממשית ומרתיעה הכוללת רכיב משמעותי של 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 הפלילי המכביד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המשך פעילותו העבריינית והסלמתה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המאסרים המותנים התלויים ועומדים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והעדר אופק 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נפלה שגגה בגזירת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13168-12-16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19.9.2017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ביום </w:t>
      </w:r>
      <w:r>
        <w:rPr/>
        <w:t>22.5.2017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יחד עם 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tl w:val="true"/>
        </w:rPr>
        <w:t>לאחר ניהול הליך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קשירת קשר לביצוע פשע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שוד בנסיבות מחמירות לפי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יחד עם 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ותקיפת זקן לפי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368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יחד עם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1929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המתגוררת לבדה בדירת חדר בקומת קרקע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והאחר הגיעו לדירתה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דפקו על דלת דירתה וביקשו ממנה 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פתחה את הדלת ופנתה להביא להם 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 תקף אותה האחר בכך שהפילה על הרצפה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החזיק בה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מגבת מהדירה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הניח אותה על 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ובאמצעותה סתם את פיה ואפה כדי שלא תצעק והורה לה לא לצעוק ולא להתקשר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האחר המשיך וריתק את המתלוננת לרצפה במשך כעשרים דקות כשהוא אוחז בגופה ומניח בכוח את ברכו על רגלה הימנית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בזמן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חיטט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זרק חפצים וזרע בה אי סדר עד שמצא מזומנים בסך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ושטר של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אותם גנב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והאחר נמלטו מהדירה תוך שהם מורים למתלוננת לא לזוז ולהתקשר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לאחר כעשר דקות קמה המתלוננת מהרצפה והזעיקה עזרה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כתוצאה מהאמור סבלה המתלוננת מכאבים ומסימנים כחולים ברגליה למשך מספר ימים וכן סבלה מכאבי ראש משום תחושת החנק שנגרמה 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17.9.2017</w:t>
      </w:r>
      <w:r>
        <w:rPr>
          <w:rtl w:val="true"/>
        </w:rPr>
        <w:t xml:space="preserve"> </w:t>
      </w:r>
      <w:r>
        <w:rPr>
          <w:rtl w:val="true"/>
        </w:rPr>
        <w:t>גזר בית המשפט את דינו של המערער והטיל עליו את העונשים הבאים</w:t>
      </w:r>
      <w:r>
        <w:rPr>
          <w:rtl w:val="true"/>
        </w:rPr>
        <w:t xml:space="preserve">: </w:t>
      </w:r>
      <w:r>
        <w:rPr>
          <w:rtl w:val="true"/>
        </w:rPr>
        <w:t>שבע 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הפעלת שני מאסרים על תנאי </w:t>
      </w:r>
      <w:r>
        <w:rPr>
          <w:rtl w:val="true"/>
        </w:rPr>
        <w:t>–</w:t>
      </w:r>
      <w:r>
        <w:rPr>
          <w:rtl w:val="true"/>
        </w:rPr>
        <w:t xml:space="preserve"> האחד בן שנתיים והשני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במצטבר אחד לשני</w:t>
      </w:r>
      <w:r>
        <w:rPr>
          <w:rtl w:val="true"/>
        </w:rPr>
        <w:t xml:space="preserve">, </w:t>
      </w:r>
      <w:r>
        <w:rPr>
          <w:rtl w:val="true"/>
        </w:rPr>
        <w:t xml:space="preserve">ובחפיפה חלקית לעונש המאסר שהוטל כך שהמערער ירצה מאסר לתקופה כוללת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כמו כן הוטלו על המערער עונשים נלווים של מאסרים מותנים והוא חויב בתשלום פיצויים למתלוננת בסכום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בבואו לקבוע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ציין בית המשפט כי הערכים החברתיים שנפגעו הם ערכים של שלמות הגוף</w:t>
      </w:r>
      <w:r>
        <w:rPr>
          <w:rtl w:val="true"/>
        </w:rPr>
        <w:t xml:space="preserve">, </w:t>
      </w:r>
      <w:r>
        <w:rPr>
          <w:rtl w:val="true"/>
        </w:rPr>
        <w:t>הבטחון האישי והשמירה על רכוש הציבור</w:t>
      </w:r>
      <w:r>
        <w:rPr>
          <w:rtl w:val="true"/>
        </w:rPr>
        <w:t xml:space="preserve">. </w:t>
      </w:r>
      <w:r>
        <w:rPr>
          <w:rtl w:val="true"/>
        </w:rPr>
        <w:t>נקבע כי הפגיעה בערכים אלה הייתה גבוהה</w:t>
      </w:r>
      <w:r>
        <w:rPr>
          <w:rtl w:val="true"/>
        </w:rPr>
        <w:t xml:space="preserve">. </w:t>
      </w:r>
      <w:r>
        <w:rPr>
          <w:rtl w:val="true"/>
        </w:rPr>
        <w:t>לחומרה ציין בית המשפט את הנסיבות הבאות</w:t>
      </w:r>
      <w:r>
        <w:rPr>
          <w:rtl w:val="true"/>
        </w:rPr>
        <w:t xml:space="preserve">: </w:t>
      </w:r>
      <w:r>
        <w:rPr>
          <w:rtl w:val="true"/>
        </w:rPr>
        <w:t>המערער והאחר שניהם צעירים חסונים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כבן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וחודשיים בעת ביצוע המעשים והאחר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והם ביצעו את מעשה השוד לאחר תכנון מוקדם ובחירת קורבן חלש</w:t>
      </w:r>
      <w:r>
        <w:rPr>
          <w:rtl w:val="true"/>
        </w:rPr>
        <w:t xml:space="preserve">, </w:t>
      </w:r>
      <w:r>
        <w:rPr>
          <w:rtl w:val="true"/>
        </w:rPr>
        <w:t>קשישה המתגוררת בגפה</w:t>
      </w:r>
      <w:r>
        <w:rPr>
          <w:rtl w:val="true"/>
        </w:rPr>
        <w:t xml:space="preserve">. </w:t>
      </w:r>
      <w:r>
        <w:rPr>
          <w:rtl w:val="true"/>
        </w:rPr>
        <w:t>נסיבת חומרה נוספת נובעת ממידת האלימות שהופעלה כאשר המתלוננת הוטלה על הרצפה</w:t>
      </w:r>
      <w:r>
        <w:rPr>
          <w:rtl w:val="true"/>
        </w:rPr>
        <w:t xml:space="preserve">, </w:t>
      </w:r>
      <w:r>
        <w:rPr>
          <w:rtl w:val="true"/>
        </w:rPr>
        <w:t>רותקה</w:t>
      </w:r>
      <w:r>
        <w:rPr>
          <w:rtl w:val="true"/>
        </w:rPr>
        <w:t xml:space="preserve">, </w:t>
      </w:r>
      <w:r>
        <w:rPr>
          <w:rtl w:val="true"/>
        </w:rPr>
        <w:t>ופיה ואפה כוסו במגבת</w:t>
      </w:r>
      <w:r>
        <w:rPr>
          <w:rtl w:val="true"/>
        </w:rPr>
        <w:t xml:space="preserve">. </w:t>
      </w:r>
      <w:r>
        <w:rPr>
          <w:rtl w:val="true"/>
        </w:rPr>
        <w:t>לקולא צוין שבמהלך השוד לא נעשה שימוש בנשק קר ומידת האלימות הישירה לא הייתה ברף הגבוה</w:t>
      </w:r>
      <w:r>
        <w:rPr>
          <w:rtl w:val="true"/>
        </w:rPr>
        <w:t xml:space="preserve">. </w:t>
      </w:r>
      <w:r>
        <w:rPr>
          <w:rtl w:val="true"/>
        </w:rPr>
        <w:t>בית המשפט עמד על חומרתן של עבירות שוד קשישים וההכרח בהטלת ענישה ממשית ומרתיעה כזו שתכלול רכיב של מאסר משמעותי מאחורי סורג ובריח</w:t>
      </w:r>
      <w:r>
        <w:rPr>
          <w:rtl w:val="true"/>
        </w:rPr>
        <w:t xml:space="preserve">. </w:t>
      </w:r>
      <w:r>
        <w:rPr>
          <w:rtl w:val="true"/>
        </w:rPr>
        <w:t>לאחר בחינת מדיניות הענישה הנוהגת ובהתחשב בנסיבות החומרה והקולא כפי שפורטו לעיל</w:t>
      </w:r>
      <w:r>
        <w:rPr>
          <w:rtl w:val="true"/>
        </w:rPr>
        <w:t xml:space="preserve">, </w:t>
      </w:r>
      <w:r>
        <w:rPr>
          <w:rtl w:val="true"/>
        </w:rPr>
        <w:t>קבע בית המשפט מתחם עונש ראוי הנע בין חמש שנות מאסר לשמונה שנות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בקביעת העונש ההולם בתוך המתחם</w:t>
      </w:r>
      <w:r>
        <w:rPr>
          <w:rtl w:val="true"/>
        </w:rPr>
        <w:t xml:space="preserve">, </w:t>
      </w:r>
      <w:r>
        <w:rPr>
          <w:rtl w:val="true"/>
        </w:rPr>
        <w:t>התחשב בית המשפט בגילו הצעיר של המערער ובנסיבותיו האישיות שאינן מן הקלות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 את חומרת המעשה שבוצע לאחר תכנון מוקדם כלפי קורבן מוחלש</w:t>
      </w:r>
      <w:r>
        <w:rPr>
          <w:rtl w:val="true"/>
        </w:rPr>
        <w:t xml:space="preserve">, </w:t>
      </w:r>
      <w:r>
        <w:rPr>
          <w:rtl w:val="true"/>
        </w:rPr>
        <w:t xml:space="preserve">קשישה בת </w:t>
      </w:r>
      <w:r>
        <w:rPr/>
        <w:t>89</w:t>
      </w:r>
      <w:r>
        <w:rPr>
          <w:rtl w:val="true"/>
        </w:rPr>
        <w:t xml:space="preserve">, </w:t>
      </w:r>
      <w:r>
        <w:rPr>
          <w:rtl w:val="true"/>
        </w:rPr>
        <w:t>שאת חולשתה ניצלו הוא והאחר</w:t>
      </w:r>
      <w:r>
        <w:rPr>
          <w:rtl w:val="true"/>
        </w:rPr>
        <w:t xml:space="preserve">, </w:t>
      </w:r>
      <w:r>
        <w:rPr>
          <w:rtl w:val="true"/>
        </w:rPr>
        <w:t>תוך הפעלת אלימות קשה כלפיה</w:t>
      </w:r>
      <w:r>
        <w:rPr>
          <w:rtl w:val="true"/>
        </w:rPr>
        <w:t xml:space="preserve">. </w:t>
      </w:r>
      <w:r>
        <w:rPr>
          <w:rtl w:val="true"/>
        </w:rPr>
        <w:t>עוד שקל בית המשפט את עברו הפלילי העשיר של המערער שכולל עבירות 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וסדר ציבורי וריצוי מספר עונשי מאסר לתקופות משתנות</w:t>
      </w:r>
      <w:r>
        <w:rPr>
          <w:rtl w:val="true"/>
        </w:rPr>
        <w:t xml:space="preserve">. </w:t>
      </w:r>
      <w:r>
        <w:rPr>
          <w:rtl w:val="true"/>
        </w:rPr>
        <w:t>עוד ציין בית המשפט כי אין זו הפעם הראשונה שהמערער הורשע בביצוע שוד אלים בנסיבות מחמירות</w:t>
      </w:r>
      <w:r>
        <w:rPr>
          <w:rtl w:val="true"/>
        </w:rPr>
        <w:t xml:space="preserve">, </w:t>
      </w:r>
      <w:r>
        <w:rPr>
          <w:rtl w:val="true"/>
        </w:rPr>
        <w:t>משהורשע בעבר בעבירות של שוד בנסיבות מחמירות ופציעה בנסיבות מחמירות לאחר ששדד אדם בכך שהצמיד סכין לגרונו וחתך את פניו</w:t>
      </w:r>
      <w:r>
        <w:rPr>
          <w:rtl w:val="true"/>
        </w:rPr>
        <w:t xml:space="preserve">. </w:t>
      </w:r>
      <w:r>
        <w:rPr>
          <w:rtl w:val="true"/>
        </w:rPr>
        <w:t>עוד צוינו המאסרים המותנים העומדים לחובתו</w:t>
      </w:r>
      <w:r>
        <w:rPr>
          <w:rtl w:val="true"/>
        </w:rPr>
        <w:t xml:space="preserve">, </w:t>
      </w:r>
      <w:r>
        <w:rPr>
          <w:rtl w:val="true"/>
        </w:rPr>
        <w:t>אחד מהם לתקופה משמעותית ביותר</w:t>
      </w:r>
      <w:r>
        <w:rPr>
          <w:rtl w:val="true"/>
        </w:rPr>
        <w:t xml:space="preserve">, </w:t>
      </w:r>
      <w:r>
        <w:rPr>
          <w:rtl w:val="true"/>
        </w:rPr>
        <w:t>כשאת מעשה העבירה כאן הוא ביצע זמן קצר יחסית לאחר שחרורו ממאסר</w:t>
      </w:r>
      <w:r>
        <w:rPr>
          <w:rtl w:val="true"/>
        </w:rPr>
        <w:t xml:space="preserve">. </w:t>
      </w:r>
      <w:r>
        <w:rPr>
          <w:rtl w:val="true"/>
        </w:rPr>
        <w:t>עוד שקל בית המשפט את המסוכנות הגבוהה הנשקפת מהמערער לשוב ולבצע עבירות</w:t>
      </w:r>
      <w:r>
        <w:rPr>
          <w:rtl w:val="true"/>
        </w:rPr>
        <w:t xml:space="preserve">, </w:t>
      </w:r>
      <w:r>
        <w:rPr>
          <w:rtl w:val="true"/>
        </w:rPr>
        <w:t>כעולה מתסקיר שירות המבחן</w:t>
      </w:r>
      <w:r>
        <w:rPr>
          <w:rtl w:val="true"/>
        </w:rPr>
        <w:t xml:space="preserve">; </w:t>
      </w:r>
      <w:r>
        <w:rPr>
          <w:rtl w:val="true"/>
        </w:rPr>
        <w:t>כפירתו</w:t>
      </w:r>
      <w:r>
        <w:rPr>
          <w:rtl w:val="true"/>
        </w:rPr>
        <w:t xml:space="preserve">; </w:t>
      </w:r>
      <w:r>
        <w:rPr>
          <w:rtl w:val="true"/>
        </w:rPr>
        <w:t>ניהול משפט</w:t>
      </w:r>
      <w:r>
        <w:rPr>
          <w:rtl w:val="true"/>
        </w:rPr>
        <w:t xml:space="preserve">; </w:t>
      </w:r>
      <w:r>
        <w:rPr>
          <w:rtl w:val="true"/>
        </w:rPr>
        <w:t>והיעדר לקיחת אחריות</w:t>
      </w:r>
      <w:r>
        <w:rPr>
          <w:rtl w:val="true"/>
        </w:rPr>
        <w:t xml:space="preserve">. </w:t>
      </w:r>
      <w:r>
        <w:rPr>
          <w:rtl w:val="true"/>
        </w:rPr>
        <w:t>בהינתן המכלול האמור</w:t>
      </w:r>
      <w:r>
        <w:rPr>
          <w:rtl w:val="true"/>
        </w:rPr>
        <w:t xml:space="preserve">, </w:t>
      </w:r>
      <w:r>
        <w:rPr>
          <w:rtl w:val="true"/>
        </w:rPr>
        <w:t xml:space="preserve">מיקם בית המשפט את המערער קרוב לקצהו העליון של המתחם שנקבע והפעיל את המאסרים המותנים כפי שצוין בפסקה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 כך שסך הכל</w:t>
      </w:r>
      <w:r>
        <w:rPr>
          <w:rtl w:val="true"/>
        </w:rPr>
        <w:t xml:space="preserve">, </w:t>
      </w:r>
      <w:r>
        <w:rPr>
          <w:rtl w:val="true"/>
        </w:rPr>
        <w:t>נגזר על המערער עונש מאסר כולל של שמונה שנים ושלושה חודשים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כי העונש שהוטל עליו חמור יתר על המידה</w:t>
      </w:r>
      <w:r>
        <w:rPr>
          <w:rtl w:val="true"/>
        </w:rPr>
        <w:t xml:space="preserve">, </w:t>
      </w:r>
      <w:r>
        <w:rPr>
          <w:rtl w:val="true"/>
        </w:rPr>
        <w:t>חורג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וכי המתחם ממנו נגזר העונש אף הוא גבוה בהתחשב בנסיבות המעשה ונסיבותיו האישיות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משזה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כשחלקו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22500-02-15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המותנה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באשמו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חבירה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כספה</w:t>
      </w:r>
      <w:r>
        <w:rPr>
          <w:rtl w:val="true"/>
        </w:rPr>
        <w:t xml:space="preserve">, </w:t>
      </w:r>
      <w:r>
        <w:rPr>
          <w:rtl w:val="true"/>
        </w:rPr>
        <w:t>כשלמעשה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, </w:t>
      </w:r>
      <w:r>
        <w:rPr>
          <w:rtl w:val="true"/>
        </w:rPr>
        <w:t>הפלתה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וריתוקה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הסותמת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והחרטה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כשמן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והחמור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ופגיעותה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חולקים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תפקידו</w:t>
      </w:r>
      <w:r>
        <w:rPr>
          <w:rtl w:val="true"/>
        </w:rPr>
        <w:t xml:space="preserve">" </w:t>
      </w:r>
      <w:r>
        <w:rPr>
          <w:rtl w:val="true"/>
        </w:rPr>
        <w:t>בחיטוט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hanging="800" w:start="80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89</w:t>
      </w:r>
      <w:r>
        <w:rPr>
          <w:rtl w:val="true"/>
        </w:rPr>
        <w:t xml:space="preserve">, </w:t>
      </w:r>
      <w:r>
        <w:rPr>
          <w:rtl w:val="true"/>
        </w:rPr>
        <w:t>הפלתה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ריתוקה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כשלמזל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hanging="800" w:start="800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Ruller41"/>
        <w:ind w:hanging="800" w:start="800" w:end="0"/>
        <w:jc w:val="both"/>
        <w:rPr/>
      </w:pPr>
      <w:r>
        <w:rPr>
          <w:rtl w:val="true"/>
        </w:rPr>
      </w:r>
    </w:p>
    <w:p>
      <w:pPr>
        <w:pStyle w:val="Ruller41"/>
        <w:ind w:hanging="800" w:start="800"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הפרוגנוזה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בהפרדה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hanging="800" w:start="800" w:end="0"/>
        <w:jc w:val="both"/>
        <w:rPr/>
      </w:pPr>
      <w:r>
        <w:rPr>
          <w:rtl w:val="true"/>
        </w:rPr>
        <w:tab/>
      </w: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משהובא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סייעה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בשקילת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יתרתו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ובריח</w:t>
      </w:r>
      <w:r>
        <w:rPr>
          <w:rtl w:val="true"/>
        </w:rPr>
        <w:t>"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)),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והסלמתה</w:t>
      </w:r>
      <w:r>
        <w:rPr>
          <w:rtl w:val="true"/>
        </w:rPr>
        <w:t xml:space="preserve">, </w:t>
      </w:r>
      <w:r>
        <w:rPr>
          <w:rtl w:val="true"/>
        </w:rPr>
        <w:t>המאסרים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24.10.2018</w:t>
      </w:r>
      <w:r>
        <w:rPr>
          <w:rtl w:val="true"/>
        </w:rPr>
        <w:t xml:space="preserve">).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16" w:name="Start_Write"/>
      <w:bookmarkEnd w:id="16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17085150</w:t>
      </w:r>
      <w:r>
        <w:rPr>
          <w:sz w:val="16"/>
          <w:rtl w:val="true"/>
        </w:rPr>
        <w:t>_</w:t>
      </w:r>
      <w:r>
        <w:rPr>
          <w:sz w:val="16"/>
        </w:rPr>
        <w:t>Q06.doc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54678313-8515/17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8515/17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3163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68f.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1552" TargetMode="External"/><Relationship Id="rId9" Type="http://schemas.openxmlformats.org/officeDocument/2006/relationships/hyperlink" Target="http://www.nevo.co.il/case/21731637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68f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case/20019560" TargetMode="External"/><Relationship Id="rId17" Type="http://schemas.openxmlformats.org/officeDocument/2006/relationships/hyperlink" Target="http://www.nevo.co.il/law/71552" TargetMode="External"/><Relationship Id="rId18" Type="http://schemas.openxmlformats.org/officeDocument/2006/relationships/hyperlink" Target="http://www.nevo.co.il/case/13083699" TargetMode="External"/><Relationship Id="rId19" Type="http://schemas.openxmlformats.org/officeDocument/2006/relationships/hyperlink" Target="https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2018-10-25T11:14:00Z</dcterms:created>
  <dc:creator> </dc:creator>
  <dc:description/>
  <cp:keywords/>
  <dc:language>en-IL</dc:language>
  <cp:lastModifiedBy>orly</cp:lastModifiedBy>
  <cp:lastPrinted>2018-10-22T16:15:00Z</cp:lastPrinted>
  <dcterms:modified xsi:type="dcterms:W3CDTF">2018-10-25T11:14:00Z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21731637:2;20019560;13083699</vt:lpwstr>
  </property>
  <property fmtid="{D5CDD505-2E9C-101B-9397-08002B2CF9AE}" pid="9" name="CITY">
    <vt:lpwstr/>
  </property>
  <property fmtid="{D5CDD505-2E9C-101B-9397-08002B2CF9AE}" pid="10" name="DATE">
    <vt:lpwstr>20181024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ארז;ג' קרא;א' חיות</vt:lpwstr>
  </property>
  <property fmtid="{D5CDD505-2E9C-101B-9397-08002B2CF9AE}" pid="14" name="LAWLISTTMP1">
    <vt:lpwstr>70301/499.a.1;402.b;029:2;368f.a</vt:lpwstr>
  </property>
  <property fmtid="{D5CDD505-2E9C-101B-9397-08002B2CF9AE}" pid="15" name="LAWLISTTMP2">
    <vt:lpwstr>71552</vt:lpwstr>
  </property>
  <property fmtid="{D5CDD505-2E9C-101B-9397-08002B2CF9AE}" pid="16" name="LAWYER">
    <vt:lpwstr>שירות המבחן הדר פרנקל;איילת תדהר;לימור יצחק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שותפים לעבירה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1446;1446;1451</vt:lpwstr>
  </property>
  <property fmtid="{D5CDD505-2E9C-101B-9397-08002B2CF9AE}" pid="49" name="NOSE31">
    <vt:lpwstr>מדיניות ענישה: עבירות נגד קשישים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מבצע בצוותא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14903;8994;9034</vt:lpwstr>
  </property>
  <property fmtid="{D5CDD505-2E9C-101B-9397-08002B2CF9AE}" pid="60" name="PADIDATE">
    <vt:lpwstr>20181025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8515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410120181024</vt:lpwstr>
  </property>
  <property fmtid="{D5CDD505-2E9C-101B-9397-08002B2CF9AE}" pid="70" name="TYPE_N_DATE">
    <vt:lpwstr>41020181024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