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;Malgun Gothic Semilight"/>
          <w:b/>
          <w:bCs/>
        </w:rPr>
      </w:pPr>
      <w:r>
        <w:rPr>
          <w:rFonts w:cs="Miriam;Malgun Gothic Semilight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8534/20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/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669</w:t>
            </w:r>
            <w:r>
              <w:rPr>
                <w:sz w:val="28"/>
                <w:szCs w:val="28"/>
              </w:rPr>
              <w:t>/20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8742/20</w:t>
            </w:r>
          </w:p>
        </w:tc>
      </w:tr>
    </w:tbl>
    <w:p>
      <w:pPr>
        <w:pStyle w:val="Normal"/>
        <w:ind w:end="0"/>
        <w:jc w:val="end"/>
        <w:rPr>
          <w:rFonts w:cs="Miriam;Malgun Gothic Semilight"/>
          <w:b/>
          <w:bCs/>
        </w:rPr>
      </w:pPr>
      <w:r>
        <w:rPr>
          <w:rFonts w:cs="Miriam;Malgun Gothic Semilight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;Malgun Gothic Semilight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</w:tbl>
    <w:p>
      <w:pPr>
        <w:pStyle w:val="Ruller31"/>
        <w:ind w:end="0"/>
        <w:jc w:val="start"/>
        <w:rPr>
          <w:rFonts w:cs="Miriam;Malgun Gothic Semilight"/>
          <w:b/>
          <w:bCs/>
        </w:rPr>
      </w:pPr>
      <w:r>
        <w:rPr>
          <w:rFonts w:cs="Miriam;Malgun Gothic Semilight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bookmarkStart w:id="3" w:name="FirstAppellant"/>
            <w:bookmarkEnd w:id="3"/>
            <w:r>
              <w:rPr>
                <w:rFonts w:ascii="David;Malgun Gothic Semilight" w:hAnsi="David;Malgun Gothic Semilight"/>
                <w:rtl w:val="true"/>
              </w:rPr>
              <w:t>המערער</w:t>
            </w:r>
            <w:r>
              <w:rPr>
                <w:rFonts w:ascii="David;Malgun Gothic Semilight" w:hAnsi="David;Malgun Gothic Semilight"/>
                <w:rtl w:val="true"/>
              </w:rPr>
              <w:t xml:space="preserve"> </w:t>
            </w:r>
            <w:r>
              <w:rPr>
                <w:rFonts w:ascii="David;Malgun Gothic Semilight" w:hAnsi="David;Malgun Gothic Semilight"/>
                <w:rtl w:val="true"/>
              </w:rPr>
              <w:t>ע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"</w:t>
            </w:r>
            <w:r>
              <w:rPr>
                <w:rFonts w:ascii="David;Malgun Gothic Semilight" w:hAnsi="David;Malgun Gothic Semilight"/>
                <w:rtl w:val="true"/>
              </w:rPr>
              <w:t xml:space="preserve">פ </w:t>
            </w:r>
            <w:r>
              <w:rPr>
                <w:rFonts w:cs="David;Malgun Gothic Semilight" w:ascii="David;Malgun Gothic Semilight" w:hAnsi="David;Malgun Gothic Semilight"/>
              </w:rPr>
              <w:t>6534/20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נאיף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זניד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5133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8669/20</w:t>
            </w:r>
            <w:r>
              <w:rPr>
                <w:rtl w:val="true"/>
              </w:rPr>
              <w:t>:</w:t>
            </w:r>
          </w:p>
        </w:tc>
        <w:tc>
          <w:tcPr>
            <w:tcW w:w="513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עייאש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אלדנפירי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1"/>
        <w:gridCol w:w="5132"/>
      </w:tblGrid>
      <w:tr>
        <w:trPr/>
        <w:tc>
          <w:tcPr>
            <w:tcW w:w="323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8742/20</w:t>
            </w:r>
            <w:r>
              <w:rPr>
                <w:rtl w:val="true"/>
              </w:rPr>
              <w:t>:</w:t>
            </w:r>
          </w:p>
        </w:tc>
        <w:tc>
          <w:tcPr>
            <w:tcW w:w="513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עדיסאן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r>
              <w:rPr>
                <w:rFonts w:ascii="David;Malgun Gothic Semilight" w:hAnsi="David;Malgun Gothic Semilight"/>
                <w:rtl w:val="true"/>
              </w:rPr>
              <w:t>המשיב</w:t>
            </w:r>
            <w:r>
              <w:rPr>
                <w:rFonts w:ascii="David;Malgun Gothic Semilight" w:hAnsi="David;Malgun Gothic Semilight"/>
                <w:rtl w:val="true"/>
              </w:rPr>
              <w:t>ה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>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אר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.11.2020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11750-07-19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ליבדרו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בסיון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24.5.2021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8534/20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יוסי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לין</w:t>
            </w:r>
          </w:p>
        </w:tc>
      </w:tr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8669/20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אסתר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ציון</w:t>
            </w:r>
          </w:p>
        </w:tc>
      </w:tr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8742/20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סיף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ותד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מורן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קולמן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5133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tl w:val="true"/>
              </w:rPr>
              <w:t>:</w:t>
            </w:r>
          </w:p>
        </w:tc>
        <w:tc>
          <w:tcPr>
            <w:tcW w:w="513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r>
        <w:rPr>
          <w:rFonts w:cs="FrankRuehl;Times New Roman" w:ascii="FrankRuehl;Times New Roman" w:hAnsi="FrankRuehl;Times New Roman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bookmarkStart w:id="5" w:name="LawTable"/>
      <w:bookmarkEnd w:id="5"/>
      <w:r>
        <w:rPr>
          <w:rFonts w:ascii="FrankRuehl;Times New Roman" w:hAnsi="FrankRuehl;Times New Roman" w:cs="FrankRuehl;Times New Roman"/>
          <w:sz w:val="24"/>
          <w:sz w:val="24"/>
          <w:rtl w:val="true"/>
        </w:rPr>
        <w:t>חקיקה שאוזכרה</w:t>
      </w:r>
      <w:r>
        <w:rPr>
          <w:rFonts w:cs="FrankRuehl;Times New Roman" w:ascii="FrankRuehl;Times New Roman" w:hAnsi="FrankRuehl;Times New Roman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color w:val="0000FF"/>
          <w:sz w:val="24"/>
        </w:rPr>
      </w:pPr>
      <w:hyperlink r:id="rId3"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 xml:space="preserve">פקודת הסמים המסוכנים 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[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נוסח חדש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ג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1973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7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א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5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7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ג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6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13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color w:val="0000FF"/>
          <w:sz w:val="24"/>
        </w:rPr>
      </w:pPr>
      <w:hyperlink r:id="rId7"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 xml:space="preserve">פקודת התעבורה 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[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נוסח חדש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]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'  </w:t>
      </w:r>
      <w:hyperlink r:id="rId8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43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9"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1977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'  </w:t>
      </w:r>
      <w:hyperlink r:id="rId10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31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40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ט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cs="FrankRuehl;Times New Roman" w:ascii="FrankRuehl;Times New Roman" w:hAnsi="FrankRuehl;Times New Roman"/>
          <w:color w:val="0000FF"/>
          <w:sz w:val="24"/>
        </w:rPr>
        <w:t>6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12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382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א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ב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)(</w:t>
      </w:r>
      <w:r>
        <w:rPr>
          <w:rFonts w:cs="FrankRuehl;Times New Roman" w:ascii="FrankRuehl;Times New Roman" w:hAnsi="FrankRuehl;Times New Roman"/>
          <w:color w:val="0000FF"/>
          <w:sz w:val="24"/>
        </w:rPr>
        <w:t>1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13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382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א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ב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)(</w:t>
      </w:r>
      <w:r>
        <w:rPr>
          <w:rFonts w:cs="FrankRuehl;Times New Roman" w:ascii="FrankRuehl;Times New Roman" w:hAnsi="FrankRuehl;Times New Roman"/>
          <w:color w:val="0000FF"/>
          <w:sz w:val="24"/>
        </w:rPr>
        <w:t>3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14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40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יא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cs="FrankRuehl;Times New Roman" w:ascii="FrankRuehl;Times New Roman" w:hAnsi="FrankRuehl;Times New Roman"/>
          <w:color w:val="0000FF"/>
          <w:sz w:val="24"/>
        </w:rPr>
        <w:t>1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auto" w:line="480"/>
        <w:ind w:end="0"/>
        <w:jc w:val="start"/>
        <w:rPr>
          <w:rFonts w:ascii="FrankRuehl;Times New Roman" w:hAnsi="FrankRuehl;Times New Roman" w:cs="FrankRuehl;Times New Roman"/>
          <w:color w:val="0000FF"/>
          <w:sz w:val="24"/>
        </w:rPr>
      </w:pP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8" w:name="ABSTRACT_START"/>
      <w:bookmarkEnd w:id="8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דחה ערעורים על חומרת העונשים שהושתו על המערערים בגין הרשעתם בייבוא סמים מסוג קנביס וחשיש בכמויות גדולות ממצרים לישראל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נפסק כי השיקולים הרלבנטיים הובאו כולם בחשבון בגזר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העונשים שהושתו על המערערים נותנים ביטוי למכלול שיקולי הענישה וכי לא קמה הצדקה להתערבות ערכאת הערעור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סחר בסמים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סמים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ערכאת ערעור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מתחם הענישה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ערעורים על גזר הדין של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שבגדרו נגזרו על המערער בע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Cs w:val="26"/>
        </w:rPr>
        <w:t>8534/20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- </w:t>
      </w:r>
      <w:r>
        <w:rPr>
          <w:rFonts w:ascii="Times New Roman" w:hAnsi="Times New Roman" w:cs="Times New Roman"/>
          <w:spacing w:val="0"/>
          <w:szCs w:val="26"/>
          <w:rtl w:val="true"/>
        </w:rPr>
        <w:t>נאיף זניד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cs="Times New Roman" w:ascii="Times New Roman" w:hAnsi="Times New Roman"/>
          <w:spacing w:val="0"/>
          <w:szCs w:val="26"/>
        </w:rPr>
        <w:t>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בניכוי ימי מעצרו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מאסר על תנאי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וקנס בסך </w:t>
      </w:r>
      <w:r>
        <w:rPr>
          <w:rFonts w:cs="Times New Roman" w:ascii="Times New Roman" w:hAnsi="Times New Roman"/>
          <w:spacing w:val="0"/>
          <w:szCs w:val="26"/>
        </w:rPr>
        <w:t>15,000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₪. </w:t>
      </w:r>
      <w:r>
        <w:rPr>
          <w:rFonts w:ascii="Times New Roman" w:hAnsi="Times New Roman" w:cs="Times New Roman"/>
          <w:spacing w:val="0"/>
          <w:szCs w:val="26"/>
          <w:rtl w:val="true"/>
        </w:rPr>
        <w:t>על המערער בע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Cs w:val="26"/>
        </w:rPr>
        <w:t>8669/20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עאייש אלדנפירי נגזרו </w:t>
      </w:r>
      <w:r>
        <w:rPr>
          <w:rFonts w:cs="Times New Roman" w:ascii="Times New Roman" w:hAnsi="Times New Roman"/>
          <w:spacing w:val="0"/>
          <w:szCs w:val="26"/>
        </w:rPr>
        <w:t>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בניכוי ימי מעצרו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וכן עונש מאסר על תנאי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תשלום קנס בסך </w:t>
      </w:r>
      <w:r>
        <w:rPr>
          <w:rFonts w:cs="Times New Roman" w:ascii="Times New Roman" w:hAnsi="Times New Roman"/>
          <w:spacing w:val="0"/>
          <w:szCs w:val="26"/>
        </w:rPr>
        <w:t>20,000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₪; </w:t>
      </w:r>
      <w:r>
        <w:rPr>
          <w:rFonts w:ascii="Times New Roman" w:hAnsi="Times New Roman" w:cs="Times New Roman"/>
          <w:spacing w:val="0"/>
          <w:szCs w:val="26"/>
          <w:rtl w:val="true"/>
        </w:rPr>
        <w:t>פסילת רישיון נהיגה למשך שנה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ותשלום פיצוי בסך </w:t>
      </w:r>
      <w:r>
        <w:rPr>
          <w:rFonts w:cs="Times New Roman" w:ascii="Times New Roman" w:hAnsi="Times New Roman"/>
          <w:spacing w:val="0"/>
          <w:szCs w:val="26"/>
        </w:rPr>
        <w:t>3,000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₪ </w:t>
      </w:r>
      <w:r>
        <w:rPr>
          <w:rFonts w:ascii="Times New Roman" w:hAnsi="Times New Roman" w:cs="Times New Roman"/>
          <w:spacing w:val="0"/>
          <w:szCs w:val="26"/>
          <w:rtl w:val="true"/>
        </w:rPr>
        <w:t>לנפגע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על המערער בע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Cs w:val="26"/>
        </w:rPr>
        <w:t>8742/20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בשיר עדיסאן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נגזרו </w:t>
      </w:r>
      <w:r>
        <w:rPr>
          <w:rFonts w:cs="Times New Roman" w:ascii="Times New Roman" w:hAnsi="Times New Roman"/>
          <w:spacing w:val="0"/>
          <w:szCs w:val="26"/>
        </w:rPr>
        <w:t>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בניכוי ימי מעצרו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וכן עונש מאסר על תנאי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תשלום קנס בסך </w:t>
      </w:r>
      <w:r>
        <w:rPr>
          <w:rFonts w:cs="Times New Roman" w:ascii="Times New Roman" w:hAnsi="Times New Roman"/>
          <w:spacing w:val="0"/>
          <w:szCs w:val="26"/>
        </w:rPr>
        <w:t>10,000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₪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ופסילת רישיון נהיגה למשך </w:t>
      </w:r>
      <w:r>
        <w:rPr>
          <w:rFonts w:cs="Times New Roman" w:ascii="Times New Roman" w:hAnsi="Times New Roman"/>
          <w:spacing w:val="0"/>
          <w:szCs w:val="26"/>
        </w:rPr>
        <w:t>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הרקע לגזר הדין הינו הרשעת המערערים בייבוא סמים מסוג קנביס וחשיש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בכמויות מסחריות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ממצרים לישראל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סולברג ובהסכמת השופטים מינץ ו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וילנר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הערעורים ופסק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התערבות ערכאת הערעור בגזר 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שמורה למצבים חריגים שבהם נפלה טעות מהותית בהחלטת הערכאה הדיונית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 שהעונש שגזרה חורג באופן קיצוני ממדיניות הענישה הנוהגת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המקרה דנן אינו בא בגדר אותם מצבים חריגים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ניתן להניח כי עונשי המערערים לא היו שונים באופן מהותי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לוּ היה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המחוזי מייחס להם הברחה של </w:t>
      </w:r>
      <w:r>
        <w:rPr>
          <w:rFonts w:cs="Times New Roman" w:ascii="Times New Roman" w:hAnsi="Times New Roman"/>
          <w:spacing w:val="0"/>
          <w:szCs w:val="26"/>
        </w:rPr>
        <w:t>230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ג 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rtl w:val="true"/>
        </w:rPr>
        <w:t>בלבד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', </w:t>
      </w:r>
      <w:r>
        <w:rPr>
          <w:rFonts w:ascii="Times New Roman" w:hAnsi="Times New Roman" w:cs="Times New Roman"/>
          <w:spacing w:val="0"/>
          <w:szCs w:val="26"/>
          <w:rtl w:val="true"/>
        </w:rPr>
        <w:t>חלף הברחה של כ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300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ג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כפי שייחס להם בטעות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המערערים השיגו על מתחם הענישה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אך טענות בדבר פגם שנפל בקביעת מתחם 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בהם כדי לחייב התערבות בעונש שנקבע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כל עוד אין בעונש שהושת משום סטייה קיצונית מרמת הענישה הראויה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גם לגוף הדברים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מתחם הענישה שנקבע הולם את מעשיהם החמורים של המערערים בתחום עבירות הסמים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ניכר כי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נטה חסד עם המערערים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ולא מיצה עמם את עומק הדין ואין הצדקה לקביעת רף תחתון נמוך יותר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טוב שבימ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שקל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כנסיבה מחמירה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את הסיכון הביטחוני הייחודי הנשקף מן ההברחות המתבצעות בגבול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הטענה כי בגילו הצעיר של נאיף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התחשב רק במסגרת קביעת העונש ההולם בתוך מתחם הענישה ולא בקביעת מתחם הענישה עצמו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ובכך סטה מהדין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נדחתה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כל שנקבע בסעיף </w:t>
      </w:r>
      <w:r>
        <w:rPr>
          <w:rFonts w:cs="Times New Roman" w:ascii="Times New Roman" w:hAnsi="Times New Roman"/>
          <w:spacing w:val="0"/>
          <w:szCs w:val="26"/>
        </w:rPr>
        <w:t>40</w:t>
      </w:r>
      <w:r>
        <w:rPr>
          <w:rFonts w:ascii="Times New Roman" w:hAnsi="Times New Roman" w:cs="Times New Roman"/>
          <w:spacing w:val="0"/>
          <w:szCs w:val="26"/>
          <w:rtl w:val="true"/>
        </w:rPr>
        <w:t>ט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cs="Times New Roman" w:ascii="Times New Roman" w:hAnsi="Times New Roman"/>
          <w:spacing w:val="0"/>
          <w:szCs w:val="26"/>
        </w:rPr>
        <w:t>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העונשין הוא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בעת קביעת מתחם העונש ההולם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 ליתן משקל ל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יכולתו של הנאשם להבין את אשר הוא עושה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את הפסול שבמעשהו או את משמעות מעשהו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לרבות בשל גילו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עסקינן בנאשם שבימ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התרשם כי הוא מודע למעשיו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מקום לייחס משקל כלשהו לגילו כבר בשלב קביעת מתחם העונש ההולם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לגבי נאשם כזה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 הגיל יובא בחשבון רק לאחר מכן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בעת גזירת העונש ההולם בתוך מתחם הענישה שנקבע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כמצוות סעיף </w:t>
      </w:r>
      <w:r>
        <w:rPr>
          <w:rFonts w:cs="Times New Roman" w:ascii="Times New Roman" w:hAnsi="Times New Roman"/>
          <w:spacing w:val="0"/>
          <w:szCs w:val="26"/>
        </w:rPr>
        <w:t>40</w:t>
      </w:r>
      <w:r>
        <w:rPr>
          <w:rFonts w:ascii="Times New Roman" w:hAnsi="Times New Roman" w:cs="Times New Roman"/>
          <w:spacing w:val="0"/>
          <w:szCs w:val="26"/>
          <w:rtl w:val="true"/>
        </w:rPr>
        <w:t>יא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העונשין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עוד נפסק כי נאיף לא סיפק כל הסבר מדוע כביכול בחר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להפחית ממשקלו של האישום השני בעניינו של עאייש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כדי להטיל עליו עונש חמור יותר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המחוזי לא יצר כל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הפרדה מלאכותית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בין עניינו של נאיף לעניינו של בשיר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ומי שיצר אותה הפרדה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אלו הם נאיף ובשיר עצמם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בהסכמתם להסדר הטיעון שנחתם בעניינם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נאיף החלטה להודות בביצוע העבירה עצמה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ואילו בשיר הודה רק בסיוע לעבירה ומכאן השוני ברמת הענישה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נאיף ועאייש נמלטו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למצער בתחילה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מכוחות הביטחון ולכן אין כל מקום להקלה בעונש בטענה כי לא נמלטו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ייחס משקל להודאתו של עאייש כנסיבה מקלה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נוכח הזמן השיפוטי שנחסך כתוצאה ממנה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אך משביקש עאייש לחזור בו מהודאתו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הפחית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את משקל ההודאה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שכן היא נעדרת חרטה ולקיחת אחריות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הנלוות במצב דברים רגיל להודאת הנאשם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יש בכך גם כדי להסביר מדוע קיים פער בענישה בין עאייש לנאיף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זאת בנוסף לגילו הצעיר של נאיף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ונסיבותיו האישיות המורכבות יותר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יש לבשיר מעורבות לא מבוטלת באירוע ההברחה והוא היה בשר מבשרה של חבורת המבריחים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כפסע היה בינו ובין הרשעה בעבירה גופה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ולא אך בסיוע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ואין מקום להקלה נוספת בעונשו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spacing w:lineRule="auto" w:line="480"/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;Malgun Gothic Semilight"/>
          <w:sz w:val="24"/>
          <w:szCs w:val="24"/>
          <w:u w:val="single"/>
        </w:rPr>
      </w:pPr>
      <w:bookmarkStart w:id="14" w:name="Writer_Name"/>
      <w:bookmarkEnd w:id="14"/>
      <w:r>
        <w:rPr>
          <w:rFonts w:cs="Miriam;Malgun Gothic Semilight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;Malgun Gothic Semilight"/>
          <w:sz w:val="24"/>
          <w:sz w:val="24"/>
          <w:szCs w:val="24"/>
          <w:u w:val="single"/>
          <w:rtl w:val="true"/>
        </w:rPr>
        <w:t>נ</w:t>
      </w:r>
      <w:r>
        <w:rPr>
          <w:rFonts w:cs="Miriam;Malgun Gothic Semilight"/>
          <w:sz w:val="24"/>
          <w:szCs w:val="24"/>
          <w:u w:val="single"/>
          <w:rtl w:val="true"/>
        </w:rPr>
        <w:t xml:space="preserve">' </w:t>
      </w:r>
      <w:r>
        <w:rPr>
          <w:rFonts w:cs="Miriam;Malgun Gothic Semilight"/>
          <w:sz w:val="24"/>
          <w:sz w:val="24"/>
          <w:szCs w:val="24"/>
          <w:u w:val="single"/>
          <w:rtl w:val="true"/>
        </w:rPr>
        <w:t>סולברג</w:t>
      </w:r>
      <w:r>
        <w:rPr>
          <w:rFonts w:cs="Miriam;Malgun Gothic Semilight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;Malgun Gothic Semilight"/>
          <w:sz w:val="24"/>
          <w:szCs w:val="24"/>
          <w:u w:val="single"/>
        </w:rPr>
      </w:pPr>
      <w:r>
        <w:rPr>
          <w:rFonts w:cs="Miriam;Malgun Gothic Semilight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ערעורים על גזר הדין של בית המשפט המחוזי בבאר שבע</w:t>
      </w:r>
      <w:r>
        <w:rPr>
          <w:rtl w:val="true"/>
        </w:rPr>
        <w:t xml:space="preserve">, </w:t>
      </w:r>
      <w:r>
        <w:rPr>
          <w:rtl w:val="true"/>
        </w:rPr>
        <w:t xml:space="preserve">מיום </w:t>
      </w:r>
      <w:r>
        <w:rPr/>
        <w:t>2.11.2020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1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11750-07-19</w:t>
        </w:r>
      </w:hyperlink>
      <w:r>
        <w:rPr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 xml:space="preserve">השופט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ליברדו</w:t>
      </w:r>
      <w:r>
        <w:rPr>
          <w:rtl w:val="true"/>
        </w:rPr>
        <w:t xml:space="preserve">), </w:t>
      </w:r>
      <w:r>
        <w:rPr>
          <w:rtl w:val="true"/>
        </w:rPr>
        <w:t>שבגדרו נגזרו על המערער 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8534/20</w:t>
      </w:r>
      <w:r>
        <w:rPr>
          <w:rtl w:val="true"/>
        </w:rPr>
        <w:t xml:space="preserve">, </w:t>
      </w:r>
      <w:r>
        <w:rPr>
          <w:rtl w:val="true"/>
        </w:rPr>
        <w:t>נאיף זניד</w:t>
      </w:r>
      <w:r>
        <w:rPr>
          <w:rtl w:val="true"/>
        </w:rPr>
        <w:t xml:space="preserve">,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בניכוי ימי מעצרו</w:t>
      </w:r>
      <w:r>
        <w:rPr>
          <w:rtl w:val="true"/>
        </w:rPr>
        <w:t xml:space="preserve">; </w:t>
      </w:r>
      <w:r>
        <w:rPr>
          <w:rtl w:val="true"/>
        </w:rPr>
        <w:t>מאסר על תנאי</w:t>
      </w:r>
      <w:r>
        <w:rPr>
          <w:rtl w:val="true"/>
        </w:rPr>
        <w:t xml:space="preserve">; </w:t>
      </w:r>
      <w:r>
        <w:rPr>
          <w:rtl w:val="true"/>
        </w:rPr>
        <w:t xml:space="preserve">וקנס בסך של </w:t>
      </w:r>
      <w:r>
        <w:rPr/>
        <w:t>15,000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על המערער 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8669/20</w:t>
      </w:r>
      <w:r>
        <w:rPr>
          <w:rtl w:val="true"/>
        </w:rPr>
        <w:t xml:space="preserve">, </w:t>
      </w:r>
      <w:r>
        <w:rPr>
          <w:rtl w:val="true"/>
        </w:rPr>
        <w:t>עאייש אלדנפירי</w:t>
      </w:r>
      <w:r>
        <w:rPr>
          <w:rtl w:val="true"/>
        </w:rPr>
        <w:t xml:space="preserve">, </w:t>
      </w:r>
      <w:r>
        <w:rPr>
          <w:rtl w:val="true"/>
        </w:rPr>
        <w:t xml:space="preserve">נגזרו </w:t>
      </w:r>
      <w:r>
        <w:rPr/>
        <w:t>6.5</w:t>
      </w:r>
      <w:r>
        <w:rPr>
          <w:rtl w:val="true"/>
        </w:rPr>
        <w:t xml:space="preserve"> </w:t>
      </w:r>
      <w:r>
        <w:rPr>
          <w:rtl w:val="true"/>
        </w:rPr>
        <w:t>שנות מאסר בפועל בגין אישום אחד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 מאסר בפועל בגין אישום נוסף</w:t>
      </w:r>
      <w:r>
        <w:rPr>
          <w:rtl w:val="true"/>
        </w:rPr>
        <w:t xml:space="preserve">;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 מתוכם לריצוי במצטבר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 לריצוי בחופף לעונש שהוטל בגין האישום הראשון</w:t>
      </w:r>
      <w:r>
        <w:rPr>
          <w:rtl w:val="true"/>
        </w:rPr>
        <w:t xml:space="preserve">. </w:t>
      </w:r>
      <w:r>
        <w:rPr>
          <w:rtl w:val="true"/>
        </w:rPr>
        <w:t xml:space="preserve">בסך הכל נגזרו על עאייש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בניכוי ימי מעצרו</w:t>
      </w:r>
      <w:r>
        <w:rPr>
          <w:rtl w:val="true"/>
        </w:rPr>
        <w:t xml:space="preserve">, </w:t>
      </w:r>
      <w:r>
        <w:rPr>
          <w:rtl w:val="true"/>
        </w:rPr>
        <w:t>וכן עונש מאסר על תנאי</w:t>
      </w:r>
      <w:r>
        <w:rPr>
          <w:rtl w:val="true"/>
        </w:rPr>
        <w:t xml:space="preserve">; </w:t>
      </w:r>
      <w:r>
        <w:rPr>
          <w:rtl w:val="true"/>
        </w:rPr>
        <w:t xml:space="preserve">תשלום קנס בסך של </w:t>
      </w:r>
      <w:r>
        <w:rPr/>
        <w:t>20,000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tl w:val="true"/>
        </w:rPr>
        <w:t xml:space="preserve">; </w:t>
      </w:r>
      <w:r>
        <w:rPr>
          <w:rtl w:val="true"/>
        </w:rPr>
        <w:t>פסילת רישיון נהיגה למשך שנה</w:t>
      </w:r>
      <w:r>
        <w:rPr>
          <w:rtl w:val="true"/>
        </w:rPr>
        <w:t xml:space="preserve">; </w:t>
      </w:r>
      <w:r>
        <w:rPr>
          <w:rtl w:val="true"/>
        </w:rPr>
        <w:t xml:space="preserve">ותשלום פיצוי בסך של </w:t>
      </w:r>
      <w:r>
        <w:rPr/>
        <w:t>3,000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לנפגע העבירה</w:t>
      </w:r>
      <w:r>
        <w:rPr>
          <w:rtl w:val="true"/>
        </w:rPr>
        <w:t xml:space="preserve">. </w:t>
      </w:r>
      <w:r>
        <w:rPr>
          <w:rtl w:val="true"/>
        </w:rPr>
        <w:t>על המערער 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8742/20</w:t>
      </w:r>
      <w:r>
        <w:rPr>
          <w:rtl w:val="true"/>
        </w:rPr>
        <w:t xml:space="preserve">, </w:t>
      </w:r>
      <w:r>
        <w:rPr>
          <w:rtl w:val="true"/>
        </w:rPr>
        <w:t>בשיר עדיסאן</w:t>
      </w:r>
      <w:r>
        <w:rPr>
          <w:rtl w:val="true"/>
        </w:rPr>
        <w:t xml:space="preserve">, </w:t>
      </w:r>
      <w:r>
        <w:rPr>
          <w:rtl w:val="true"/>
        </w:rPr>
        <w:t xml:space="preserve">נגזרו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בניכוי ימי מעצרו</w:t>
      </w:r>
      <w:r>
        <w:rPr>
          <w:rtl w:val="true"/>
        </w:rPr>
        <w:t xml:space="preserve">; </w:t>
      </w:r>
      <w:r>
        <w:rPr>
          <w:rtl w:val="true"/>
        </w:rPr>
        <w:t>וכן עונש מאסר על תנאי</w:t>
      </w:r>
      <w:r>
        <w:rPr>
          <w:rtl w:val="true"/>
        </w:rPr>
        <w:t xml:space="preserve">, </w:t>
      </w:r>
      <w:r>
        <w:rPr>
          <w:rtl w:val="true"/>
        </w:rPr>
        <w:t xml:space="preserve">תשלום קנס בסך </w:t>
      </w:r>
      <w:r>
        <w:rPr/>
        <w:t>10,000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 xml:space="preserve">ופסילת רישיון נהיגה למשך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;Malgun Gothic Semilight"/>
          <w:b/>
          <w:spacing w:val="0"/>
          <w:szCs w:val="24"/>
        </w:rPr>
      </w:pPr>
      <w:r>
        <w:rPr>
          <w:rFonts w:ascii="Century" w:hAnsi="Century" w:cs="Miriam;Malgun Gothic Semilight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Cs w:val="24"/>
          <w:rtl w:val="true"/>
        </w:rPr>
        <w:t>המתוקן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Cs w:val="24"/>
          <w:rtl w:val="true"/>
        </w:rPr>
        <w:t>והכרעת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Cs w:val="24"/>
          <w:rtl w:val="true"/>
        </w:rPr>
        <w:t>הדין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במהלך הדיון במשפט</w:t>
      </w:r>
      <w:r>
        <w:rPr>
          <w:rtl w:val="true"/>
        </w:rPr>
        <w:t xml:space="preserve">, </w:t>
      </w:r>
      <w:r>
        <w:rPr>
          <w:rtl w:val="true"/>
        </w:rPr>
        <w:t>הגיעו הצדדים להסדר טיעון שלפיו הודו המערערים במיוחס להם בכתב אישום מתוקן</w:t>
      </w:r>
      <w:r>
        <w:rPr>
          <w:rtl w:val="true"/>
        </w:rPr>
        <w:t xml:space="preserve">. </w:t>
      </w:r>
      <w:r>
        <w:rPr>
          <w:rtl w:val="true"/>
        </w:rPr>
        <w:t>עוד הוסכם</w:t>
      </w:r>
      <w:r>
        <w:rPr>
          <w:rtl w:val="true"/>
        </w:rPr>
        <w:t xml:space="preserve">, </w:t>
      </w:r>
      <w:r>
        <w:rPr>
          <w:rtl w:val="true"/>
        </w:rPr>
        <w:t>כי הצדדים כולם יהיו חופשיים בטיעוניהם לעניין העונש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זהו סיפור המעשה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עובדות כתב האישום המתוקן</w:t>
      </w:r>
      <w:r>
        <w:rPr>
          <w:rtl w:val="true"/>
        </w:rPr>
        <w:t xml:space="preserve">: </w:t>
      </w:r>
      <w:r>
        <w:rPr>
          <w:rtl w:val="true"/>
        </w:rPr>
        <w:t>במסגרת האישום הראשון</w:t>
      </w:r>
      <w:r>
        <w:rPr>
          <w:rtl w:val="true"/>
        </w:rPr>
        <w:t xml:space="preserve">,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ואחרים שזהותם אינה ידועה</w:t>
      </w:r>
      <w:r>
        <w:rPr>
          <w:rtl w:val="true"/>
        </w:rPr>
        <w:t xml:space="preserve">, </w:t>
      </w:r>
      <w:r>
        <w:rPr>
          <w:rtl w:val="true"/>
        </w:rPr>
        <w:t>חלקם תושבי מצרים</w:t>
      </w:r>
      <w:r>
        <w:rPr>
          <w:rtl w:val="true"/>
        </w:rPr>
        <w:t xml:space="preserve">, </w:t>
      </w:r>
      <w:r>
        <w:rPr>
          <w:rtl w:val="true"/>
        </w:rPr>
        <w:t>גמרו אומר לייבא ממצרים לישראל סמים מסוג קנביס וחשיש</w:t>
      </w:r>
      <w:r>
        <w:rPr>
          <w:rtl w:val="true"/>
        </w:rPr>
        <w:t xml:space="preserve">, </w:t>
      </w:r>
      <w:r>
        <w:rPr>
          <w:rtl w:val="true"/>
        </w:rPr>
        <w:t>בכמויות מסחריות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15.6.2019</w:t>
      </w:r>
      <w:r>
        <w:rPr>
          <w:rtl w:val="true"/>
        </w:rPr>
        <w:t xml:space="preserve">, </w:t>
      </w:r>
      <w:r>
        <w:rPr>
          <w:rtl w:val="true"/>
        </w:rPr>
        <w:t>התקרבו לגדר הגבול עם מצרים שני כלי רכב מסוג טויוטה לנד</w:t>
      </w:r>
      <w:r>
        <w:rPr>
          <w:rtl w:val="true"/>
        </w:rPr>
        <w:t>-</w:t>
      </w:r>
      <w:r>
        <w:rPr>
          <w:rtl w:val="true"/>
        </w:rPr>
        <w:t>קרוזר</w:t>
      </w:r>
      <w:r>
        <w:rPr>
          <w:rtl w:val="true"/>
        </w:rPr>
        <w:t xml:space="preserve">, </w:t>
      </w:r>
      <w:r>
        <w:rPr>
          <w:rtl w:val="true"/>
        </w:rPr>
        <w:t>כדי לאסוף את הסמים</w:t>
      </w:r>
      <w:r>
        <w:rPr>
          <w:rtl w:val="true"/>
        </w:rPr>
        <w:t xml:space="preserve">. </w:t>
      </w:r>
      <w:r>
        <w:rPr>
          <w:rtl w:val="true"/>
        </w:rPr>
        <w:t>בשלב זה הגיע בשיר במכוניתו לאזור הגבול</w:t>
      </w:r>
      <w:r>
        <w:rPr>
          <w:rtl w:val="true"/>
        </w:rPr>
        <w:t xml:space="preserve">, </w:t>
      </w:r>
      <w:r>
        <w:rPr>
          <w:rtl w:val="true"/>
        </w:rPr>
        <w:t>והמתין סמוך לשער</w:t>
      </w:r>
      <w:r>
        <w:rPr>
          <w:rtl w:val="true"/>
        </w:rPr>
        <w:t xml:space="preserve">; </w:t>
      </w:r>
      <w:r>
        <w:rPr>
          <w:rtl w:val="true"/>
        </w:rPr>
        <w:t>תפקידו היה לתצפת ולהתריע מפני הגעת כוחות הביטחון למקום</w:t>
      </w:r>
      <w:r>
        <w:rPr>
          <w:rtl w:val="true"/>
        </w:rPr>
        <w:t xml:space="preserve">. </w:t>
      </w:r>
      <w:r>
        <w:rPr>
          <w:rtl w:val="true"/>
        </w:rPr>
        <w:t>בשיר עמד בקשר טלפוני עם המבריחים</w:t>
      </w:r>
      <w:r>
        <w:rPr>
          <w:rtl w:val="true"/>
        </w:rPr>
        <w:t xml:space="preserve">, </w:t>
      </w:r>
      <w:r>
        <w:rPr>
          <w:rtl w:val="true"/>
        </w:rPr>
        <w:t>ועדכן אותם כי הוא ניצב סמוך לשער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הכל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רגוע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עם הגעת כלי הרכב לגדר הגבול</w:t>
      </w:r>
      <w:r>
        <w:rPr>
          <w:rtl w:val="true"/>
        </w:rPr>
        <w:t xml:space="preserve">, </w:t>
      </w:r>
      <w:r>
        <w:rPr>
          <w:rtl w:val="true"/>
        </w:rPr>
        <w:t>הגיעו גם המבריחים המצרים אל גדר הגבול</w:t>
      </w:r>
      <w:r>
        <w:rPr>
          <w:rtl w:val="true"/>
        </w:rPr>
        <w:t xml:space="preserve">, </w:t>
      </w:r>
      <w:r>
        <w:rPr>
          <w:rtl w:val="true"/>
        </w:rPr>
        <w:t>והחלו להשליך שקים המכילים סמים</w:t>
      </w:r>
      <w:r>
        <w:rPr>
          <w:rtl w:val="true"/>
        </w:rPr>
        <w:t xml:space="preserve">. </w:t>
      </w:r>
      <w:r>
        <w:rPr>
          <w:rtl w:val="true"/>
        </w:rPr>
        <w:t xml:space="preserve">בסך הכול השליכו המצרים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שקי סמים</w:t>
      </w:r>
      <w:r>
        <w:rPr>
          <w:rtl w:val="true"/>
        </w:rPr>
        <w:t xml:space="preserve">, </w:t>
      </w:r>
      <w:r>
        <w:rPr>
          <w:rtl w:val="true"/>
        </w:rPr>
        <w:t>אשר הכילו כ</w:t>
      </w:r>
      <w:r>
        <w:rPr>
          <w:rtl w:val="true"/>
        </w:rPr>
        <w:t>-</w:t>
      </w:r>
      <w:r>
        <w:rPr/>
        <w:t>219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 סם מסוג חשיש</w:t>
      </w:r>
      <w:r>
        <w:rPr>
          <w:rtl w:val="true"/>
        </w:rPr>
        <w:t xml:space="preserve">, </w:t>
      </w:r>
      <w:r>
        <w:rPr>
          <w:rtl w:val="true"/>
        </w:rPr>
        <w:t>וכ</w:t>
      </w:r>
      <w:r>
        <w:rPr>
          <w:rtl w:val="true"/>
        </w:rPr>
        <w:t>-</w:t>
      </w:r>
      <w:r>
        <w:rPr/>
        <w:t>74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 סם מסוג קנביס</w:t>
      </w:r>
      <w:r>
        <w:rPr>
          <w:rtl w:val="true"/>
        </w:rPr>
        <w:t xml:space="preserve">. </w:t>
      </w:r>
      <w:r>
        <w:rPr>
          <w:rtl w:val="true"/>
        </w:rPr>
        <w:t>נאיף ועאייש</w:t>
      </w:r>
      <w:r>
        <w:rPr>
          <w:rtl w:val="true"/>
        </w:rPr>
        <w:t xml:space="preserve">, </w:t>
      </w:r>
      <w:r>
        <w:rPr>
          <w:rtl w:val="true"/>
        </w:rPr>
        <w:t>או אחרים ששהו במקום</w:t>
      </w:r>
      <w:r>
        <w:rPr>
          <w:rtl w:val="true"/>
        </w:rPr>
        <w:t xml:space="preserve">, </w:t>
      </w:r>
      <w:r>
        <w:rPr>
          <w:rtl w:val="true"/>
        </w:rPr>
        <w:t>החלו להעמיס את השקים אל תוך כלי הרכב</w:t>
      </w:r>
      <w:r>
        <w:rPr>
          <w:rtl w:val="true"/>
        </w:rPr>
        <w:t xml:space="preserve">.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שקים הועמסו על המכונית הראשונה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שקים נוספים על המכונית השנייה</w:t>
      </w:r>
      <w:r>
        <w:rPr>
          <w:rtl w:val="true"/>
        </w:rPr>
        <w:t xml:space="preserve">. </w:t>
      </w:r>
      <w:r>
        <w:rPr>
          <w:rtl w:val="true"/>
        </w:rPr>
        <w:t>ביני לביני</w:t>
      </w:r>
      <w:r>
        <w:rPr>
          <w:rtl w:val="true"/>
        </w:rPr>
        <w:t xml:space="preserve">, </w:t>
      </w:r>
      <w:r>
        <w:rPr>
          <w:rtl w:val="true"/>
        </w:rPr>
        <w:t>הגיעו למקום כוחות צבא ומשטרה</w:t>
      </w:r>
      <w:r>
        <w:rPr>
          <w:rtl w:val="true"/>
        </w:rPr>
        <w:t xml:space="preserve">, </w:t>
      </w:r>
      <w:r>
        <w:rPr>
          <w:rtl w:val="true"/>
        </w:rPr>
        <w:t>התמקמו בכיוון הנסיעה המשוער של המבריחים</w:t>
      </w:r>
      <w:r>
        <w:rPr>
          <w:rtl w:val="true"/>
        </w:rPr>
        <w:t xml:space="preserve">, </w:t>
      </w:r>
      <w:r>
        <w:rPr>
          <w:rtl w:val="true"/>
        </w:rPr>
        <w:t>ופרשׂו מחסום ודוקרנים</w:t>
      </w:r>
      <w:r>
        <w:rPr>
          <w:rtl w:val="true"/>
        </w:rPr>
        <w:t xml:space="preserve">. </w:t>
      </w:r>
      <w:r>
        <w:rPr>
          <w:rtl w:val="true"/>
        </w:rPr>
        <w:t>המכונית הראשונה נתקלה במחסום המשטרתי</w:t>
      </w:r>
      <w:r>
        <w:rPr>
          <w:rtl w:val="true"/>
        </w:rPr>
        <w:t xml:space="preserve">, </w:t>
      </w:r>
      <w:r>
        <w:rPr>
          <w:rtl w:val="true"/>
        </w:rPr>
        <w:t>עלתה על הדוקרנים</w:t>
      </w:r>
      <w:r>
        <w:rPr>
          <w:rtl w:val="true"/>
        </w:rPr>
        <w:t xml:space="preserve">, </w:t>
      </w:r>
      <w:r>
        <w:rPr>
          <w:rtl w:val="true"/>
        </w:rPr>
        <w:t>והמשיכה בנסיעה</w:t>
      </w:r>
      <w:r>
        <w:rPr>
          <w:rtl w:val="true"/>
        </w:rPr>
        <w:t xml:space="preserve">, </w:t>
      </w:r>
      <w:r>
        <w:rPr>
          <w:rtl w:val="true"/>
        </w:rPr>
        <w:t>עד שבשלב כלשהו של המרדף ננטשה בשטח</w:t>
      </w:r>
      <w:r>
        <w:rPr>
          <w:rtl w:val="true"/>
        </w:rPr>
        <w:t xml:space="preserve">, </w:t>
      </w:r>
      <w:r>
        <w:rPr>
          <w:rtl w:val="true"/>
        </w:rPr>
        <w:t>יחד עם שקי</w:t>
      </w:r>
      <w:r>
        <w:rPr>
          <w:rtl w:val="true"/>
        </w:rPr>
        <w:t>-</w:t>
      </w:r>
      <w:r>
        <w:rPr>
          <w:rtl w:val="true"/>
        </w:rPr>
        <w:t>הסמים</w:t>
      </w:r>
      <w:r>
        <w:rPr>
          <w:rtl w:val="true"/>
        </w:rPr>
        <w:t xml:space="preserve">; </w:t>
      </w:r>
      <w:r>
        <w:rPr>
          <w:rtl w:val="true"/>
        </w:rPr>
        <w:t>הנוסעים נמלטו מהמקום</w:t>
      </w:r>
      <w:r>
        <w:rPr>
          <w:rtl w:val="true"/>
        </w:rPr>
        <w:t xml:space="preserve">. </w:t>
      </w:r>
      <w:r>
        <w:rPr>
          <w:rtl w:val="true"/>
        </w:rPr>
        <w:t>בשקים שנמצאו</w:t>
      </w:r>
      <w:r>
        <w:rPr>
          <w:rtl w:val="true"/>
        </w:rPr>
        <w:t xml:space="preserve">, </w:t>
      </w:r>
      <w:r>
        <w:rPr>
          <w:rtl w:val="true"/>
        </w:rPr>
        <w:t>אותר סם מסוג קנביס</w:t>
      </w:r>
      <w:r>
        <w:rPr>
          <w:rtl w:val="true"/>
        </w:rPr>
        <w:t xml:space="preserve">, </w:t>
      </w:r>
      <w:r>
        <w:rPr>
          <w:rtl w:val="true"/>
        </w:rPr>
        <w:t>במשקל של כ</w:t>
      </w:r>
      <w:r>
        <w:rPr>
          <w:rtl w:val="true"/>
        </w:rPr>
        <w:t>-</w:t>
      </w:r>
      <w:r>
        <w:rPr/>
        <w:t>61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סמוך לאחר מכן</w:t>
      </w:r>
      <w:r>
        <w:rPr>
          <w:rtl w:val="true"/>
        </w:rPr>
        <w:t xml:space="preserve">, </w:t>
      </w:r>
      <w:r>
        <w:rPr>
          <w:rtl w:val="true"/>
        </w:rPr>
        <w:t>הגיעה גם המכונית השנייה למחסום המשטרתי</w:t>
      </w:r>
      <w:r>
        <w:rPr>
          <w:rtl w:val="true"/>
        </w:rPr>
        <w:t xml:space="preserve">, </w:t>
      </w:r>
      <w:r>
        <w:rPr>
          <w:rtl w:val="true"/>
        </w:rPr>
        <w:t>כשהיא נהוגה בידי עאייש</w:t>
      </w:r>
      <w:r>
        <w:rPr>
          <w:rtl w:val="true"/>
        </w:rPr>
        <w:t xml:space="preserve">, </w:t>
      </w:r>
      <w:r>
        <w:rPr>
          <w:rtl w:val="true"/>
        </w:rPr>
        <w:t>ונאיף ישוב לצדו במושב הנוסע הקדמי</w:t>
      </w:r>
      <w:r>
        <w:rPr>
          <w:rtl w:val="true"/>
        </w:rPr>
        <w:t xml:space="preserve">. </w:t>
      </w:r>
      <w:r>
        <w:rPr>
          <w:rtl w:val="true"/>
        </w:rPr>
        <w:t>המכונית השנייה עלתה אף היא על הדוקרנים</w:t>
      </w:r>
      <w:r>
        <w:rPr>
          <w:rtl w:val="true"/>
        </w:rPr>
        <w:t xml:space="preserve">, </w:t>
      </w:r>
      <w:r>
        <w:rPr>
          <w:rtl w:val="true"/>
        </w:rPr>
        <w:t>גלגליה נוקבו</w:t>
      </w:r>
      <w:r>
        <w:rPr>
          <w:rtl w:val="true"/>
        </w:rPr>
        <w:t xml:space="preserve">, </w:t>
      </w:r>
      <w:r>
        <w:rPr>
          <w:rtl w:val="true"/>
        </w:rPr>
        <w:t>והיא המשיכה בנסיעה</w:t>
      </w:r>
      <w:r>
        <w:rPr>
          <w:rtl w:val="true"/>
        </w:rPr>
        <w:t xml:space="preserve">. </w:t>
      </w:r>
      <w:r>
        <w:rPr>
          <w:rtl w:val="true"/>
        </w:rPr>
        <w:t>לבסוף חדלו עאייש ונאיף מנסיעה</w:t>
      </w:r>
      <w:r>
        <w:rPr>
          <w:rtl w:val="true"/>
        </w:rPr>
        <w:t xml:space="preserve">, </w:t>
      </w:r>
      <w:r>
        <w:rPr>
          <w:rtl w:val="true"/>
        </w:rPr>
        <w:t>ונעצרו בידי כוחות הביטחון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במסגרת האישום השני שבכתב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צוין כי ביום </w:t>
      </w:r>
      <w:r>
        <w:rPr/>
        <w:t>1.5.2019</w:t>
      </w:r>
      <w:r>
        <w:rPr>
          <w:rtl w:val="true"/>
        </w:rPr>
        <w:t xml:space="preserve">, </w:t>
      </w:r>
      <w:r>
        <w:rPr>
          <w:rtl w:val="true"/>
        </w:rPr>
        <w:t>כחודש וחצי עובר לאירוע המתואר באישום הראשון</w:t>
      </w:r>
      <w:r>
        <w:rPr>
          <w:rtl w:val="true"/>
        </w:rPr>
        <w:t xml:space="preserve">, </w:t>
      </w:r>
      <w:r>
        <w:rPr>
          <w:rtl w:val="true"/>
        </w:rPr>
        <w:t>הגיע עאייש יחד עם אחר</w:t>
      </w:r>
      <w:r>
        <w:rPr>
          <w:rtl w:val="true"/>
        </w:rPr>
        <w:t xml:space="preserve">, </w:t>
      </w:r>
      <w:r>
        <w:rPr>
          <w:rtl w:val="true"/>
        </w:rPr>
        <w:t>לאזור הגבול עם מצרים</w:t>
      </w:r>
      <w:r>
        <w:rPr>
          <w:rtl w:val="true"/>
        </w:rPr>
        <w:t xml:space="preserve">, </w:t>
      </w:r>
      <w:r>
        <w:rPr>
          <w:rtl w:val="true"/>
        </w:rPr>
        <w:t>במכונית מסוג טויוטה לנד</w:t>
      </w:r>
      <w:r>
        <w:rPr>
          <w:rtl w:val="true"/>
        </w:rPr>
        <w:t>-</w:t>
      </w:r>
      <w:r>
        <w:rPr>
          <w:rtl w:val="true"/>
        </w:rPr>
        <w:t>קרוזר</w:t>
      </w:r>
      <w:r>
        <w:rPr>
          <w:rtl w:val="true"/>
        </w:rPr>
        <w:t xml:space="preserve">. </w:t>
      </w:r>
      <w:r>
        <w:rPr>
          <w:rtl w:val="true"/>
        </w:rPr>
        <w:t xml:space="preserve">לגדר הגבול הגיעו גם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תושבי מצרים</w:t>
      </w:r>
      <w:r>
        <w:rPr>
          <w:rtl w:val="true"/>
        </w:rPr>
        <w:t xml:space="preserve">, </w:t>
      </w:r>
      <w:r>
        <w:rPr>
          <w:rtl w:val="true"/>
        </w:rPr>
        <w:t>כשבידיהם שקים המכילים סם מסוג קנביס</w:t>
      </w:r>
      <w:r>
        <w:rPr>
          <w:rtl w:val="true"/>
        </w:rPr>
        <w:t xml:space="preserve">. </w:t>
      </w:r>
      <w:r>
        <w:rPr>
          <w:rtl w:val="true"/>
        </w:rPr>
        <w:t>המצרים הניחו סולם שהיה ברשותם על גדר הגבול</w:t>
      </w:r>
      <w:r>
        <w:rPr>
          <w:rtl w:val="true"/>
        </w:rPr>
        <w:t xml:space="preserve">, </w:t>
      </w:r>
      <w:r>
        <w:rPr>
          <w:rtl w:val="true"/>
        </w:rPr>
        <w:t>טיפסו עליו</w:t>
      </w:r>
      <w:r>
        <w:rPr>
          <w:rtl w:val="true"/>
        </w:rPr>
        <w:t xml:space="preserve">, </w:t>
      </w:r>
      <w:r>
        <w:rPr>
          <w:rtl w:val="true"/>
        </w:rPr>
        <w:t>והחלו להשליך את שקי הסמים לעבר צדו הישראלי של הגבול</w:t>
      </w:r>
      <w:r>
        <w:rPr>
          <w:rtl w:val="true"/>
        </w:rPr>
        <w:t xml:space="preserve">. </w:t>
      </w:r>
      <w:r>
        <w:rPr>
          <w:rtl w:val="true"/>
        </w:rPr>
        <w:t>תשעת</w:t>
      </w:r>
      <w:r>
        <w:rPr>
          <w:rtl w:val="true"/>
        </w:rPr>
        <w:t xml:space="preserve"> </w:t>
      </w:r>
      <w:r>
        <w:rPr>
          <w:rtl w:val="true"/>
        </w:rPr>
        <w:t>השקים</w:t>
      </w:r>
      <w:r>
        <w:rPr>
          <w:rtl w:val="true"/>
        </w:rPr>
        <w:t xml:space="preserve"> </w:t>
      </w:r>
      <w:r>
        <w:rPr>
          <w:rtl w:val="true"/>
        </w:rPr>
        <w:t>שנתפסו</w:t>
      </w:r>
      <w:r>
        <w:rPr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כילו</w:t>
      </w:r>
      <w:r>
        <w:rPr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 xml:space="preserve"> </w:t>
      </w:r>
      <w:r>
        <w:rPr>
          <w:rtl w:val="true"/>
        </w:rPr>
        <w:t>מסוג</w:t>
      </w:r>
      <w:r>
        <w:rPr>
          <w:rtl w:val="true"/>
        </w:rPr>
        <w:t xml:space="preserve"> </w:t>
      </w:r>
      <w:r>
        <w:rPr>
          <w:rtl w:val="true"/>
        </w:rPr>
        <w:t>קנביס</w:t>
      </w:r>
      <w:r>
        <w:rPr>
          <w:rtl w:val="true"/>
        </w:rPr>
        <w:t xml:space="preserve"> </w:t>
      </w:r>
      <w:r>
        <w:rPr>
          <w:rtl w:val="true"/>
        </w:rPr>
        <w:t>במשקל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כ</w:t>
      </w:r>
      <w:r>
        <w:rPr>
          <w:rtl w:val="true"/>
        </w:rPr>
        <w:t>-</w:t>
      </w:r>
      <w:r>
        <w:rPr/>
        <w:t>95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סמוך לאחר מכן</w:t>
      </w:r>
      <w:r>
        <w:rPr>
          <w:rtl w:val="true"/>
        </w:rPr>
        <w:t xml:space="preserve">, </w:t>
      </w:r>
      <w:r>
        <w:rPr>
          <w:rtl w:val="true"/>
        </w:rPr>
        <w:t xml:space="preserve">הגיע למקום רכב </w:t>
      </w:r>
      <w:r>
        <w:rPr>
          <w:rtl w:val="true"/>
        </w:rPr>
        <w:t>צבאי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החיילים שבתוכו </w:t>
      </w:r>
      <w:r>
        <w:rPr>
          <w:rtl w:val="true"/>
        </w:rPr>
        <w:t>הבחינו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מכונית </w:t>
      </w:r>
      <w:r>
        <w:rPr>
          <w:rtl w:val="true"/>
        </w:rPr>
        <w:t>הט</w:t>
      </w:r>
      <w:r>
        <w:rPr>
          <w:rtl w:val="true"/>
        </w:rPr>
        <w:t>ו</w:t>
      </w:r>
      <w:r>
        <w:rPr>
          <w:rtl w:val="true"/>
        </w:rPr>
        <w:t>יוטה</w:t>
      </w:r>
      <w:r>
        <w:rPr>
          <w:rtl w:val="true"/>
        </w:rPr>
        <w:t xml:space="preserve">, </w:t>
      </w:r>
      <w:r>
        <w:rPr>
          <w:rtl w:val="true"/>
        </w:rPr>
        <w:t xml:space="preserve">כשגלגליה </w:t>
      </w:r>
      <w:r>
        <w:rPr>
          <w:rtl w:val="true"/>
        </w:rPr>
        <w:t>האחוריים</w:t>
      </w:r>
      <w:r>
        <w:rPr>
          <w:rtl w:val="true"/>
        </w:rPr>
        <w:t xml:space="preserve"> </w:t>
      </w:r>
      <w:r>
        <w:rPr>
          <w:rtl w:val="true"/>
        </w:rPr>
        <w:t>לכ</w:t>
      </w:r>
      <w:r>
        <w:rPr>
          <w:rtl w:val="true"/>
        </w:rPr>
        <w:t>י</w:t>
      </w:r>
      <w:r>
        <w:rPr>
          <w:rtl w:val="true"/>
        </w:rPr>
        <w:t>וון</w:t>
      </w:r>
      <w:r>
        <w:rPr>
          <w:rtl w:val="true"/>
        </w:rPr>
        <w:t xml:space="preserve"> </w:t>
      </w:r>
      <w:r>
        <w:rPr>
          <w:rtl w:val="true"/>
        </w:rPr>
        <w:t>הגדר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דלת</w:t>
      </w:r>
      <w:r>
        <w:rPr>
          <w:rtl w:val="true"/>
        </w:rPr>
        <w:t>ה</w:t>
      </w:r>
      <w:r>
        <w:rPr>
          <w:rtl w:val="true"/>
        </w:rPr>
        <w:t xml:space="preserve"> </w:t>
      </w:r>
      <w:r>
        <w:rPr>
          <w:rtl w:val="true"/>
        </w:rPr>
        <w:t>האחורית</w:t>
      </w:r>
      <w:r>
        <w:rPr>
          <w:rtl w:val="true"/>
        </w:rPr>
        <w:t xml:space="preserve"> </w:t>
      </w:r>
      <w:r>
        <w:rPr>
          <w:rtl w:val="true"/>
        </w:rPr>
        <w:t>פתוחה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עאייש ו</w:t>
      </w:r>
      <w:r>
        <w:rPr>
          <w:rtl w:val="true"/>
        </w:rPr>
        <w:t>אחר</w:t>
      </w:r>
      <w:r>
        <w:rPr>
          <w:rtl w:val="true"/>
        </w:rPr>
        <w:t xml:space="preserve"> </w:t>
      </w:r>
      <w:r>
        <w:rPr>
          <w:rtl w:val="true"/>
        </w:rPr>
        <w:t>מעמיסים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שקי</w:t>
      </w:r>
      <w:r>
        <w:rPr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 </w:t>
      </w:r>
      <w:r>
        <w:rPr>
          <w:rtl w:val="true"/>
        </w:rPr>
        <w:t>לתוכה</w:t>
      </w:r>
      <w:r>
        <w:rPr>
          <w:rtl w:val="true"/>
        </w:rPr>
        <w:t xml:space="preserve">. </w:t>
      </w:r>
      <w:r>
        <w:rPr>
          <w:rtl w:val="true"/>
        </w:rPr>
        <w:t>אחד</w:t>
      </w:r>
      <w:r>
        <w:rPr>
          <w:rtl w:val="true"/>
        </w:rPr>
        <w:t xml:space="preserve"> </w:t>
      </w:r>
      <w:r>
        <w:rPr>
          <w:rtl w:val="true"/>
        </w:rPr>
        <w:t>החיילים</w:t>
      </w:r>
      <w:r>
        <w:rPr>
          <w:rtl w:val="true"/>
        </w:rPr>
        <w:t xml:space="preserve"> </w:t>
      </w:r>
      <w:r>
        <w:rPr>
          <w:rtl w:val="true"/>
        </w:rPr>
        <w:t>יצא מהרכב הצבאי</w:t>
      </w:r>
      <w:r>
        <w:rPr>
          <w:rtl w:val="true"/>
        </w:rPr>
        <w:t xml:space="preserve">, </w:t>
      </w:r>
      <w:r>
        <w:rPr>
          <w:rtl w:val="true"/>
        </w:rPr>
        <w:t>פתח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דלת</w:t>
      </w:r>
      <w:r>
        <w:rPr>
          <w:rtl w:val="true"/>
        </w:rPr>
        <w:t xml:space="preserve"> </w:t>
      </w:r>
      <w:r>
        <w:rPr>
          <w:rtl w:val="true"/>
        </w:rPr>
        <w:t>מכונית</w:t>
      </w:r>
      <w:r>
        <w:rPr>
          <w:rtl w:val="true"/>
        </w:rPr>
        <w:t xml:space="preserve"> </w:t>
      </w:r>
      <w:r>
        <w:rPr>
          <w:rtl w:val="true"/>
        </w:rPr>
        <w:t>הטויוטה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והושיט</w:t>
      </w:r>
      <w:r>
        <w:rPr>
          <w:rtl w:val="true"/>
        </w:rPr>
        <w:t xml:space="preserve"> </w:t>
      </w:r>
      <w:r>
        <w:rPr>
          <w:rtl w:val="true"/>
        </w:rPr>
        <w:t xml:space="preserve">את </w:t>
      </w:r>
      <w:r>
        <w:rPr>
          <w:rtl w:val="true"/>
        </w:rPr>
        <w:t>ידו</w:t>
      </w:r>
      <w:r>
        <w:rPr>
          <w:rtl w:val="true"/>
        </w:rPr>
        <w:t xml:space="preserve"> </w:t>
      </w:r>
      <w:r>
        <w:rPr>
          <w:rtl w:val="true"/>
        </w:rPr>
        <w:t>לעבר</w:t>
      </w:r>
      <w:r>
        <w:rPr>
          <w:rtl w:val="true"/>
        </w:rPr>
        <w:t xml:space="preserve"> </w:t>
      </w:r>
      <w:r>
        <w:rPr>
          <w:rtl w:val="true"/>
        </w:rPr>
        <w:t>מתג</w:t>
      </w:r>
      <w:r>
        <w:rPr>
          <w:rtl w:val="true"/>
        </w:rPr>
        <w:t xml:space="preserve"> </w:t>
      </w:r>
      <w:r>
        <w:rPr>
          <w:rtl w:val="true"/>
        </w:rPr>
        <w:t>ההתנעה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מנת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שלוף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מפתח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מכונית</w:t>
      </w:r>
      <w:r>
        <w:rPr>
          <w:rtl w:val="true"/>
        </w:rPr>
        <w:t xml:space="preserve">. </w:t>
      </w:r>
      <w:r>
        <w:rPr>
          <w:rtl w:val="true"/>
        </w:rPr>
        <w:t xml:space="preserve">עאייש </w:t>
      </w:r>
      <w:r>
        <w:rPr>
          <w:rtl w:val="true"/>
        </w:rPr>
        <w:t>והאחר</w:t>
      </w:r>
      <w:r>
        <w:rPr>
          <w:rtl w:val="true"/>
        </w:rPr>
        <w:t xml:space="preserve"> </w:t>
      </w:r>
      <w:r>
        <w:rPr>
          <w:rtl w:val="true"/>
        </w:rPr>
        <w:t xml:space="preserve">הבחינו </w:t>
      </w:r>
      <w:r>
        <w:rPr>
          <w:rtl w:val="true"/>
        </w:rPr>
        <w:t>במתרחש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נכנסו</w:t>
      </w:r>
      <w:r>
        <w:rPr>
          <w:rtl w:val="true"/>
        </w:rPr>
        <w:t xml:space="preserve"> </w:t>
      </w:r>
      <w:r>
        <w:rPr>
          <w:rtl w:val="true"/>
        </w:rPr>
        <w:t>במהירות</w:t>
      </w:r>
      <w:r>
        <w:rPr>
          <w:rtl w:val="true"/>
        </w:rPr>
        <w:t xml:space="preserve"> </w:t>
      </w:r>
      <w:r>
        <w:rPr>
          <w:rtl w:val="true"/>
        </w:rPr>
        <w:t>אל</w:t>
      </w:r>
      <w:r>
        <w:rPr>
          <w:rtl w:val="true"/>
        </w:rPr>
        <w:t xml:space="preserve"> </w:t>
      </w:r>
      <w:r>
        <w:rPr>
          <w:rtl w:val="true"/>
        </w:rPr>
        <w:t>מכונית</w:t>
      </w:r>
      <w:r>
        <w:rPr>
          <w:rtl w:val="true"/>
        </w:rPr>
        <w:t xml:space="preserve"> </w:t>
      </w:r>
      <w:r>
        <w:rPr>
          <w:rtl w:val="true"/>
        </w:rPr>
        <w:t>הטויוטה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 </w:t>
      </w:r>
      <w:r>
        <w:rPr>
          <w:rtl w:val="true"/>
        </w:rPr>
        <w:t>התיישב</w:t>
      </w:r>
      <w:r>
        <w:rPr>
          <w:rtl w:val="true"/>
        </w:rPr>
        <w:t xml:space="preserve"> </w:t>
      </w:r>
      <w:r>
        <w:rPr>
          <w:rtl w:val="true"/>
        </w:rPr>
        <w:t>בכ</w:t>
      </w:r>
      <w:r>
        <w:rPr>
          <w:rtl w:val="true"/>
        </w:rPr>
        <w:t>י</w:t>
      </w:r>
      <w:r>
        <w:rPr>
          <w:rtl w:val="true"/>
        </w:rPr>
        <w:t>סא</w:t>
      </w:r>
      <w:r>
        <w:rPr>
          <w:rtl w:val="true"/>
        </w:rPr>
        <w:t xml:space="preserve"> </w:t>
      </w:r>
      <w:r>
        <w:rPr>
          <w:rtl w:val="true"/>
        </w:rPr>
        <w:t>הנהג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עאייש</w:t>
      </w:r>
      <w:r>
        <w:rPr>
          <w:rtl w:val="true"/>
        </w:rPr>
        <w:t xml:space="preserve"> </w:t>
      </w:r>
      <w:r>
        <w:rPr>
          <w:rtl w:val="true"/>
        </w:rPr>
        <w:t>לצדו</w:t>
      </w:r>
      <w:r>
        <w:rPr>
          <w:rtl w:val="true"/>
        </w:rPr>
        <w:t xml:space="preserve">. </w:t>
      </w:r>
      <w:r>
        <w:rPr>
          <w:rtl w:val="true"/>
        </w:rPr>
        <w:t>האחר</w:t>
      </w:r>
      <w:r>
        <w:rPr>
          <w:rtl w:val="true"/>
        </w:rPr>
        <w:t xml:space="preserve"> </w:t>
      </w:r>
      <w:r>
        <w:rPr>
          <w:rtl w:val="true"/>
        </w:rPr>
        <w:t>הכה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החייל</w:t>
      </w:r>
      <w:r>
        <w:rPr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 </w:t>
      </w:r>
      <w:r>
        <w:rPr>
          <w:rtl w:val="true"/>
        </w:rPr>
        <w:t>במטרה</w:t>
      </w:r>
      <w:r>
        <w:rPr>
          <w:rtl w:val="true"/>
        </w:rPr>
        <w:t xml:space="preserve"> </w:t>
      </w:r>
      <w:r>
        <w:rPr>
          <w:rtl w:val="true"/>
        </w:rPr>
        <w:t>למנוע</w:t>
      </w:r>
      <w:r>
        <w:rPr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 </w:t>
      </w:r>
      <w:r>
        <w:rPr>
          <w:rtl w:val="true"/>
        </w:rPr>
        <w:t>לקחת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מפתח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מכונית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עאייש</w:t>
      </w:r>
      <w:r>
        <w:rPr>
          <w:rtl w:val="true"/>
        </w:rPr>
        <w:t xml:space="preserve"> </w:t>
      </w:r>
      <w:r>
        <w:rPr>
          <w:rtl w:val="true"/>
        </w:rPr>
        <w:t>נשך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 </w:t>
      </w:r>
      <w:r>
        <w:rPr>
          <w:rtl w:val="true"/>
        </w:rPr>
        <w:t>השמאלית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החייל</w:t>
      </w:r>
      <w:r>
        <w:rPr>
          <w:rtl w:val="true"/>
        </w:rPr>
        <w:t xml:space="preserve">. </w:t>
      </w:r>
      <w:r>
        <w:rPr>
          <w:rtl w:val="true"/>
        </w:rPr>
        <w:t>בתגובה</w:t>
      </w:r>
      <w:r>
        <w:rPr>
          <w:rtl w:val="true"/>
        </w:rPr>
        <w:t xml:space="preserve"> </w:t>
      </w:r>
      <w:r>
        <w:rPr>
          <w:rtl w:val="true"/>
        </w:rPr>
        <w:t>הכה</w:t>
      </w:r>
      <w:r>
        <w:rPr>
          <w:rtl w:val="true"/>
        </w:rPr>
        <w:t xml:space="preserve"> </w:t>
      </w:r>
      <w:r>
        <w:rPr>
          <w:rtl w:val="true"/>
        </w:rPr>
        <w:t xml:space="preserve">החייל </w:t>
      </w:r>
      <w:r>
        <w:rPr>
          <w:rtl w:val="true"/>
        </w:rPr>
        <w:t>את</w:t>
      </w:r>
      <w:r>
        <w:rPr>
          <w:rtl w:val="true"/>
        </w:rPr>
        <w:t xml:space="preserve"> עאייש</w:t>
      </w:r>
      <w:r>
        <w:rPr>
          <w:rtl w:val="true"/>
        </w:rPr>
        <w:t xml:space="preserve"> </w:t>
      </w:r>
      <w:r>
        <w:rPr>
          <w:rtl w:val="true"/>
        </w:rPr>
        <w:t>במכות</w:t>
      </w:r>
      <w:r>
        <w:rPr>
          <w:rtl w:val="true"/>
        </w:rPr>
        <w:t xml:space="preserve"> </w:t>
      </w:r>
      <w:r>
        <w:rPr>
          <w:rtl w:val="true"/>
        </w:rPr>
        <w:t>אגרוף</w:t>
      </w:r>
      <w:r>
        <w:rPr>
          <w:rtl w:val="true"/>
        </w:rPr>
        <w:t xml:space="preserve">. </w:t>
      </w:r>
      <w:r>
        <w:rPr>
          <w:rtl w:val="true"/>
        </w:rPr>
        <w:t>מיד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 </w:t>
      </w:r>
      <w:r>
        <w:rPr>
          <w:rtl w:val="true"/>
        </w:rPr>
        <w:t>החלו</w:t>
      </w:r>
      <w:r>
        <w:rPr>
          <w:rtl w:val="true"/>
        </w:rPr>
        <w:t xml:space="preserve"> </w:t>
      </w:r>
      <w:r>
        <w:rPr>
          <w:rtl w:val="true"/>
        </w:rPr>
        <w:t>עאייש</w:t>
      </w:r>
      <w:r>
        <w:rPr>
          <w:rtl w:val="true"/>
        </w:rPr>
        <w:t xml:space="preserve"> </w:t>
      </w:r>
      <w:r>
        <w:rPr>
          <w:rtl w:val="true"/>
        </w:rPr>
        <w:t>והאחר</w:t>
      </w:r>
      <w:r>
        <w:rPr>
          <w:rtl w:val="true"/>
        </w:rPr>
        <w:t xml:space="preserve"> </w:t>
      </w:r>
      <w:r>
        <w:rPr>
          <w:rtl w:val="true"/>
        </w:rPr>
        <w:t>בנסיעה</w:t>
      </w:r>
      <w:r>
        <w:rPr>
          <w:rtl w:val="true"/>
        </w:rPr>
        <w:t xml:space="preserve"> </w:t>
      </w:r>
      <w:r>
        <w:rPr>
          <w:rtl w:val="true"/>
        </w:rPr>
        <w:t xml:space="preserve">פרועה </w:t>
      </w:r>
      <w:r>
        <w:rPr>
          <w:rtl w:val="true"/>
        </w:rPr>
        <w:t>קדימה</w:t>
      </w:r>
      <w:r>
        <w:rPr>
          <w:rtl w:val="true"/>
        </w:rPr>
        <w:t xml:space="preserve"> </w:t>
      </w:r>
      <w:r>
        <w:rPr>
          <w:rtl w:val="true"/>
        </w:rPr>
        <w:t>ושמאלה</w:t>
      </w:r>
      <w:r>
        <w:rPr>
          <w:rtl w:val="true"/>
        </w:rPr>
        <w:t xml:space="preserve">, </w:t>
      </w:r>
      <w:r>
        <w:rPr>
          <w:rtl w:val="true"/>
        </w:rPr>
        <w:t>כל זאת</w:t>
      </w:r>
      <w:r>
        <w:rPr>
          <w:rtl w:val="true"/>
        </w:rPr>
        <w:t xml:space="preserve"> </w:t>
      </w:r>
      <w:r>
        <w:rPr>
          <w:rtl w:val="true"/>
        </w:rPr>
        <w:t>כשפלג</w:t>
      </w:r>
      <w:r>
        <w:rPr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החייל</w:t>
      </w:r>
      <w:r>
        <w:rPr>
          <w:rtl w:val="true"/>
        </w:rPr>
        <w:t xml:space="preserve"> </w:t>
      </w:r>
      <w:r>
        <w:rPr>
          <w:rtl w:val="true"/>
        </w:rPr>
        <w:t>בתוך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מכונית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 </w:t>
      </w:r>
      <w:r>
        <w:rPr>
          <w:rtl w:val="true"/>
        </w:rPr>
        <w:t>נזרק</w:t>
      </w:r>
      <w:r>
        <w:rPr>
          <w:rtl w:val="true"/>
        </w:rPr>
        <w:t xml:space="preserve"> </w:t>
      </w:r>
      <w:r>
        <w:rPr>
          <w:rtl w:val="true"/>
        </w:rPr>
        <w:t>החייל</w:t>
      </w:r>
      <w:r>
        <w:rPr>
          <w:rtl w:val="true"/>
        </w:rPr>
        <w:t xml:space="preserve"> </w:t>
      </w:r>
      <w:r>
        <w:rPr>
          <w:rtl w:val="true"/>
        </w:rPr>
        <w:t>מן המכונית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הוטח</w:t>
      </w:r>
      <w:r>
        <w:rPr>
          <w:rtl w:val="true"/>
        </w:rPr>
        <w:t xml:space="preserve"> </w:t>
      </w:r>
      <w:r>
        <w:rPr>
          <w:rtl w:val="true"/>
        </w:rPr>
        <w:t>אל</w:t>
      </w:r>
      <w:r>
        <w:rPr>
          <w:rtl w:val="true"/>
        </w:rPr>
        <w:t xml:space="preserve"> </w:t>
      </w:r>
      <w:r>
        <w:rPr>
          <w:rtl w:val="true"/>
        </w:rPr>
        <w:t>הרצפה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נחבל</w:t>
      </w:r>
      <w:r>
        <w:rPr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ונגרמו</w:t>
      </w:r>
      <w:r>
        <w:rPr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 </w:t>
      </w:r>
      <w:r>
        <w:rPr>
          <w:rtl w:val="true"/>
        </w:rPr>
        <w:t>כאבים</w:t>
      </w:r>
      <w:r>
        <w:rPr>
          <w:rtl w:val="true"/>
        </w:rPr>
        <w:t xml:space="preserve">. </w:t>
      </w:r>
      <w:r>
        <w:rPr>
          <w:rtl w:val="true"/>
        </w:rPr>
        <w:t>עאייש</w:t>
      </w:r>
      <w:r>
        <w:rPr>
          <w:rtl w:val="true"/>
        </w:rPr>
        <w:t xml:space="preserve"> </w:t>
      </w:r>
      <w:r>
        <w:rPr>
          <w:rtl w:val="true"/>
        </w:rPr>
        <w:t>והאחר</w:t>
      </w:r>
      <w:r>
        <w:rPr>
          <w:rtl w:val="true"/>
        </w:rPr>
        <w:t xml:space="preserve"> </w:t>
      </w:r>
      <w:r>
        <w:rPr>
          <w:rtl w:val="true"/>
        </w:rPr>
        <w:t>פתחו בנסיעה מהירה</w:t>
      </w:r>
      <w:r>
        <w:rPr>
          <w:rtl w:val="true"/>
        </w:rPr>
        <w:t xml:space="preserve"> </w:t>
      </w:r>
      <w:r>
        <w:rPr>
          <w:rtl w:val="true"/>
        </w:rPr>
        <w:t>אחורנית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התנגשו</w:t>
      </w:r>
      <w:r>
        <w:rPr>
          <w:rtl w:val="true"/>
        </w:rPr>
        <w:t xml:space="preserve"> </w:t>
      </w:r>
      <w:r>
        <w:rPr>
          <w:rtl w:val="true"/>
        </w:rPr>
        <w:t>בגדר</w:t>
      </w:r>
      <w:r>
        <w:rPr>
          <w:rtl w:val="true"/>
        </w:rPr>
        <w:t xml:space="preserve"> הגבול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נסעו</w:t>
      </w:r>
      <w:r>
        <w:rPr>
          <w:rtl w:val="true"/>
        </w:rPr>
        <w:t xml:space="preserve"> </w:t>
      </w:r>
      <w:r>
        <w:rPr>
          <w:rtl w:val="true"/>
        </w:rPr>
        <w:t>קדימה</w:t>
      </w:r>
      <w:r>
        <w:rPr>
          <w:rtl w:val="true"/>
        </w:rPr>
        <w:t xml:space="preserve">, </w:t>
      </w:r>
      <w:r>
        <w:rPr>
          <w:rtl w:val="true"/>
        </w:rPr>
        <w:t>ונמלטו</w:t>
      </w:r>
      <w:r>
        <w:rPr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 </w:t>
      </w:r>
      <w:r>
        <w:rPr>
          <w:rtl w:val="true"/>
        </w:rPr>
        <w:t>כשדלת</w:t>
      </w:r>
      <w:r>
        <w:rPr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 </w:t>
      </w:r>
      <w:r>
        <w:rPr>
          <w:rtl w:val="true"/>
        </w:rPr>
        <w:t>נותרה</w:t>
      </w:r>
      <w:r>
        <w:rPr>
          <w:rtl w:val="true"/>
        </w:rPr>
        <w:t xml:space="preserve"> </w:t>
      </w:r>
      <w:r>
        <w:rPr>
          <w:rtl w:val="true"/>
        </w:rPr>
        <w:t>פתוחה</w:t>
      </w:r>
      <w:r>
        <w:rPr>
          <w:rtl w:val="true"/>
        </w:rPr>
        <w:t xml:space="preserve">. </w:t>
      </w:r>
      <w:r>
        <w:rPr>
          <w:rtl w:val="true"/>
        </w:rPr>
        <w:t>החיילים</w:t>
      </w:r>
      <w:r>
        <w:rPr>
          <w:rtl w:val="true"/>
        </w:rPr>
        <w:t xml:space="preserve"> </w:t>
      </w:r>
      <w:r>
        <w:rPr>
          <w:rtl w:val="true"/>
        </w:rPr>
        <w:t>פתחו במרדף</w:t>
      </w:r>
      <w:r>
        <w:rPr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 </w:t>
      </w:r>
      <w:r>
        <w:rPr>
          <w:rtl w:val="true"/>
        </w:rPr>
        <w:t>מכונית</w:t>
      </w:r>
      <w:r>
        <w:rPr>
          <w:rtl w:val="true"/>
        </w:rPr>
        <w:t xml:space="preserve"> </w:t>
      </w:r>
      <w:r>
        <w:rPr>
          <w:rtl w:val="true"/>
        </w:rPr>
        <w:t>הטויוטה</w:t>
      </w:r>
      <w:r>
        <w:rPr>
          <w:rtl w:val="true"/>
        </w:rPr>
        <w:t xml:space="preserve">, </w:t>
      </w:r>
      <w:r>
        <w:rPr>
          <w:rtl w:val="true"/>
        </w:rPr>
        <w:t>אך עאייש והאחר הצליחו להימלט</w:t>
      </w:r>
      <w:r>
        <w:rPr>
          <w:rtl w:val="true"/>
        </w:rPr>
        <w:t xml:space="preserve">, </w:t>
      </w:r>
      <w:r>
        <w:rPr>
          <w:rtl w:val="true"/>
        </w:rPr>
        <w:t>מבלי שנתפסו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tl w:val="true"/>
        </w:rPr>
        <w:t xml:space="preserve"> </w:t>
      </w:r>
      <w:r>
        <w:rPr>
          <w:rtl w:val="true"/>
        </w:rPr>
        <w:t>מנוסת</w:t>
      </w:r>
      <w:r>
        <w:rPr>
          <w:rtl w:val="true"/>
        </w:rPr>
        <w:t xml:space="preserve">ם של עאייש </w:t>
      </w:r>
      <w:r>
        <w:rPr>
          <w:rtl w:val="true"/>
        </w:rPr>
        <w:t>והאחר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נפל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מכונית </w:t>
      </w:r>
      <w:r>
        <w:rPr>
          <w:rtl w:val="true"/>
        </w:rPr>
        <w:t>הטויוטה</w:t>
      </w:r>
      <w:r>
        <w:rPr>
          <w:rtl w:val="true"/>
        </w:rPr>
        <w:t xml:space="preserve"> </w:t>
      </w:r>
      <w:r>
        <w:rPr>
          <w:rtl w:val="true"/>
        </w:rPr>
        <w:t>שק</w:t>
      </w:r>
      <w:r>
        <w:rPr>
          <w:rtl w:val="true"/>
        </w:rPr>
        <w:t xml:space="preserve"> סמים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 xml:space="preserve">רכב </w:t>
      </w:r>
      <w:r>
        <w:rPr>
          <w:rtl w:val="true"/>
        </w:rPr>
        <w:t>הצבאי</w:t>
      </w:r>
      <w:r>
        <w:rPr>
          <w:rtl w:val="true"/>
        </w:rPr>
        <w:t xml:space="preserve"> </w:t>
      </w:r>
      <w:r>
        <w:rPr>
          <w:rtl w:val="true"/>
        </w:rPr>
        <w:t xml:space="preserve">עלה </w:t>
      </w:r>
      <w:r>
        <w:rPr>
          <w:rtl w:val="true"/>
        </w:rPr>
        <w:t>על</w:t>
      </w:r>
      <w:r>
        <w:rPr>
          <w:rtl w:val="true"/>
        </w:rPr>
        <w:t xml:space="preserve"> שק הסמים</w:t>
      </w:r>
      <w:r>
        <w:rPr>
          <w:rtl w:val="true"/>
        </w:rPr>
        <w:t xml:space="preserve">, </w:t>
      </w:r>
      <w:r>
        <w:rPr>
          <w:rtl w:val="true"/>
        </w:rPr>
        <w:t>השק</w:t>
      </w:r>
      <w:r>
        <w:rPr>
          <w:rtl w:val="true"/>
        </w:rPr>
        <w:t xml:space="preserve"> נקרע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והתפזרו</w:t>
      </w:r>
      <w:r>
        <w:rPr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 </w:t>
      </w:r>
      <w:r>
        <w:rPr>
          <w:rtl w:val="true"/>
        </w:rPr>
        <w:t>חבילות</w:t>
      </w:r>
      <w:r>
        <w:rPr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 xml:space="preserve"> </w:t>
      </w:r>
      <w:r>
        <w:rPr>
          <w:rtl w:val="true"/>
        </w:rPr>
        <w:t>מסוג</w:t>
      </w:r>
      <w:r>
        <w:rPr>
          <w:rtl w:val="true"/>
        </w:rPr>
        <w:t xml:space="preserve"> </w:t>
      </w:r>
      <w:r>
        <w:rPr>
          <w:rtl w:val="true"/>
        </w:rPr>
        <w:t>קנביס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במשקל</w:t>
      </w:r>
      <w:r>
        <w:rPr>
          <w:rtl w:val="true"/>
        </w:rPr>
        <w:t xml:space="preserve"> </w:t>
      </w:r>
      <w:r>
        <w:rPr>
          <w:rtl w:val="true"/>
        </w:rPr>
        <w:t>כולל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20.1.2020</w:t>
      </w:r>
      <w:r>
        <w:rPr>
          <w:rtl w:val="true"/>
        </w:rPr>
        <w:t xml:space="preserve">, </w:t>
      </w:r>
      <w:r>
        <w:rPr>
          <w:rtl w:val="true"/>
        </w:rPr>
        <w:t>הרשיע בית המשפט המחוזי את המערערים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הודאתם</w:t>
      </w:r>
      <w:r>
        <w:rPr>
          <w:rtl w:val="true"/>
        </w:rPr>
        <w:t xml:space="preserve">. </w:t>
      </w:r>
      <w:r>
        <w:rPr>
          <w:rtl w:val="true"/>
        </w:rPr>
        <w:t xml:space="preserve">נאיף הורשע בביצוע עבירה של יבוא סמים מסוכנים </w:t>
      </w:r>
      <w:r>
        <w:rPr>
          <w:rtl w:val="true"/>
        </w:rPr>
        <w:t>–</w:t>
      </w:r>
      <w:r>
        <w:rPr>
          <w:rtl w:val="true"/>
        </w:rPr>
        <w:t xml:space="preserve"> עבירה לפי </w:t>
      </w:r>
      <w:hyperlink r:id="rId1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1973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הפקודה</w:t>
      </w:r>
      <w:r>
        <w:rPr>
          <w:rtl w:val="true"/>
        </w:rPr>
        <w:t xml:space="preserve">). </w:t>
      </w:r>
      <w:r>
        <w:rPr>
          <w:rtl w:val="true"/>
        </w:rPr>
        <w:t xml:space="preserve">עאייש הורשע ביבוא סמים מסוכנים תוך הסתייעות ברכב לביצוע פשע </w:t>
      </w:r>
      <w:r>
        <w:rPr>
          <w:rtl w:val="true"/>
        </w:rPr>
        <w:t>–</w:t>
      </w:r>
      <w:r>
        <w:rPr>
          <w:rtl w:val="true"/>
        </w:rPr>
        <w:t xml:space="preserve"> עבירה לפי </w:t>
      </w:r>
      <w:hyperlink r:id="rId1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13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לפקודה בצירוף </w:t>
      </w:r>
      <w:hyperlink r:id="rId1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>]</w:t>
      </w:r>
      <w:r>
        <w:rPr>
          <w:rtl w:val="true"/>
        </w:rPr>
        <w:t xml:space="preserve">; </w:t>
      </w:r>
      <w:r>
        <w:rPr>
          <w:rtl w:val="true"/>
        </w:rPr>
        <w:t xml:space="preserve">בהחזקת סמים שלא לצריכה עצמית </w:t>
      </w:r>
      <w:r>
        <w:rPr>
          <w:rtl w:val="true"/>
        </w:rPr>
        <w:t>–</w:t>
      </w:r>
      <w:r>
        <w:rPr>
          <w:rtl w:val="true"/>
        </w:rPr>
        <w:t xml:space="preserve"> עבירה לפי </w:t>
      </w:r>
      <w:hyperlink r:id="rId2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בצירוף </w:t>
      </w:r>
      <w:hyperlink r:id="rId2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; </w:t>
      </w:r>
      <w:r>
        <w:rPr>
          <w:rtl w:val="true"/>
        </w:rPr>
        <w:t xml:space="preserve">ובתקיפת עובד ציבור </w:t>
      </w:r>
      <w:r>
        <w:rPr>
          <w:rtl w:val="true"/>
        </w:rPr>
        <w:t>–</w:t>
      </w:r>
      <w:r>
        <w:rPr>
          <w:rtl w:val="true"/>
        </w:rPr>
        <w:t xml:space="preserve"> עבירה לפי </w:t>
      </w:r>
      <w:hyperlink r:id="rId2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382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בצירוף </w:t>
      </w:r>
      <w:hyperlink r:id="rId2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382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tl w:val="true"/>
        </w:rPr>
        <w:t xml:space="preserve">). </w:t>
      </w:r>
      <w:r>
        <w:rPr>
          <w:rtl w:val="true"/>
        </w:rPr>
        <w:t xml:space="preserve">בשיר הורשע בסיוע ליבוא סמים מסוכנים תוך הסתייעות ברכב לביצוע פשע </w:t>
      </w:r>
      <w:r>
        <w:rPr>
          <w:rtl w:val="true"/>
        </w:rPr>
        <w:t>–</w:t>
      </w:r>
      <w:r>
        <w:rPr>
          <w:rtl w:val="true"/>
        </w:rPr>
        <w:t xml:space="preserve"> עבירה לפי </w:t>
      </w:r>
      <w:hyperlink r:id="rId2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13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, </w:t>
      </w:r>
      <w:r>
        <w:rPr>
          <w:rtl w:val="true"/>
        </w:rPr>
        <w:t xml:space="preserve">בצירוף </w:t>
      </w:r>
      <w:hyperlink r:id="rId2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>]</w:t>
      </w:r>
      <w:r>
        <w:rPr>
          <w:rtl w:val="true"/>
        </w:rPr>
        <w:t xml:space="preserve"> </w:t>
      </w:r>
      <w:hyperlink r:id="rId29">
        <w:r>
          <w:rPr>
            <w:rStyle w:val="Hyperlink"/>
            <w:rtl w:val="true"/>
          </w:rPr>
          <w:t>וסעיף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;Malgun Gothic Semilight"/>
          <w:b/>
          <w:spacing w:val="0"/>
          <w:szCs w:val="24"/>
        </w:rPr>
      </w:pPr>
      <w:r>
        <w:rPr>
          <w:rFonts w:ascii="Century" w:hAnsi="Century" w:cs="Miriam;Malgun Gothic Semilight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Cs w:val="24"/>
          <w:rtl w:val="true"/>
        </w:rPr>
        <w:t>המחוזי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לצורך קביעת מתחם העונש ההולם</w:t>
      </w:r>
      <w:r>
        <w:rPr>
          <w:rtl w:val="true"/>
        </w:rPr>
        <w:t xml:space="preserve">, </w:t>
      </w:r>
      <w:r>
        <w:rPr>
          <w:rtl w:val="true"/>
        </w:rPr>
        <w:t>שקל בית המשפט המחוזי את הערכים המוגנים שנפגעו</w:t>
      </w:r>
      <w:r>
        <w:rPr>
          <w:rtl w:val="true"/>
        </w:rPr>
        <w:t xml:space="preserve">; </w:t>
      </w:r>
      <w:r>
        <w:rPr>
          <w:rtl w:val="true"/>
        </w:rPr>
        <w:t>את מידת הפגיעה בהם</w:t>
      </w:r>
      <w:r>
        <w:rPr>
          <w:rtl w:val="true"/>
        </w:rPr>
        <w:t xml:space="preserve">; </w:t>
      </w:r>
      <w:r>
        <w:rPr>
          <w:rtl w:val="true"/>
        </w:rPr>
        <w:t>את מדיניות הענישה הנוהגת</w:t>
      </w:r>
      <w:r>
        <w:rPr>
          <w:rtl w:val="true"/>
        </w:rPr>
        <w:t xml:space="preserve">, </w:t>
      </w:r>
      <w:r>
        <w:rPr>
          <w:rtl w:val="true"/>
        </w:rPr>
        <w:t>כפי שזו עולה מפסקי דין קודמים</w:t>
      </w:r>
      <w:r>
        <w:rPr>
          <w:rtl w:val="true"/>
        </w:rPr>
        <w:t xml:space="preserve">; </w:t>
      </w:r>
      <w:r>
        <w:rPr>
          <w:rtl w:val="true"/>
        </w:rPr>
        <w:t>ואת הנסיבות הנוגעות לביצוע העבירות מושא האישומים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 במעשיהם פגעו המערערים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בערכים של הגנה על שלום הציבור ובריאותו</w:t>
      </w:r>
      <w:r>
        <w:rPr>
          <w:rtl w:val="true"/>
        </w:rPr>
        <w:t xml:space="preserve">, </w:t>
      </w:r>
      <w:r>
        <w:rPr>
          <w:rtl w:val="true"/>
        </w:rPr>
        <w:t xml:space="preserve">והגנה על ביטחון המדינה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cs="Miriam;Malgun Gothic Semilight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;Malgun Gothic Semilight"/>
          <w:b/>
          <w:b/>
          <w:spacing w:val="0"/>
          <w:szCs w:val="24"/>
          <w:rtl w:val="true"/>
        </w:rPr>
        <w:t>בשים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Cs w:val="24"/>
          <w:rtl w:val="true"/>
        </w:rPr>
        <w:t>לב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Cs w:val="24"/>
          <w:rtl w:val="true"/>
        </w:rPr>
        <w:t>לעובדה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Cs w:val="24"/>
          <w:rtl w:val="true"/>
        </w:rPr>
        <w:t>שהעבירות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Cs w:val="24"/>
          <w:rtl w:val="true"/>
        </w:rPr>
        <w:t>נעברו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Cs w:val="24"/>
          <w:rtl w:val="true"/>
        </w:rPr>
        <w:t>בסמוך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Cs w:val="24"/>
          <w:rtl w:val="true"/>
        </w:rPr>
        <w:t>לגדר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Cs w:val="24"/>
          <w:rtl w:val="true"/>
        </w:rPr>
        <w:t>הגבול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Cs w:val="24"/>
          <w:rtl w:val="true"/>
        </w:rPr>
        <w:t>שבין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Cs w:val="24"/>
          <w:rtl w:val="true"/>
        </w:rPr>
        <w:t>למצרים</w:t>
      </w:r>
      <w:r>
        <w:rPr>
          <w:rFonts w:cs="Miriam;Malgun Gothic Semilight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עוד נקבע</w:t>
      </w:r>
      <w:r>
        <w:rPr>
          <w:rtl w:val="true"/>
        </w:rPr>
        <w:t xml:space="preserve">, </w:t>
      </w:r>
      <w:r>
        <w:rPr>
          <w:rtl w:val="true"/>
        </w:rPr>
        <w:t>כי מידת הפגיעה בערכים המוגנים היתה גבוהה</w:t>
      </w:r>
      <w:r>
        <w:rPr>
          <w:rtl w:val="true"/>
        </w:rPr>
        <w:t xml:space="preserve">, </w:t>
      </w:r>
      <w:r>
        <w:rPr>
          <w:rFonts w:cs="Miriam;Malgun Gothic Semilight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;Malgun Gothic Semilight"/>
          <w:b/>
          <w:b/>
          <w:spacing w:val="0"/>
          <w:szCs w:val="24"/>
          <w:rtl w:val="true"/>
        </w:rPr>
        <w:t>וזאת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Cs w:val="24"/>
          <w:rtl w:val="true"/>
        </w:rPr>
        <w:t>בשים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Cs w:val="24"/>
          <w:rtl w:val="true"/>
        </w:rPr>
        <w:t>לב</w:t>
      </w:r>
      <w:r>
        <w:rPr>
          <w:rFonts w:cs="Miriam;Malgun Gothic Semilight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;Malgun Gothic Semilight"/>
          <w:b/>
          <w:b/>
          <w:spacing w:val="0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Cs w:val="24"/>
          <w:rtl w:val="true"/>
        </w:rPr>
        <w:t>היתר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Cs w:val="24"/>
          <w:rtl w:val="true"/>
        </w:rPr>
        <w:t>לכמות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Cs w:val="24"/>
          <w:rtl w:val="true"/>
        </w:rPr>
        <w:t>הסמים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Cs w:val="24"/>
          <w:rtl w:val="true"/>
        </w:rPr>
        <w:t>שיובאו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;Malgun Gothic Semilight" w:ascii="Century" w:hAnsi="Century"/>
          <w:b/>
          <w:spacing w:val="0"/>
          <w:szCs w:val="24"/>
          <w:rtl w:val="true"/>
        </w:rPr>
        <w:t>(</w:t>
      </w:r>
      <w:r>
        <w:rPr>
          <w:rFonts w:ascii="Century" w:hAnsi="Century" w:cs="Miriam;Malgun Gothic Semilight"/>
          <w:b/>
          <w:b/>
          <w:spacing w:val="0"/>
          <w:szCs w:val="24"/>
          <w:rtl w:val="true"/>
        </w:rPr>
        <w:t>קרוב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Cs w:val="24"/>
          <w:rtl w:val="true"/>
        </w:rPr>
        <w:t>ל</w:t>
      </w:r>
      <w:r>
        <w:rPr>
          <w:rFonts w:cs="Miriam;Malgun Gothic Semilight" w:ascii="Century" w:hAnsi="Century"/>
          <w:b/>
          <w:spacing w:val="0"/>
          <w:szCs w:val="24"/>
          <w:rtl w:val="true"/>
        </w:rPr>
        <w:t>-</w:t>
      </w:r>
      <w:r>
        <w:rPr>
          <w:rFonts w:cs="Miriam;Malgun Gothic Semilight" w:ascii="Century" w:hAnsi="Century"/>
          <w:b/>
          <w:spacing w:val="0"/>
          <w:szCs w:val="24"/>
        </w:rPr>
        <w:t>300</w:t>
      </w:r>
      <w:r>
        <w:rPr>
          <w:rFonts w:cs="Miriam;Malgun Gothic Semilight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Cs w:val="24"/>
          <w:rtl w:val="true"/>
        </w:rPr>
        <w:t>ק</w:t>
      </w:r>
      <w:r>
        <w:rPr>
          <w:rFonts w:cs="Miriam;Malgun Gothic Semilight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;Malgun Gothic Semilight"/>
          <w:b/>
          <w:b/>
          <w:spacing w:val="0"/>
          <w:szCs w:val="24"/>
          <w:rtl w:val="true"/>
        </w:rPr>
        <w:t>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;Malgun Gothic Semilight" w:ascii="Century" w:hAnsi="Century"/>
          <w:b/>
          <w:spacing w:val="0"/>
          <w:szCs w:val="24"/>
          <w:rtl w:val="true"/>
        </w:rPr>
        <w:t>[...])"</w:t>
      </w:r>
      <w:r>
        <w:rPr>
          <w:rtl w:val="true"/>
        </w:rPr>
        <w:t xml:space="preserve">. </w:t>
      </w:r>
      <w:r>
        <w:rPr>
          <w:rtl w:val="true"/>
        </w:rPr>
        <w:t>גם באשר לאישום השני</w:t>
      </w:r>
      <w:r>
        <w:rPr>
          <w:rtl w:val="true"/>
        </w:rPr>
        <w:t xml:space="preserve">, </w:t>
      </w:r>
      <w:r>
        <w:rPr>
          <w:rtl w:val="true"/>
        </w:rPr>
        <w:t>בעניינו של עאייש</w:t>
      </w:r>
      <w:r>
        <w:rPr>
          <w:rtl w:val="true"/>
        </w:rPr>
        <w:t xml:space="preserve">, </w:t>
      </w:r>
      <w:r>
        <w:rPr>
          <w:rtl w:val="true"/>
        </w:rPr>
        <w:t>נקבע כי מידת הפגיעה אינה מבוטלת</w:t>
      </w:r>
      <w:r>
        <w:rPr>
          <w:rtl w:val="true"/>
        </w:rPr>
        <w:t xml:space="preserve">, </w:t>
      </w:r>
      <w:r>
        <w:rPr>
          <w:rtl w:val="true"/>
        </w:rPr>
        <w:t>נוכח משקל הסם</w:t>
      </w:r>
      <w:r>
        <w:rPr>
          <w:rtl w:val="true"/>
        </w:rPr>
        <w:t xml:space="preserve">, </w:t>
      </w:r>
      <w:r>
        <w:rPr>
          <w:rtl w:val="true"/>
        </w:rPr>
        <w:t>נסיבות החזקתו</w:t>
      </w:r>
      <w:r>
        <w:rPr>
          <w:rtl w:val="true"/>
        </w:rPr>
        <w:t xml:space="preserve">, </w:t>
      </w:r>
      <w:r>
        <w:rPr>
          <w:rtl w:val="true"/>
        </w:rPr>
        <w:t>ותקיפת החייל בקשר עם ביצוע העבירה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באשר לנסיבות הספציפיות הנוגעות לעבירות מושא האישומים</w:t>
      </w:r>
      <w:r>
        <w:rPr>
          <w:rtl w:val="true"/>
        </w:rPr>
        <w:t xml:space="preserve">, </w:t>
      </w:r>
      <w:r>
        <w:rPr>
          <w:rtl w:val="true"/>
        </w:rPr>
        <w:t>נתן בית המשפט המחוזי את דעתו על התכנון המפורט ועל ההכנות שקדמו לביצוע מעשי העבירה</w:t>
      </w:r>
      <w:r>
        <w:rPr>
          <w:rtl w:val="true"/>
        </w:rPr>
        <w:t xml:space="preserve">; </w:t>
      </w:r>
      <w:r>
        <w:rPr>
          <w:rtl w:val="true"/>
        </w:rPr>
        <w:t>ליבוא הסמים דרך הגבול</w:t>
      </w:r>
      <w:r>
        <w:rPr>
          <w:rtl w:val="true"/>
        </w:rPr>
        <w:t xml:space="preserve">, </w:t>
      </w:r>
      <w:r>
        <w:rPr>
          <w:rtl w:val="true"/>
        </w:rPr>
        <w:t>שהוא בעל פוטנציאל להתלקחות הגזרה</w:t>
      </w:r>
      <w:r>
        <w:rPr>
          <w:rtl w:val="true"/>
        </w:rPr>
        <w:t xml:space="preserve">; </w:t>
      </w:r>
      <w:r>
        <w:rPr>
          <w:rtl w:val="true"/>
        </w:rPr>
        <w:t>למשאבים הצבאיים והמשטרתיים שהושקעו</w:t>
      </w:r>
      <w:r>
        <w:rPr>
          <w:rtl w:val="true"/>
        </w:rPr>
        <w:t xml:space="preserve">; </w:t>
      </w:r>
      <w:r>
        <w:rPr>
          <w:rtl w:val="true"/>
        </w:rPr>
        <w:t>לכמות הסמים העצומה</w:t>
      </w:r>
      <w:r>
        <w:rPr>
          <w:rtl w:val="true"/>
        </w:rPr>
        <w:t xml:space="preserve">; </w:t>
      </w:r>
      <w:r>
        <w:rPr>
          <w:rtl w:val="true"/>
        </w:rPr>
        <w:t>לנזק שנגרם</w:t>
      </w:r>
      <w:r>
        <w:rPr>
          <w:rtl w:val="true"/>
        </w:rPr>
        <w:t xml:space="preserve">; </w:t>
      </w:r>
      <w:r>
        <w:rPr>
          <w:rtl w:val="true"/>
        </w:rPr>
        <w:t>לנזק שעלול היה להיגרם</w:t>
      </w:r>
      <w:r>
        <w:rPr>
          <w:rtl w:val="true"/>
        </w:rPr>
        <w:t xml:space="preserve">, </w:t>
      </w:r>
      <w:r>
        <w:rPr>
          <w:rtl w:val="true"/>
        </w:rPr>
        <w:t>לוּ הסמים היו מגיעים ליעדם</w:t>
      </w:r>
      <w:r>
        <w:rPr>
          <w:rtl w:val="true"/>
        </w:rPr>
        <w:t xml:space="preserve">; </w:t>
      </w:r>
      <w:r>
        <w:rPr>
          <w:rtl w:val="true"/>
        </w:rPr>
        <w:t>לתפקידם המרכזי של נאיף ועאייש באירועי ההברחה</w:t>
      </w:r>
      <w:r>
        <w:rPr>
          <w:rtl w:val="true"/>
        </w:rPr>
        <w:t xml:space="preserve">; </w:t>
      </w:r>
      <w:r>
        <w:rPr>
          <w:rtl w:val="true"/>
        </w:rPr>
        <w:t>ולמידת הסיוע שניתן על</w:t>
      </w:r>
      <w:r>
        <w:rPr>
          <w:rtl w:val="true"/>
        </w:rPr>
        <w:t>-</w:t>
      </w:r>
      <w:r>
        <w:rPr>
          <w:rtl w:val="true"/>
        </w:rPr>
        <w:t>ידי בשיר לביצוע העבירות</w:t>
      </w:r>
      <w:r>
        <w:rPr>
          <w:rtl w:val="true"/>
        </w:rPr>
        <w:t xml:space="preserve">. </w:t>
      </w:r>
      <w:r>
        <w:rPr>
          <w:rtl w:val="true"/>
        </w:rPr>
        <w:t>במסגרת האישום השני בעניינו של עאייש</w:t>
      </w:r>
      <w:r>
        <w:rPr>
          <w:rtl w:val="true"/>
        </w:rPr>
        <w:t xml:space="preserve">, </w:t>
      </w:r>
      <w:r>
        <w:rPr>
          <w:rtl w:val="true"/>
        </w:rPr>
        <w:t>הובאו בחשבון</w:t>
      </w:r>
      <w:r>
        <w:rPr>
          <w:rtl w:val="true"/>
        </w:rPr>
        <w:t xml:space="preserve">: </w:t>
      </w:r>
      <w:r>
        <w:rPr>
          <w:rtl w:val="true"/>
        </w:rPr>
        <w:t>חלקו של עאייש בביצוע העבירות</w:t>
      </w:r>
      <w:r>
        <w:rPr>
          <w:rtl w:val="true"/>
        </w:rPr>
        <w:t xml:space="preserve">, </w:t>
      </w:r>
      <w:r>
        <w:rPr>
          <w:rtl w:val="true"/>
        </w:rPr>
        <w:t>לרבות העמסת שקי הסמים למכונית</w:t>
      </w:r>
      <w:r>
        <w:rPr>
          <w:rtl w:val="true"/>
        </w:rPr>
        <w:t xml:space="preserve">; </w:t>
      </w:r>
      <w:r>
        <w:rPr>
          <w:rtl w:val="true"/>
        </w:rPr>
        <w:t>ההימלטות מכוחות הביטחון</w:t>
      </w:r>
      <w:r>
        <w:rPr>
          <w:rtl w:val="true"/>
        </w:rPr>
        <w:t xml:space="preserve">; </w:t>
      </w:r>
      <w:r>
        <w:rPr>
          <w:rtl w:val="true"/>
        </w:rPr>
        <w:t>תקיפת החייל</w:t>
      </w:r>
      <w:r>
        <w:rPr>
          <w:rtl w:val="true"/>
        </w:rPr>
        <w:t xml:space="preserve">; </w:t>
      </w:r>
      <w:r>
        <w:rPr>
          <w:rtl w:val="true"/>
        </w:rPr>
        <w:t>הנזק שנגרם לכאורה משקי הסמים שלא נתפסו</w:t>
      </w:r>
      <w:r>
        <w:rPr>
          <w:rtl w:val="true"/>
        </w:rPr>
        <w:t xml:space="preserve">; </w:t>
      </w:r>
      <w:r>
        <w:rPr>
          <w:rtl w:val="true"/>
        </w:rPr>
        <w:t>הנזק הגופני שנגרם לחייל</w:t>
      </w:r>
      <w:r>
        <w:rPr>
          <w:rtl w:val="true"/>
        </w:rPr>
        <w:t xml:space="preserve">; </w:t>
      </w:r>
      <w:r>
        <w:rPr>
          <w:rtl w:val="true"/>
        </w:rPr>
        <w:t>הנזק שעלול היה להיגרם כתוצאה מפעולות ההתחמקות שלאחר מכן</w:t>
      </w:r>
      <w:r>
        <w:rPr>
          <w:rtl w:val="true"/>
        </w:rPr>
        <w:t xml:space="preserve">; </w:t>
      </w:r>
      <w:r>
        <w:rPr>
          <w:rtl w:val="true"/>
        </w:rPr>
        <w:t>התעוזה בביצוע העבירות</w:t>
      </w:r>
      <w:r>
        <w:rPr>
          <w:rtl w:val="true"/>
        </w:rPr>
        <w:t xml:space="preserve">; </w:t>
      </w:r>
      <w:r>
        <w:rPr>
          <w:rtl w:val="true"/>
        </w:rPr>
        <w:t>הפגיעה בביטחון המדינה</w:t>
      </w:r>
      <w:r>
        <w:rPr>
          <w:rtl w:val="true"/>
        </w:rPr>
        <w:t xml:space="preserve">; </w:t>
      </w:r>
      <w:r>
        <w:rPr>
          <w:rtl w:val="true"/>
        </w:rPr>
        <w:t>וביצוע העבירה בצוותא עם אדם אחר</w:t>
      </w:r>
      <w:r>
        <w:rPr>
          <w:rtl w:val="true"/>
        </w:rPr>
        <w:t xml:space="preserve">. </w:t>
      </w:r>
      <w:r>
        <w:rPr>
          <w:rtl w:val="true"/>
        </w:rPr>
        <w:t>בעניינו של בשיר</w:t>
      </w:r>
      <w:r>
        <w:rPr>
          <w:rtl w:val="true"/>
        </w:rPr>
        <w:t xml:space="preserve">, </w:t>
      </w:r>
      <w:r>
        <w:rPr>
          <w:rtl w:val="true"/>
        </w:rPr>
        <w:t>ייחס בית המשפט המחוזי משקל לכך שבשיר נטל חלק בתכנון המוקדם</w:t>
      </w:r>
      <w:r>
        <w:rPr>
          <w:rtl w:val="true"/>
        </w:rPr>
        <w:t xml:space="preserve">; </w:t>
      </w:r>
      <w:r>
        <w:rPr>
          <w:rtl w:val="true"/>
        </w:rPr>
        <w:t>לכך שהגיע באופן עצמאי לגדר הגבול עם מכונית משלו</w:t>
      </w:r>
      <w:r>
        <w:rPr>
          <w:rtl w:val="true"/>
        </w:rPr>
        <w:t xml:space="preserve">; </w:t>
      </w:r>
      <w:r>
        <w:rPr>
          <w:rtl w:val="true"/>
        </w:rPr>
        <w:t xml:space="preserve">וכן לכך שעדכן </w:t>
      </w:r>
      <w:r>
        <w:rPr>
          <w:rtl w:val="true"/>
        </w:rPr>
        <w:t>'</w:t>
      </w:r>
      <w:r>
        <w:rPr>
          <w:rtl w:val="true"/>
        </w:rPr>
        <w:t>בזמן אמת</w:t>
      </w:r>
      <w:r>
        <w:rPr>
          <w:rtl w:val="true"/>
        </w:rPr>
        <w:t xml:space="preserve">' </w:t>
      </w:r>
      <w:r>
        <w:rPr>
          <w:rtl w:val="true"/>
        </w:rPr>
        <w:t>את המבריחים</w:t>
      </w:r>
      <w:r>
        <w:rPr>
          <w:rtl w:val="true"/>
        </w:rPr>
        <w:t xml:space="preserve">, </w:t>
      </w:r>
      <w:r>
        <w:rPr>
          <w:rtl w:val="true"/>
        </w:rPr>
        <w:t>על הגעת כוחות הביטחון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המשפט המחוזי זקף לזכותם של המערערים את הסכמת הצדדים</w:t>
      </w:r>
      <w:r>
        <w:rPr>
          <w:rtl w:val="true"/>
        </w:rPr>
        <w:t xml:space="preserve">, </w:t>
      </w:r>
      <w:r>
        <w:rPr>
          <w:rtl w:val="true"/>
        </w:rPr>
        <w:t>כי לא ברור אם נאיף ועאייש נטלו חלק בהעמסת הסמים לכלי הרכב</w:t>
      </w:r>
      <w:r>
        <w:rPr>
          <w:rtl w:val="true"/>
        </w:rPr>
        <w:t xml:space="preserve">, </w:t>
      </w:r>
      <w:r>
        <w:rPr>
          <w:rtl w:val="true"/>
        </w:rPr>
        <w:t>וכן את העובדה כי הסמים שיובאו אינם מוגדרים כ</w:t>
      </w:r>
      <w:r>
        <w:rPr>
          <w:rtl w:val="true"/>
        </w:rPr>
        <w:t>'</w:t>
      </w:r>
      <w:r>
        <w:rPr>
          <w:rtl w:val="true"/>
        </w:rPr>
        <w:t>סמים קשים</w:t>
      </w:r>
      <w:r>
        <w:rPr>
          <w:rtl w:val="true"/>
        </w:rPr>
        <w:t xml:space="preserve">'. </w:t>
      </w:r>
      <w:r>
        <w:rPr>
          <w:rtl w:val="true"/>
        </w:rPr>
        <w:t xml:space="preserve">בית המשפט המחוזי התחשב גם בכך שהסמים שהוברחו במסגרת האישום הראשון </w:t>
      </w:r>
      <w:r>
        <w:rPr>
          <w:rtl w:val="true"/>
        </w:rPr>
        <w:t>–</w:t>
      </w:r>
      <w:r>
        <w:rPr>
          <w:rtl w:val="true"/>
        </w:rPr>
        <w:t xml:space="preserve"> נתפסו</w:t>
      </w:r>
      <w:r>
        <w:rPr>
          <w:rtl w:val="true"/>
        </w:rPr>
        <w:t xml:space="preserve">. </w:t>
      </w:r>
      <w:r>
        <w:rPr>
          <w:rtl w:val="true"/>
        </w:rPr>
        <w:t>במסגרת האישום השני בעניינו של עאייש</w:t>
      </w:r>
      <w:r>
        <w:rPr>
          <w:rtl w:val="true"/>
        </w:rPr>
        <w:t xml:space="preserve">, </w:t>
      </w:r>
      <w:r>
        <w:rPr>
          <w:rtl w:val="true"/>
        </w:rPr>
        <w:t xml:space="preserve">נזקפה לזכותו העובדה כי הסמים שהוברחו לא היו </w:t>
      </w:r>
      <w:r>
        <w:rPr>
          <w:rtl w:val="true"/>
        </w:rPr>
        <w:t>'</w:t>
      </w:r>
      <w:r>
        <w:rPr>
          <w:rtl w:val="true"/>
        </w:rPr>
        <w:t>קשים</w:t>
      </w:r>
      <w:r>
        <w:rPr>
          <w:rtl w:val="true"/>
        </w:rPr>
        <w:t xml:space="preserve">', </w:t>
      </w:r>
      <w:r>
        <w:rPr>
          <w:rtl w:val="true"/>
        </w:rPr>
        <w:t>וכן כי לא נהג במכונית באירוע זה</w:t>
      </w:r>
      <w:r>
        <w:rPr>
          <w:rtl w:val="true"/>
        </w:rPr>
        <w:t xml:space="preserve">. </w:t>
      </w:r>
      <w:r>
        <w:rPr>
          <w:rtl w:val="true"/>
        </w:rPr>
        <w:t>לזכותו של בשיר נזקפו הנסיבות הבאות</w:t>
      </w:r>
      <w:r>
        <w:rPr>
          <w:rtl w:val="true"/>
        </w:rPr>
        <w:t xml:space="preserve">: </w:t>
      </w:r>
      <w:r>
        <w:rPr>
          <w:rtl w:val="true"/>
        </w:rPr>
        <w:t>הרשעתו בעבירת סיוע בלבד</w:t>
      </w:r>
      <w:r>
        <w:rPr>
          <w:rtl w:val="true"/>
        </w:rPr>
        <w:t xml:space="preserve">, </w:t>
      </w:r>
      <w:r>
        <w:rPr>
          <w:rtl w:val="true"/>
        </w:rPr>
        <w:t>ולא בביצוע העבירה עצמה</w:t>
      </w:r>
      <w:r>
        <w:rPr>
          <w:rtl w:val="true"/>
        </w:rPr>
        <w:t xml:space="preserve">;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הגעתו לגדר הגבול ממש</w:t>
      </w:r>
      <w:r>
        <w:rPr>
          <w:rtl w:val="true"/>
        </w:rPr>
        <w:t xml:space="preserve">; </w:t>
      </w:r>
      <w:r>
        <w:rPr>
          <w:rtl w:val="true"/>
        </w:rPr>
        <w:t>העדר מגע ישיר עם הסמים</w:t>
      </w:r>
      <w:r>
        <w:rPr>
          <w:rtl w:val="true"/>
        </w:rPr>
        <w:t xml:space="preserve">; </w:t>
      </w:r>
      <w:r>
        <w:rPr>
          <w:rtl w:val="true"/>
        </w:rPr>
        <w:t>וכן העובדה כי לא סייע בהעמסתם לכלי הרכב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ששקל את מכלול השיקולים הצריכים לעניין</w:t>
      </w:r>
      <w:r>
        <w:rPr>
          <w:rtl w:val="true"/>
        </w:rPr>
        <w:t xml:space="preserve">, </w:t>
      </w:r>
      <w:r>
        <w:rPr>
          <w:rtl w:val="true"/>
        </w:rPr>
        <w:t>העמיד בית המשפט המחוזי את מתחם העונש ההולם בעניינו של נאיף</w:t>
      </w:r>
      <w:r>
        <w:rPr>
          <w:rtl w:val="true"/>
        </w:rPr>
        <w:t xml:space="preserve">, </w:t>
      </w:r>
      <w:r>
        <w:rPr>
          <w:rtl w:val="true"/>
        </w:rPr>
        <w:t xml:space="preserve">על </w:t>
      </w:r>
      <w:r>
        <w:rPr/>
        <w:t>9-5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. </w:t>
      </w:r>
      <w:r>
        <w:rPr>
          <w:rtl w:val="true"/>
        </w:rPr>
        <w:t>בעניינו של עאייש נקבע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אינדיקציה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לכך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שיש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קשר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שני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האירועים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שהם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תולדה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האחד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השני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שהם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פרי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תכנית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עבריינית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משותפת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גדולה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>. [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עאייש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ביצע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העבירות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בכל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בזמנים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שונים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שותפים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אחרים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ויוחסו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שונות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בגין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אישום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נוכח האמור</w:t>
      </w:r>
      <w:r>
        <w:rPr>
          <w:rtl w:val="true"/>
        </w:rPr>
        <w:t xml:space="preserve">, </w:t>
      </w:r>
      <w:r>
        <w:rPr>
          <w:rtl w:val="true"/>
        </w:rPr>
        <w:t>קבע בית המשפט המחוזי שני מתחמי ענישה נפרדים</w:t>
      </w:r>
      <w:r>
        <w:rPr>
          <w:rtl w:val="true"/>
        </w:rPr>
        <w:t xml:space="preserve">, </w:t>
      </w:r>
      <w:r>
        <w:rPr>
          <w:rtl w:val="true"/>
        </w:rPr>
        <w:t>לכל אחד מן האישומים</w:t>
      </w:r>
      <w:r>
        <w:rPr>
          <w:rtl w:val="true"/>
        </w:rPr>
        <w:t xml:space="preserve">. </w:t>
      </w:r>
      <w:r>
        <w:rPr>
          <w:rtl w:val="true"/>
        </w:rPr>
        <w:t xml:space="preserve">מתחם הענישה בגין האישום הראשון בעניינו של עאייש הועמד על </w:t>
      </w:r>
      <w:r>
        <w:rPr/>
        <w:t>9-5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ואילו מתחם העונש ההולם בגין האישום השני הועמד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/>
        <w:t>20-10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>הוחלט כי יש מקום לחפיפה חלקית בין עונשי המאסר שיקבעו לכל אישום</w:t>
      </w:r>
      <w:r>
        <w:rPr>
          <w:rtl w:val="true"/>
        </w:rPr>
        <w:t xml:space="preserve">, 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זאת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בהתחשב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במספר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העבירות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תדירותן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הזיקה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ביניהן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והצורך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לשמור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הלימה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בענישה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ביחס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למכלול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המעשים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 xml:space="preserve">מתחם הענישה בעניינו של בשיר הועמד על </w:t>
      </w:r>
      <w:r>
        <w:rPr/>
        <w:t>5-3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שקבע את מתחם העונש ההולם</w:t>
      </w:r>
      <w:r>
        <w:rPr>
          <w:rtl w:val="true"/>
        </w:rPr>
        <w:t xml:space="preserve">, </w:t>
      </w:r>
      <w:r>
        <w:rPr>
          <w:rtl w:val="true"/>
        </w:rPr>
        <w:t>ומשלא מצא מקום לסטות ממנו</w:t>
      </w:r>
      <w:r>
        <w:rPr>
          <w:rtl w:val="true"/>
        </w:rPr>
        <w:t xml:space="preserve">, </w:t>
      </w:r>
      <w:r>
        <w:rPr>
          <w:rtl w:val="true"/>
        </w:rPr>
        <w:t>פנה בית המשפט המחוזי לגזור את עונשיהם של המערערים בתוך המתחם</w:t>
      </w:r>
      <w:r>
        <w:rPr>
          <w:rtl w:val="true"/>
        </w:rPr>
        <w:t xml:space="preserve">. </w:t>
      </w:r>
      <w:r>
        <w:rPr>
          <w:rtl w:val="true"/>
        </w:rPr>
        <w:t>ביחס לנאיף ובשיר ניתן משקל להודאתם</w:t>
      </w:r>
      <w:r>
        <w:rPr>
          <w:rtl w:val="true"/>
        </w:rPr>
        <w:t xml:space="preserve">, </w:t>
      </w:r>
      <w:r>
        <w:rPr>
          <w:rtl w:val="true"/>
        </w:rPr>
        <w:t>שהובילה לחסכון בזמן שיפוטי</w:t>
      </w:r>
      <w:r>
        <w:rPr>
          <w:rtl w:val="true"/>
        </w:rPr>
        <w:t xml:space="preserve">; </w:t>
      </w:r>
      <w:r>
        <w:rPr>
          <w:rtl w:val="true"/>
        </w:rPr>
        <w:t>לגילם הצעיר</w:t>
      </w:r>
      <w:r>
        <w:rPr>
          <w:rtl w:val="true"/>
        </w:rPr>
        <w:t xml:space="preserve">; </w:t>
      </w:r>
      <w:r>
        <w:rPr>
          <w:rtl w:val="true"/>
        </w:rPr>
        <w:t>לקיומן של נסיבות אישיות ומשפחתיות</w:t>
      </w:r>
      <w:r>
        <w:rPr>
          <w:rtl w:val="true"/>
        </w:rPr>
        <w:t xml:space="preserve">; </w:t>
      </w:r>
      <w:r>
        <w:rPr>
          <w:rtl w:val="true"/>
        </w:rPr>
        <w:t>להעדרו של עבר פלילי</w:t>
      </w:r>
      <w:r>
        <w:rPr>
          <w:rtl w:val="true"/>
        </w:rPr>
        <w:t xml:space="preserve">; </w:t>
      </w:r>
      <w:r>
        <w:rPr>
          <w:rtl w:val="true"/>
        </w:rPr>
        <w:t>למידת הפגיעה של עונש המאסר בהם ובמשפחותיהם</w:t>
      </w:r>
      <w:r>
        <w:rPr>
          <w:rtl w:val="true"/>
        </w:rPr>
        <w:t xml:space="preserve">; </w:t>
      </w:r>
      <w:r>
        <w:rPr>
          <w:rtl w:val="true"/>
        </w:rPr>
        <w:t>ולשיקולי שיקום</w:t>
      </w:r>
      <w:r>
        <w:rPr>
          <w:rtl w:val="true"/>
        </w:rPr>
        <w:t xml:space="preserve">. </w:t>
      </w:r>
      <w:r>
        <w:rPr>
          <w:rtl w:val="true"/>
        </w:rPr>
        <w:t>בעניינו של בשיר הובא בחשבון דבר היותו נתון בתנאים מגבילים</w:t>
      </w:r>
      <w:r>
        <w:rPr>
          <w:rtl w:val="true"/>
        </w:rPr>
        <w:t xml:space="preserve">, </w:t>
      </w:r>
      <w:r>
        <w:rPr>
          <w:rtl w:val="true"/>
        </w:rPr>
        <w:t>למשך פרק זמן לא מבוטל</w:t>
      </w:r>
      <w:r>
        <w:rPr>
          <w:rtl w:val="true"/>
        </w:rPr>
        <w:t xml:space="preserve">. </w:t>
      </w:r>
      <w:r>
        <w:rPr>
          <w:rtl w:val="true"/>
        </w:rPr>
        <w:t>בעניינו של עאייש ניתן משקל לנסיבותיו האישיות והמשפחתיות המורכבות</w:t>
      </w:r>
      <w:r>
        <w:rPr>
          <w:rtl w:val="true"/>
        </w:rPr>
        <w:t xml:space="preserve">; </w:t>
      </w:r>
      <w:r>
        <w:rPr>
          <w:rtl w:val="true"/>
        </w:rPr>
        <w:t>למצבו הבריאותי</w:t>
      </w:r>
      <w:r>
        <w:rPr>
          <w:rtl w:val="true"/>
        </w:rPr>
        <w:t xml:space="preserve">; </w:t>
      </w:r>
      <w:r>
        <w:rPr>
          <w:rtl w:val="true"/>
        </w:rPr>
        <w:t>למידת הפגיעה של עונש המאסר בו ובמשפחתו</w:t>
      </w:r>
      <w:r>
        <w:rPr>
          <w:rtl w:val="true"/>
        </w:rPr>
        <w:t xml:space="preserve">; </w:t>
      </w:r>
      <w:r>
        <w:rPr>
          <w:rtl w:val="true"/>
        </w:rPr>
        <w:t>וכן להודאתו שהובילה לחיסכון בזמן שיפוטי</w:t>
      </w:r>
      <w:r>
        <w:rPr>
          <w:rtl w:val="true"/>
        </w:rPr>
        <w:t xml:space="preserve">. </w:t>
      </w:r>
      <w:r>
        <w:rPr>
          <w:rtl w:val="true"/>
        </w:rPr>
        <w:t>עאייש אמנם ביקש לחזור בו מהודאתו</w:t>
      </w:r>
      <w:r>
        <w:rPr>
          <w:rtl w:val="true"/>
        </w:rPr>
        <w:t xml:space="preserve">, </w:t>
      </w:r>
      <w:r>
        <w:rPr>
          <w:rtl w:val="true"/>
        </w:rPr>
        <w:t>אך משבקשתו לא התקבלה</w:t>
      </w:r>
      <w:r>
        <w:rPr>
          <w:rtl w:val="true"/>
        </w:rPr>
        <w:t xml:space="preserve">, </w:t>
      </w:r>
      <w:r>
        <w:rPr>
          <w:rtl w:val="true"/>
        </w:rPr>
        <w:t>והודאתו בעינה עומדת</w:t>
      </w:r>
      <w:r>
        <w:rPr>
          <w:rtl w:val="true"/>
        </w:rPr>
        <w:t xml:space="preserve">, </w:t>
      </w:r>
      <w:r>
        <w:rPr>
          <w:rtl w:val="true"/>
        </w:rPr>
        <w:t>נקבע כי יש מקום לתת לה משקל</w:t>
      </w:r>
      <w:r>
        <w:rPr>
          <w:rtl w:val="true"/>
        </w:rPr>
        <w:t xml:space="preserve">; </w:t>
      </w:r>
      <w:r>
        <w:rPr>
          <w:rtl w:val="true"/>
        </w:rPr>
        <w:t>הגם שהמשקל שיש לייחס לה נמוך יחסית</w:t>
      </w:r>
      <w:r>
        <w:rPr>
          <w:rtl w:val="true"/>
        </w:rPr>
        <w:t xml:space="preserve">, </w:t>
      </w:r>
      <w:r>
        <w:rPr>
          <w:rtl w:val="true"/>
        </w:rPr>
        <w:t>בהעדר חרטה ולקיחת אחריות</w:t>
      </w:r>
      <w:r>
        <w:rPr>
          <w:rtl w:val="true"/>
        </w:rPr>
        <w:t xml:space="preserve">. </w:t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>נזקף לחובתו של עאייש עברו הפלילי המכביד</w:t>
      </w:r>
      <w:r>
        <w:rPr>
          <w:rtl w:val="true"/>
        </w:rPr>
        <w:t xml:space="preserve">, </w:t>
      </w:r>
      <w:r>
        <w:rPr>
          <w:rtl w:val="true"/>
        </w:rPr>
        <w:t xml:space="preserve">הכולל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הרשעות שונות</w:t>
      </w:r>
      <w:r>
        <w:rPr>
          <w:rtl w:val="true"/>
        </w:rPr>
        <w:t xml:space="preserve">, </w:t>
      </w:r>
      <w:r>
        <w:rPr>
          <w:rtl w:val="true"/>
        </w:rPr>
        <w:t>לרבות עבירות אלימות כלפי שוטרים</w:t>
      </w:r>
      <w:r>
        <w:rPr>
          <w:rtl w:val="true"/>
        </w:rPr>
        <w:t xml:space="preserve">, </w:t>
      </w:r>
      <w:r>
        <w:rPr>
          <w:rtl w:val="true"/>
        </w:rPr>
        <w:t>ועבירות של החזקת סם לצריכה עצמית</w:t>
      </w:r>
      <w:r>
        <w:rPr>
          <w:rtl w:val="true"/>
        </w:rPr>
        <w:t xml:space="preserve">. </w:t>
      </w:r>
      <w:r>
        <w:rPr>
          <w:rtl w:val="true"/>
        </w:rPr>
        <w:t>נוכח כלל האמור</w:t>
      </w:r>
      <w:r>
        <w:rPr>
          <w:rtl w:val="true"/>
        </w:rPr>
        <w:t xml:space="preserve">, </w:t>
      </w:r>
      <w:r>
        <w:rPr>
          <w:rtl w:val="true"/>
        </w:rPr>
        <w:t>נגזרו על המערערים העונשים שפורטו בראשית הדברים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;Malgun Gothic Semilight"/>
          <w:b/>
          <w:spacing w:val="0"/>
          <w:szCs w:val="24"/>
        </w:rPr>
      </w:pPr>
      <w:r>
        <w:rPr>
          <w:rFonts w:ascii="Century" w:hAnsi="Century" w:cs="Miriam;Malgun Gothic Semilight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Cs w:val="24"/>
          <w:rtl w:val="true"/>
        </w:rPr>
        <w:t>בע</w:t>
      </w:r>
      <w:r>
        <w:rPr>
          <w:rFonts w:cs="Miriam;Malgun Gothic Semilight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;Malgun Gothic Semilight"/>
          <w:b/>
          <w:b/>
          <w:spacing w:val="0"/>
          <w:szCs w:val="24"/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;Malgun Gothic Semilight" w:ascii="Century" w:hAnsi="Century"/>
          <w:b/>
          <w:spacing w:val="0"/>
          <w:szCs w:val="24"/>
        </w:rPr>
        <w:t>8534/21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בערעורו</w:t>
      </w:r>
      <w:r>
        <w:rPr>
          <w:rtl w:val="true"/>
        </w:rPr>
        <w:t xml:space="preserve">, </w:t>
      </w:r>
      <w:r>
        <w:rPr>
          <w:rtl w:val="true"/>
        </w:rPr>
        <w:t>מלין נאיף על חומרת עונש המאסר בפועל שנגזר עליו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שגה בית המשפט המחוזי בכך שקבע מתחם ענישה חמור יתר על המידה</w:t>
      </w:r>
      <w:r>
        <w:rPr>
          <w:rtl w:val="true"/>
        </w:rPr>
        <w:t xml:space="preserve">. </w:t>
      </w:r>
      <w:r>
        <w:rPr>
          <w:rtl w:val="true"/>
        </w:rPr>
        <w:t>נאיף טוען</w:t>
      </w:r>
      <w:r>
        <w:rPr>
          <w:rtl w:val="true"/>
        </w:rPr>
        <w:t xml:space="preserve">, </w:t>
      </w:r>
      <w:r>
        <w:rPr>
          <w:rtl w:val="true"/>
        </w:rPr>
        <w:t>כי מתחם העונש ההולם בעניינו קרוב יותר לזה שנקבע בעניינו של בשיר</w:t>
      </w:r>
      <w:r>
        <w:rPr>
          <w:rtl w:val="true"/>
        </w:rPr>
        <w:t xml:space="preserve">, </w:t>
      </w:r>
      <w:r>
        <w:rPr>
          <w:rtl w:val="true"/>
        </w:rPr>
        <w:t>ודאי לא זהה למתחם הענישה שנקבע בעניינו של עאייש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מחד גיסא בית המשפט המחוזי לא הביא בחשבון בקביעת מתחם העונש ההולם</w:t>
      </w:r>
      <w:r>
        <w:rPr>
          <w:rtl w:val="true"/>
        </w:rPr>
        <w:t xml:space="preserve">, </w:t>
      </w:r>
      <w:r>
        <w:rPr>
          <w:rtl w:val="true"/>
        </w:rPr>
        <w:t>את גילו הצעיר</w:t>
      </w:r>
      <w:r>
        <w:rPr>
          <w:rtl w:val="true"/>
        </w:rPr>
        <w:t xml:space="preserve">; </w:t>
      </w:r>
      <w:r>
        <w:rPr>
          <w:rtl w:val="true"/>
        </w:rPr>
        <w:t>את חלקו המופחת בביצוע העבירות</w:t>
      </w:r>
      <w:r>
        <w:rPr>
          <w:rtl w:val="true"/>
        </w:rPr>
        <w:t xml:space="preserve">; </w:t>
      </w:r>
      <w:r>
        <w:rPr>
          <w:rtl w:val="true"/>
        </w:rPr>
        <w:t>ואת העובדה שלא נהג במכונית</w:t>
      </w:r>
      <w:r>
        <w:rPr>
          <w:rtl w:val="true"/>
        </w:rPr>
        <w:t xml:space="preserve">; </w:t>
      </w:r>
      <w:r>
        <w:rPr>
          <w:rtl w:val="true"/>
        </w:rPr>
        <w:t>ומאידך גיסא</w:t>
      </w:r>
      <w:r>
        <w:rPr>
          <w:rtl w:val="true"/>
        </w:rPr>
        <w:t xml:space="preserve">, </w:t>
      </w:r>
      <w:r>
        <w:rPr>
          <w:rtl w:val="true"/>
        </w:rPr>
        <w:t>בית המשפט המחוזי יצר הפרדה מלאכותית בינו לבין בשיר</w:t>
      </w:r>
      <w:r>
        <w:rPr>
          <w:rtl w:val="true"/>
        </w:rPr>
        <w:t xml:space="preserve">. </w:t>
      </w:r>
      <w:r>
        <w:rPr>
          <w:rtl w:val="true"/>
        </w:rPr>
        <w:t>אמנם כן</w:t>
      </w:r>
      <w:r>
        <w:rPr>
          <w:rtl w:val="true"/>
        </w:rPr>
        <w:t xml:space="preserve">, </w:t>
      </w:r>
      <w:r>
        <w:rPr>
          <w:rtl w:val="true"/>
        </w:rPr>
        <w:t>בשיר הודה והורשע בעבירת סיוע בלבד</w:t>
      </w:r>
      <w:r>
        <w:rPr>
          <w:rtl w:val="true"/>
        </w:rPr>
        <w:t xml:space="preserve">, </w:t>
      </w:r>
      <w:r>
        <w:rPr>
          <w:rtl w:val="true"/>
        </w:rPr>
        <w:t>אך עיון בעובדות כתב האישום מלמד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כי קיים דמיון רב במעשים המיוחסים להם</w:t>
      </w:r>
      <w:r>
        <w:rPr>
          <w:rtl w:val="true"/>
        </w:rPr>
        <w:t xml:space="preserve">. </w:t>
      </w:r>
      <w:r>
        <w:rPr>
          <w:rtl w:val="true"/>
        </w:rPr>
        <w:t>עוד נטען</w:t>
      </w:r>
      <w:r>
        <w:rPr>
          <w:rtl w:val="true"/>
        </w:rPr>
        <w:t xml:space="preserve">, </w:t>
      </w:r>
      <w:r>
        <w:rPr>
          <w:rtl w:val="true"/>
        </w:rPr>
        <w:t>כי בית המשפט ייחס למערערים יבוא סם במשקל של כ</w:t>
      </w:r>
      <w:r>
        <w:rPr>
          <w:rtl w:val="true"/>
        </w:rPr>
        <w:t>-</w:t>
      </w:r>
      <w:r>
        <w:rPr/>
        <w:t>300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, </w:t>
      </w:r>
      <w:r>
        <w:rPr>
          <w:rtl w:val="true"/>
        </w:rPr>
        <w:t>בעוד שלפי 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>הסם שהוברח במכוניתם של נאיף ועאייש היה במשקל של כ</w:t>
      </w:r>
      <w:r>
        <w:rPr>
          <w:rtl w:val="true"/>
        </w:rPr>
        <w:t>-</w:t>
      </w:r>
      <w:r>
        <w:rPr/>
        <w:t>232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 בלבד</w:t>
      </w:r>
      <w:r>
        <w:rPr>
          <w:rtl w:val="true"/>
        </w:rPr>
        <w:t xml:space="preserve">, </w:t>
      </w:r>
      <w:r>
        <w:rPr>
          <w:rtl w:val="true"/>
        </w:rPr>
        <w:t>ואילו יתרת הסם הוברחה במכונית השנייה</w:t>
      </w:r>
      <w:r>
        <w:rPr>
          <w:rtl w:val="true"/>
        </w:rPr>
        <w:t xml:space="preserve">. </w:t>
      </w:r>
      <w:r>
        <w:rPr>
          <w:rtl w:val="true"/>
        </w:rPr>
        <w:t>לבסוף נטען</w:t>
      </w:r>
      <w:r>
        <w:rPr>
          <w:rtl w:val="true"/>
        </w:rPr>
        <w:t xml:space="preserve">, </w:t>
      </w:r>
      <w:r>
        <w:rPr>
          <w:rtl w:val="true"/>
        </w:rPr>
        <w:t>כי לא ניתן משקל מספיק לכך שהסמים נתפסו</w:t>
      </w:r>
      <w:r>
        <w:rPr>
          <w:rtl w:val="true"/>
        </w:rPr>
        <w:t xml:space="preserve">; </w:t>
      </w:r>
      <w:r>
        <w:rPr>
          <w:rtl w:val="true"/>
        </w:rPr>
        <w:t>לעובדה כי נאיף ועאייש עצרו את נסיעת המכונית מיוזמתם</w:t>
      </w:r>
      <w:r>
        <w:rPr>
          <w:rtl w:val="true"/>
        </w:rPr>
        <w:t xml:space="preserve">; </w:t>
      </w:r>
      <w:r>
        <w:rPr>
          <w:rtl w:val="true"/>
        </w:rPr>
        <w:t xml:space="preserve">וכי גם עבירות של הברחת סמים דרך האוויר </w:t>
      </w:r>
      <w:r>
        <w:rPr>
          <w:rtl w:val="true"/>
        </w:rPr>
        <w:t>(</w:t>
      </w:r>
      <w:r>
        <w:rPr>
          <w:rtl w:val="true"/>
        </w:rPr>
        <w:t>נתב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), </w:t>
      </w:r>
      <w:r>
        <w:rPr>
          <w:rtl w:val="true"/>
        </w:rPr>
        <w:t>הן נפוצות למדי</w:t>
      </w:r>
      <w:r>
        <w:rPr>
          <w:rtl w:val="true"/>
        </w:rPr>
        <w:t xml:space="preserve">, </w:t>
      </w:r>
      <w:r>
        <w:rPr>
          <w:rtl w:val="true"/>
        </w:rPr>
        <w:t>ועל כן</w:t>
      </w:r>
      <w:r>
        <w:rPr>
          <w:rtl w:val="true"/>
        </w:rPr>
        <w:t xml:space="preserve">, </w:t>
      </w:r>
      <w:r>
        <w:rPr>
          <w:rtl w:val="true"/>
        </w:rPr>
        <w:t xml:space="preserve">אין סיבה לייחס חומרה מיוחדת להברחה דרך היבשה </w:t>
      </w:r>
      <w:r>
        <w:rPr>
          <w:rtl w:val="true"/>
        </w:rPr>
        <w:t>(</w:t>
      </w:r>
      <w:r>
        <w:rPr>
          <w:rtl w:val="true"/>
        </w:rPr>
        <w:t>גבול מצרים</w:t>
      </w:r>
      <w:r>
        <w:rPr>
          <w:rtl w:val="true"/>
        </w:rPr>
        <w:t>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;Malgun Gothic Semilight"/>
          <w:b/>
          <w:spacing w:val="0"/>
          <w:sz w:val="22"/>
          <w:szCs w:val="24"/>
        </w:rPr>
      </w:pP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בע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;Malgun Gothic Semilight" w:ascii="Century" w:hAnsi="Century"/>
          <w:b/>
          <w:spacing w:val="0"/>
          <w:sz w:val="22"/>
          <w:szCs w:val="24"/>
        </w:rPr>
        <w:t>8669/21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עאייש מלין בערעורו</w:t>
      </w:r>
      <w:r>
        <w:rPr>
          <w:rtl w:val="true"/>
        </w:rPr>
        <w:t xml:space="preserve">, </w:t>
      </w:r>
      <w:r>
        <w:rPr>
          <w:rtl w:val="true"/>
        </w:rPr>
        <w:t>על חומרת עונש המאסר בפועל שנגזר עליו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 xml:space="preserve">מתחם הענישה שנקבע </w:t>
      </w:r>
      <w:r>
        <w:rPr>
          <w:rtl w:val="true"/>
        </w:rPr>
        <w:t>–</w:t>
      </w:r>
      <w:r>
        <w:rPr>
          <w:rtl w:val="true"/>
        </w:rPr>
        <w:t xml:space="preserve"> אינו מוצדק</w:t>
      </w:r>
      <w:r>
        <w:rPr>
          <w:rtl w:val="true"/>
        </w:rPr>
        <w:t xml:space="preserve">. </w:t>
      </w:r>
      <w:r>
        <w:rPr>
          <w:rtl w:val="true"/>
        </w:rPr>
        <w:t>בית המשפט לא יחס משקל מספיק לתפיסת הסמים</w:t>
      </w:r>
      <w:r>
        <w:rPr>
          <w:rtl w:val="true"/>
        </w:rPr>
        <w:t xml:space="preserve">; </w:t>
      </w:r>
      <w:r>
        <w:rPr>
          <w:rtl w:val="true"/>
        </w:rPr>
        <w:t>לכך שאין מדובר ב</w:t>
      </w:r>
      <w:r>
        <w:rPr>
          <w:rtl w:val="true"/>
        </w:rPr>
        <w:t>'</w:t>
      </w:r>
      <w:r>
        <w:rPr>
          <w:rtl w:val="true"/>
        </w:rPr>
        <w:t>סמים קשים</w:t>
      </w:r>
      <w:r>
        <w:rPr>
          <w:rtl w:val="true"/>
        </w:rPr>
        <w:t xml:space="preserve">'; </w:t>
      </w:r>
      <w:r>
        <w:rPr>
          <w:rtl w:val="true"/>
        </w:rPr>
        <w:t xml:space="preserve">וכן לעובדה כי עסקינן בהברחה </w:t>
      </w:r>
      <w:r>
        <w:rPr>
          <w:rtl w:val="true"/>
        </w:rPr>
        <w:t>'</w:t>
      </w:r>
      <w:r>
        <w:rPr>
          <w:rtl w:val="true"/>
        </w:rPr>
        <w:t>פשוטה</w:t>
      </w:r>
      <w:r>
        <w:rPr>
          <w:rtl w:val="true"/>
        </w:rPr>
        <w:t xml:space="preserve">', </w:t>
      </w:r>
      <w:r>
        <w:rPr>
          <w:rtl w:val="true"/>
        </w:rPr>
        <w:t>ולא מתוחכמת</w:t>
      </w:r>
      <w:r>
        <w:rPr>
          <w:rtl w:val="true"/>
        </w:rPr>
        <w:t xml:space="preserve">. </w:t>
      </w:r>
      <w:r>
        <w:rPr>
          <w:rtl w:val="true"/>
        </w:rPr>
        <w:t>כך גם גזירת העונש בתוך המתחם</w:t>
      </w:r>
      <w:r>
        <w:rPr>
          <w:rtl w:val="true"/>
        </w:rPr>
        <w:t xml:space="preserve">, </w:t>
      </w:r>
      <w:r>
        <w:rPr>
          <w:rtl w:val="true"/>
        </w:rPr>
        <w:t>מחמירה עמו יתר על המידה</w:t>
      </w:r>
      <w:r>
        <w:rPr>
          <w:rtl w:val="true"/>
        </w:rPr>
        <w:t xml:space="preserve">. </w:t>
      </w:r>
      <w:r>
        <w:rPr>
          <w:rtl w:val="true"/>
        </w:rPr>
        <w:t>לא ניתן משקל להודאתו</w:t>
      </w:r>
      <w:r>
        <w:rPr>
          <w:rtl w:val="true"/>
        </w:rPr>
        <w:t xml:space="preserve">, </w:t>
      </w:r>
      <w:r>
        <w:rPr>
          <w:rtl w:val="true"/>
        </w:rPr>
        <w:t>שחסכה זמן שיפוטי</w:t>
      </w:r>
      <w:r>
        <w:rPr>
          <w:rtl w:val="true"/>
        </w:rPr>
        <w:t xml:space="preserve">, </w:t>
      </w:r>
      <w:r>
        <w:rPr>
          <w:rtl w:val="true"/>
        </w:rPr>
        <w:t>כאשר גם עברו הפלילי אינו מצדיק את הפער המשמעותי בענישה בינו לבין נאיף</w:t>
      </w:r>
      <w:r>
        <w:rPr>
          <w:rtl w:val="true"/>
        </w:rPr>
        <w:t xml:space="preserve">, </w:t>
      </w:r>
      <w:r>
        <w:rPr>
          <w:rtl w:val="true"/>
        </w:rPr>
        <w:t xml:space="preserve">שעונשו הועמד על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 מאסר בלבד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לא ניתן די משקל לנסיבות האישיות והמשפחתיות המורכבות</w:t>
      </w:r>
      <w:r>
        <w:rPr>
          <w:rtl w:val="true"/>
        </w:rPr>
        <w:t xml:space="preserve">, </w:t>
      </w:r>
      <w:r>
        <w:rPr>
          <w:rtl w:val="true"/>
        </w:rPr>
        <w:t>ולמצבו הרפואי</w:t>
      </w:r>
      <w:r>
        <w:rPr>
          <w:rtl w:val="true"/>
        </w:rPr>
        <w:t xml:space="preserve">; </w:t>
      </w:r>
      <w:r>
        <w:rPr>
          <w:rtl w:val="true"/>
        </w:rPr>
        <w:t>ניתנה בכורה לשיקול הרתעת הרבים</w:t>
      </w:r>
      <w:r>
        <w:rPr>
          <w:rtl w:val="true"/>
        </w:rPr>
        <w:t xml:space="preserve">; </w:t>
      </w:r>
      <w:r>
        <w:rPr>
          <w:rtl w:val="true"/>
        </w:rPr>
        <w:t>נזנח עיקרון הענישה האינדיבידואלית</w:t>
      </w:r>
      <w:r>
        <w:rPr>
          <w:rtl w:val="true"/>
        </w:rPr>
        <w:t xml:space="preserve">; </w:t>
      </w:r>
      <w:r>
        <w:rPr>
          <w:rtl w:val="true"/>
        </w:rPr>
        <w:t>וניתן משקל יתר לשיקול שעניינו בפגיעה בביטחון המדינה</w:t>
      </w:r>
      <w:r>
        <w:rPr>
          <w:rtl w:val="true"/>
        </w:rPr>
        <w:t xml:space="preserve">. </w:t>
      </w:r>
      <w:r>
        <w:rPr>
          <w:rtl w:val="true"/>
        </w:rPr>
        <w:t>עוד מלין עאייש על כך שהעונש בגין האישום השני ירוצה חלקו במצטבר</w:t>
      </w:r>
      <w:r>
        <w:rPr>
          <w:rtl w:val="true"/>
        </w:rPr>
        <w:t xml:space="preserve">, </w:t>
      </w:r>
      <w:r>
        <w:rPr>
          <w:rtl w:val="true"/>
        </w:rPr>
        <w:t>ולא יחפוף כולו לתקופת המאסר בגין האישום הראשון</w:t>
      </w:r>
      <w:r>
        <w:rPr>
          <w:rtl w:val="true"/>
        </w:rPr>
        <w:t xml:space="preserve">. </w:t>
      </w:r>
      <w:r>
        <w:rPr>
          <w:rtl w:val="true"/>
        </w:rPr>
        <w:t>לבסוף טוען עאייש</w:t>
      </w:r>
      <w:r>
        <w:rPr>
          <w:rtl w:val="true"/>
        </w:rPr>
        <w:t xml:space="preserve">, </w:t>
      </w:r>
      <w:r>
        <w:rPr>
          <w:rtl w:val="true"/>
        </w:rPr>
        <w:t>כי אין מקום לגזור עליו עונש של שלילת רישיון נהיגה</w:t>
      </w:r>
      <w:r>
        <w:rPr>
          <w:rtl w:val="true"/>
        </w:rPr>
        <w:t xml:space="preserve">, </w:t>
      </w:r>
      <w:r>
        <w:rPr>
          <w:rtl w:val="true"/>
        </w:rPr>
        <w:t>שעה שהוא מתגורר בפזורה הבדואית</w:t>
      </w:r>
      <w:r>
        <w:rPr>
          <w:rtl w:val="true"/>
        </w:rPr>
        <w:t xml:space="preserve">, </w:t>
      </w:r>
      <w:r>
        <w:rPr>
          <w:rtl w:val="true"/>
        </w:rPr>
        <w:t>ויתקשה להתנייד ללא שימוש במכונית פרטית</w:t>
      </w:r>
      <w:r>
        <w:rPr>
          <w:rtl w:val="true"/>
        </w:rPr>
        <w:t xml:space="preserve">, </w:t>
      </w:r>
      <w:r>
        <w:rPr>
          <w:rtl w:val="true"/>
        </w:rPr>
        <w:t>בהעדר תחבורה ציבורית זמינה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Century" w:hAnsi="Century" w:cs="Miriam;Malgun Gothic Semilight"/>
          <w:b/>
          <w:spacing w:val="0"/>
          <w:sz w:val="22"/>
          <w:szCs w:val="24"/>
        </w:rPr>
      </w:pP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ב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;Malgun Gothic Semilight" w:ascii="Century" w:hAnsi="Century"/>
          <w:b/>
          <w:spacing w:val="0"/>
          <w:sz w:val="22"/>
          <w:szCs w:val="24"/>
        </w:rPr>
        <w:t>8742/20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בשיר מלין גם הוא בערעורו על חומרת עונש המאסר בפועל שנגזר עליו</w:t>
      </w:r>
      <w:r>
        <w:rPr>
          <w:rtl w:val="true"/>
        </w:rPr>
        <w:t xml:space="preserve">, </w:t>
      </w:r>
      <w:r>
        <w:rPr>
          <w:rtl w:val="true"/>
        </w:rPr>
        <w:t>אשר חורג לטעמו ממדיניות הענישה המקובלת</w:t>
      </w:r>
      <w:r>
        <w:rPr>
          <w:rtl w:val="true"/>
        </w:rPr>
        <w:t xml:space="preserve">. </w:t>
      </w:r>
      <w:r>
        <w:rPr>
          <w:rtl w:val="true"/>
        </w:rPr>
        <w:t>בשיר טוען עוד</w:t>
      </w:r>
      <w:r>
        <w:rPr>
          <w:rtl w:val="true"/>
        </w:rPr>
        <w:t xml:space="preserve">, </w:t>
      </w:r>
      <w:r>
        <w:rPr>
          <w:rtl w:val="true"/>
        </w:rPr>
        <w:t xml:space="preserve">כי שגה בית המשפט המחוזי בעת שייחס לו סיוע להברחת סמים במשקל </w:t>
      </w:r>
      <w:r>
        <w:rPr/>
        <w:t>300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, </w:t>
      </w:r>
      <w:r>
        <w:rPr>
          <w:rtl w:val="true"/>
        </w:rPr>
        <w:t>בעוד שכתב האישום המתוקן מייחס את עבירת הסיוע אך להברחת הסמים שנתפסו במכוניתם של נאיף ועאייש</w:t>
      </w:r>
      <w:r>
        <w:rPr>
          <w:rtl w:val="true"/>
        </w:rPr>
        <w:t xml:space="preserve">. </w:t>
      </w:r>
      <w:r>
        <w:rPr>
          <w:rtl w:val="true"/>
        </w:rPr>
        <w:t>בשיר מוסיף וטוען</w:t>
      </w:r>
      <w:r>
        <w:rPr>
          <w:rtl w:val="true"/>
        </w:rPr>
        <w:t xml:space="preserve">, </w:t>
      </w:r>
      <w:r>
        <w:rPr>
          <w:rtl w:val="true"/>
        </w:rPr>
        <w:t>כי לא ניתן משקל ראוי לכך ששימש כתצפיתן בלבד</w:t>
      </w:r>
      <w:r>
        <w:rPr>
          <w:rtl w:val="true"/>
        </w:rPr>
        <w:t xml:space="preserve">, </w:t>
      </w:r>
      <w:r>
        <w:rPr>
          <w:rtl w:val="true"/>
        </w:rPr>
        <w:t>ולא נטל חלק בהברחה עצמה</w:t>
      </w:r>
      <w:r>
        <w:rPr>
          <w:rtl w:val="true"/>
        </w:rPr>
        <w:t xml:space="preserve">; </w:t>
      </w:r>
      <w:r>
        <w:rPr>
          <w:rtl w:val="true"/>
        </w:rPr>
        <w:t>וכן לנסיבות חייו המורכבות</w:t>
      </w:r>
      <w:r>
        <w:rPr>
          <w:rtl w:val="true"/>
        </w:rPr>
        <w:t xml:space="preserve">. </w:t>
      </w:r>
      <w:r>
        <w:rPr>
          <w:rtl w:val="true"/>
        </w:rPr>
        <w:t>לבסוף טוען בשיר</w:t>
      </w:r>
      <w:r>
        <w:rPr>
          <w:rtl w:val="true"/>
        </w:rPr>
        <w:t xml:space="preserve">, </w:t>
      </w:r>
      <w:r>
        <w:rPr>
          <w:rtl w:val="true"/>
        </w:rPr>
        <w:t>כי אין מקום להחמיר בעונשו אך מחמת ההיבט הביטחוני הכרוך בהברחה דרך גבול יבשתי</w:t>
      </w:r>
      <w:r>
        <w:rPr>
          <w:rtl w:val="true"/>
        </w:rPr>
        <w:t xml:space="preserve">, </w:t>
      </w:r>
      <w:r>
        <w:rPr>
          <w:rtl w:val="true"/>
        </w:rPr>
        <w:t>ובשל שכיחות הברחת הסמים ממצרים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שכן גם הברחה דרך נמל תעופה היא תופעה נפוצה</w:t>
      </w:r>
      <w:r>
        <w:rPr>
          <w:rtl w:val="true"/>
        </w:rPr>
        <w:t xml:space="preserve">, </w:t>
      </w:r>
      <w:r>
        <w:rPr>
          <w:rtl w:val="true"/>
        </w:rPr>
        <w:t>ואף היא טומנת בחובה סיכונים ביטחוניים שונים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;Malgun Gothic Semilight"/>
          <w:b/>
          <w:spacing w:val="0"/>
          <w:sz w:val="22"/>
          <w:szCs w:val="24"/>
        </w:rPr>
      </w:pP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הדיון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בערעורים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בדיון שהתקיים לפנינו</w:t>
      </w:r>
      <w:r>
        <w:rPr>
          <w:rtl w:val="true"/>
        </w:rPr>
        <w:t xml:space="preserve">, </w:t>
      </w:r>
      <w:r>
        <w:rPr>
          <w:rtl w:val="true"/>
        </w:rPr>
        <w:t>חזרו ב</w:t>
      </w:r>
      <w:r>
        <w:rPr>
          <w:rtl w:val="true"/>
        </w:rPr>
        <w:t>"</w:t>
      </w:r>
      <w:r>
        <w:rPr>
          <w:rtl w:val="true"/>
        </w:rPr>
        <w:t>כ המערערים על עיקרי טענותיהם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המשיבה הסכימה כי אכן חלה טעות בגזר הדין</w:t>
      </w:r>
      <w:r>
        <w:rPr>
          <w:rtl w:val="true"/>
        </w:rPr>
        <w:t xml:space="preserve">, </w:t>
      </w:r>
      <w:r>
        <w:rPr>
          <w:rtl w:val="true"/>
        </w:rPr>
        <w:t>ולמערערים יוחסה הברחה של כ</w:t>
      </w:r>
      <w:r>
        <w:rPr>
          <w:rtl w:val="true"/>
        </w:rPr>
        <w:t>-</w:t>
      </w:r>
      <w:r>
        <w:rPr/>
        <w:t>300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 סמים בעוד שלפי 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>הוברחו על</w:t>
      </w:r>
      <w:r>
        <w:rPr>
          <w:rtl w:val="true"/>
        </w:rPr>
        <w:t>-</w:t>
      </w:r>
      <w:r>
        <w:rPr>
          <w:rtl w:val="true"/>
        </w:rPr>
        <w:t>ידם כ</w:t>
      </w:r>
      <w:r>
        <w:rPr>
          <w:rtl w:val="true"/>
        </w:rPr>
        <w:t>-</w:t>
      </w:r>
      <w:r>
        <w:rPr/>
        <w:t>230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 בלבד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לטענתה אין מדובר בהבדל משמעותי</w:t>
      </w:r>
      <w:r>
        <w:rPr>
          <w:rtl w:val="true"/>
        </w:rPr>
        <w:t xml:space="preserve">, </w:t>
      </w:r>
      <w:r>
        <w:rPr>
          <w:rtl w:val="true"/>
        </w:rPr>
        <w:t>המצדיק התערבות בענישה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אין בנמצא פסיקה קודמת</w:t>
      </w:r>
      <w:r>
        <w:rPr>
          <w:rtl w:val="true"/>
        </w:rPr>
        <w:t xml:space="preserve">, </w:t>
      </w:r>
      <w:r>
        <w:rPr>
          <w:rtl w:val="true"/>
        </w:rPr>
        <w:t>העוסקת בהברחת סמים בהיקף כה נרחב</w:t>
      </w:r>
      <w:r>
        <w:rPr>
          <w:rtl w:val="true"/>
        </w:rPr>
        <w:t xml:space="preserve">; </w:t>
      </w:r>
      <w:r>
        <w:rPr>
          <w:rtl w:val="true"/>
        </w:rPr>
        <w:t>פוטנציאל הנזק שיכול היה להיגרם הריהו עצום</w:t>
      </w:r>
      <w:r>
        <w:rPr>
          <w:rtl w:val="true"/>
        </w:rPr>
        <w:t xml:space="preserve">; </w:t>
      </w:r>
      <w:r>
        <w:rPr>
          <w:rtl w:val="true"/>
        </w:rPr>
        <w:t>ולכן נדרשת ענישה משמעותית</w:t>
      </w:r>
      <w:r>
        <w:rPr>
          <w:rtl w:val="true"/>
        </w:rPr>
        <w:t xml:space="preserve">. </w:t>
      </w:r>
      <w:r>
        <w:rPr>
          <w:rtl w:val="true"/>
        </w:rPr>
        <w:t>עוד טענה ב</w:t>
      </w:r>
      <w:r>
        <w:rPr>
          <w:rtl w:val="true"/>
        </w:rPr>
        <w:t>"</w:t>
      </w:r>
      <w:r>
        <w:rPr>
          <w:rtl w:val="true"/>
        </w:rPr>
        <w:t>כ המשיבה</w:t>
      </w:r>
      <w:r>
        <w:rPr>
          <w:rtl w:val="true"/>
        </w:rPr>
        <w:t xml:space="preserve">, </w:t>
      </w:r>
      <w:r>
        <w:rPr>
          <w:rtl w:val="true"/>
        </w:rPr>
        <w:t>כי צדק בית המשפט המחוזי כאשר החמיר בעונשיהם של המערערים</w:t>
      </w:r>
      <w:r>
        <w:rPr>
          <w:rtl w:val="true"/>
        </w:rPr>
        <w:t xml:space="preserve">, </w:t>
      </w:r>
      <w:r>
        <w:rPr>
          <w:rtl w:val="true"/>
        </w:rPr>
        <w:t>בשל כך שההברחה בוצעה דרך הגבול היבשתי עם מצרים</w:t>
      </w:r>
      <w:r>
        <w:rPr>
          <w:rtl w:val="true"/>
        </w:rPr>
        <w:t xml:space="preserve">. </w:t>
      </w:r>
      <w:r>
        <w:rPr>
          <w:rtl w:val="true"/>
        </w:rPr>
        <w:t>ההברחות דרך גבול מצרים מטילות נטל כבד על כוחות הביטחון</w:t>
      </w:r>
      <w:r>
        <w:rPr>
          <w:rtl w:val="true"/>
        </w:rPr>
        <w:t xml:space="preserve">, </w:t>
      </w:r>
      <w:r>
        <w:rPr>
          <w:rtl w:val="true"/>
        </w:rPr>
        <w:t>ודורשות הקצאת משאבים רבה</w:t>
      </w:r>
      <w:r>
        <w:rPr>
          <w:rtl w:val="true"/>
        </w:rPr>
        <w:t xml:space="preserve">. </w:t>
      </w:r>
      <w:r>
        <w:rPr>
          <w:rtl w:val="true"/>
        </w:rPr>
        <w:t>המבריחים נפגשים עם אזרחים זרים מצדו השני של הגבול</w:t>
      </w:r>
      <w:r>
        <w:rPr>
          <w:rtl w:val="true"/>
        </w:rPr>
        <w:t xml:space="preserve">, </w:t>
      </w:r>
      <w:r>
        <w:rPr>
          <w:rtl w:val="true"/>
        </w:rPr>
        <w:t>ואין דרך לוודא שמפגשים מעין אלו לא ישמשו לביצוע מעשים חמורים</w:t>
      </w:r>
      <w:r>
        <w:rPr>
          <w:rtl w:val="true"/>
        </w:rPr>
        <w:t xml:space="preserve">, </w:t>
      </w:r>
      <w:r>
        <w:rPr>
          <w:rtl w:val="true"/>
        </w:rPr>
        <w:t>הכוללים פגיעה בביטחון המדינה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המשיבה הוסיפה וטענה</w:t>
      </w:r>
      <w:r>
        <w:rPr>
          <w:rtl w:val="true"/>
        </w:rPr>
        <w:t xml:space="preserve">, </w:t>
      </w:r>
      <w:r>
        <w:rPr>
          <w:rtl w:val="true"/>
        </w:rPr>
        <w:t>כי נסיבות העניין שלפנינו חמורות במיוחד</w:t>
      </w:r>
      <w:r>
        <w:rPr>
          <w:rtl w:val="true"/>
        </w:rPr>
        <w:t xml:space="preserve">, </w:t>
      </w:r>
      <w:r>
        <w:rPr>
          <w:rtl w:val="true"/>
        </w:rPr>
        <w:t>ומלמדות על תעוזה רבה של המבריחים</w:t>
      </w:r>
      <w:r>
        <w:rPr>
          <w:rtl w:val="true"/>
        </w:rPr>
        <w:t xml:space="preserve">. </w:t>
      </w:r>
      <w:r>
        <w:rPr>
          <w:rtl w:val="true"/>
        </w:rPr>
        <w:t>באשר לעניינם הפרטני של המערערים</w:t>
      </w:r>
      <w:r>
        <w:rPr>
          <w:rtl w:val="true"/>
        </w:rPr>
        <w:t xml:space="preserve">, </w:t>
      </w:r>
      <w:r>
        <w:rPr>
          <w:rtl w:val="true"/>
        </w:rPr>
        <w:t>טענה ב</w:t>
      </w:r>
      <w:r>
        <w:rPr>
          <w:rtl w:val="true"/>
        </w:rPr>
        <w:t>"</w:t>
      </w:r>
      <w:r>
        <w:rPr>
          <w:rtl w:val="true"/>
        </w:rPr>
        <w:t>כ המשיבה</w:t>
      </w:r>
      <w:r>
        <w:rPr>
          <w:rtl w:val="true"/>
        </w:rPr>
        <w:t xml:space="preserve">, </w:t>
      </w:r>
      <w:r>
        <w:rPr>
          <w:rtl w:val="true"/>
        </w:rPr>
        <w:t>כי בית המשפט המחוזי הביא בחשבון את גילם הצעיר של נאיף ובשיר</w:t>
      </w:r>
      <w:r>
        <w:rPr>
          <w:rtl w:val="true"/>
        </w:rPr>
        <w:t xml:space="preserve">, </w:t>
      </w:r>
      <w:r>
        <w:rPr>
          <w:rtl w:val="true"/>
        </w:rPr>
        <w:t>ואת העובדה כי הם נעדרים עבר פלילי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אף שכיום מואשם נאיף בהברחת סמים במסגרת כתב אישום נוסף</w:t>
      </w:r>
      <w:r>
        <w:rPr>
          <w:rtl w:val="true"/>
        </w:rPr>
        <w:t xml:space="preserve">, </w:t>
      </w:r>
      <w:r>
        <w:rPr>
          <w:rtl w:val="true"/>
        </w:rPr>
        <w:t>ובשיר הורשע בביצוע עבירת אלימות</w:t>
      </w:r>
      <w:r>
        <w:rPr>
          <w:rtl w:val="true"/>
        </w:rPr>
        <w:t xml:space="preserve">, </w:t>
      </w:r>
      <w:r>
        <w:rPr>
          <w:rtl w:val="true"/>
        </w:rPr>
        <w:t xml:space="preserve">ונגזרו עליו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>כך גם בעניינו של עאייש</w:t>
      </w:r>
      <w:r>
        <w:rPr>
          <w:rtl w:val="true"/>
        </w:rPr>
        <w:t xml:space="preserve">, </w:t>
      </w:r>
      <w:r>
        <w:rPr>
          <w:rtl w:val="true"/>
        </w:rPr>
        <w:t>נשקלו כל השיקולים הרלבנטיים</w:t>
      </w:r>
      <w:r>
        <w:rPr>
          <w:rtl w:val="true"/>
        </w:rPr>
        <w:t xml:space="preserve">, </w:t>
      </w:r>
      <w:r>
        <w:rPr>
          <w:rtl w:val="true"/>
        </w:rPr>
        <w:t>לרבות מצבו המשפחתי והכלכלי</w:t>
      </w:r>
      <w:r>
        <w:rPr>
          <w:rtl w:val="true"/>
        </w:rPr>
        <w:t xml:space="preserve">; </w:t>
      </w:r>
      <w:r>
        <w:rPr>
          <w:rtl w:val="true"/>
        </w:rPr>
        <w:t>ניתן משקל מתאים להודאתו</w:t>
      </w:r>
      <w:r>
        <w:rPr>
          <w:rtl w:val="true"/>
        </w:rPr>
        <w:t xml:space="preserve">; </w:t>
      </w:r>
      <w:r>
        <w:rPr>
          <w:rtl w:val="true"/>
        </w:rPr>
        <w:t>והעונש שהוטל עליו עשוי היה להיות חמור הרבה יותר</w:t>
      </w:r>
      <w:r>
        <w:rPr>
          <w:rtl w:val="true"/>
        </w:rPr>
        <w:t xml:space="preserve">. </w:t>
      </w:r>
      <w:r>
        <w:rPr>
          <w:rtl w:val="true"/>
        </w:rPr>
        <w:t>עוד נטען</w:t>
      </w:r>
      <w:r>
        <w:rPr>
          <w:rtl w:val="true"/>
        </w:rPr>
        <w:t xml:space="preserve">, </w:t>
      </w:r>
      <w:r>
        <w:rPr>
          <w:rtl w:val="true"/>
        </w:rPr>
        <w:t>כי כאשר נעשה שימוש במכונית לביצוע עבירה</w:t>
      </w:r>
      <w:r>
        <w:rPr>
          <w:rtl w:val="true"/>
        </w:rPr>
        <w:t xml:space="preserve">, </w:t>
      </w:r>
      <w:r>
        <w:rPr>
          <w:rtl w:val="true"/>
        </w:rPr>
        <w:t>ובפרט כאשר במהלכה חומק העבריין ממחסום משטרתי</w:t>
      </w:r>
      <w:r>
        <w:rPr>
          <w:rtl w:val="true"/>
        </w:rPr>
        <w:t xml:space="preserve">, </w:t>
      </w:r>
      <w:r>
        <w:rPr>
          <w:rtl w:val="true"/>
        </w:rPr>
        <w:t>אין מנוס מענישה הכוללת פסילת רישיון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של עאייש טענה מנגד</w:t>
      </w:r>
      <w:r>
        <w:rPr>
          <w:rtl w:val="true"/>
        </w:rPr>
        <w:t xml:space="preserve">, </w:t>
      </w:r>
      <w:r>
        <w:rPr>
          <w:rtl w:val="true"/>
        </w:rPr>
        <w:t>לעניין זה</w:t>
      </w:r>
      <w:r>
        <w:rPr>
          <w:rtl w:val="true"/>
        </w:rPr>
        <w:t xml:space="preserve">, </w:t>
      </w:r>
      <w:r>
        <w:rPr>
          <w:rtl w:val="true"/>
        </w:rPr>
        <w:t>כי לפי 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>נאיף ועאייש בחרו לעצור את המכונית מיוזמתם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;Malgun Gothic Semilight"/>
          <w:b/>
          <w:spacing w:val="0"/>
          <w:szCs w:val="24"/>
        </w:rPr>
      </w:pPr>
      <w:r>
        <w:rPr>
          <w:rFonts w:ascii="Century" w:hAnsi="Century" w:cs="Miriam;Malgun Gothic Semilight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Cs w:val="24"/>
          <w:rtl w:val="true"/>
        </w:rPr>
        <w:t>והכרעה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שעיינתי</w:t>
      </w:r>
      <w:r>
        <w:rPr>
          <w:rtl w:val="true"/>
        </w:rPr>
        <w:t xml:space="preserve"> </w:t>
      </w:r>
      <w:r>
        <w:rPr>
          <w:rtl w:val="true"/>
        </w:rPr>
        <w:t>בגזר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ונתתי</w:t>
      </w:r>
      <w:r>
        <w:rPr>
          <w:rtl w:val="true"/>
        </w:rPr>
        <w:t xml:space="preserve"> </w:t>
      </w:r>
      <w:r>
        <w:rPr>
          <w:rtl w:val="true"/>
        </w:rPr>
        <w:t>דעתי</w:t>
      </w:r>
      <w:r>
        <w:rPr>
          <w:rtl w:val="true"/>
        </w:rPr>
        <w:t xml:space="preserve"> </w:t>
      </w:r>
      <w:r>
        <w:rPr>
          <w:rtl w:val="true"/>
        </w:rPr>
        <w:t xml:space="preserve">על </w:t>
      </w:r>
      <w:r>
        <w:rPr>
          <w:rtl w:val="true"/>
        </w:rPr>
        <w:t>טענות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 </w:t>
      </w:r>
      <w:r>
        <w:rPr>
          <w:rtl w:val="true"/>
        </w:rPr>
        <w:t>מזה</w:t>
      </w:r>
      <w:r>
        <w:rPr>
          <w:rtl w:val="true"/>
        </w:rPr>
        <w:t xml:space="preserve"> </w:t>
      </w:r>
      <w:r>
        <w:rPr>
          <w:rtl w:val="true"/>
        </w:rPr>
        <w:t>ומזה</w:t>
      </w:r>
      <w:r>
        <w:rPr>
          <w:rtl w:val="true"/>
        </w:rPr>
        <w:t xml:space="preserve">, </w:t>
      </w:r>
      <w:r>
        <w:rPr>
          <w:rtl w:val="true"/>
        </w:rPr>
        <w:t>אלו</w:t>
      </w:r>
      <w:r>
        <w:rPr>
          <w:rtl w:val="true"/>
        </w:rPr>
        <w:t xml:space="preserve"> </w:t>
      </w:r>
      <w:r>
        <w:rPr>
          <w:rtl w:val="true"/>
        </w:rPr>
        <w:t>שבכתב</w:t>
      </w:r>
      <w:r>
        <w:rPr>
          <w:rtl w:val="true"/>
        </w:rPr>
        <w:t xml:space="preserve"> </w:t>
      </w:r>
      <w:r>
        <w:rPr>
          <w:rtl w:val="true"/>
        </w:rPr>
        <w:t>ואלו</w:t>
      </w:r>
      <w:r>
        <w:rPr>
          <w:rtl w:val="true"/>
        </w:rPr>
        <w:t xml:space="preserve"> </w:t>
      </w:r>
      <w:r>
        <w:rPr>
          <w:rtl w:val="true"/>
        </w:rPr>
        <w:t>שבעל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באתי</w:t>
      </w:r>
      <w:r>
        <w:rPr>
          <w:rtl w:val="true"/>
        </w:rPr>
        <w:t xml:space="preserve"> </w:t>
      </w:r>
      <w:r>
        <w:rPr>
          <w:rtl w:val="true"/>
        </w:rPr>
        <w:t>לכלל</w:t>
      </w:r>
      <w:r>
        <w:rPr>
          <w:rtl w:val="true"/>
        </w:rPr>
        <w:t xml:space="preserve"> </w:t>
      </w:r>
      <w:r>
        <w:rPr>
          <w:rtl w:val="true"/>
        </w:rPr>
        <w:t>מסקנה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>ים כולם</w:t>
      </w:r>
      <w:r>
        <w:rPr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  <w:r>
        <w:rPr>
          <w:rtl w:val="true"/>
        </w:rPr>
        <w:t>מושכלות</w:t>
      </w:r>
      <w:r>
        <w:rPr>
          <w:rtl w:val="true"/>
        </w:rPr>
        <w:t xml:space="preserve"> </w:t>
      </w:r>
      <w:r>
        <w:rPr>
          <w:rtl w:val="true"/>
        </w:rPr>
        <w:t>יסוד</w:t>
      </w:r>
      <w:r>
        <w:rPr>
          <w:rtl w:val="true"/>
        </w:rPr>
        <w:t xml:space="preserve"> </w:t>
      </w:r>
      <w:r>
        <w:rPr>
          <w:rtl w:val="true"/>
        </w:rPr>
        <w:t>הן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התערבותה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ערכאת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 </w:t>
      </w:r>
      <w:r>
        <w:rPr>
          <w:rtl w:val="true"/>
        </w:rPr>
        <w:t>בגזר</w:t>
      </w:r>
      <w:r>
        <w:rPr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שמורה</w:t>
      </w:r>
      <w:r>
        <w:rPr>
          <w:rtl w:val="true"/>
        </w:rPr>
        <w:t xml:space="preserve"> </w:t>
      </w:r>
      <w:r>
        <w:rPr>
          <w:rtl w:val="true"/>
        </w:rPr>
        <w:t>למצבים</w:t>
      </w:r>
      <w:r>
        <w:rPr>
          <w:rtl w:val="true"/>
        </w:rPr>
        <w:t xml:space="preserve"> </w:t>
      </w:r>
      <w:r>
        <w:rPr>
          <w:rtl w:val="true"/>
        </w:rPr>
        <w:t>חריגים</w:t>
      </w:r>
      <w:r>
        <w:rPr>
          <w:rtl w:val="true"/>
        </w:rPr>
        <w:t xml:space="preserve"> </w:t>
      </w:r>
      <w:r>
        <w:rPr>
          <w:rtl w:val="true"/>
        </w:rPr>
        <w:t>שבהם</w:t>
      </w:r>
      <w:r>
        <w:rPr>
          <w:rtl w:val="true"/>
        </w:rPr>
        <w:t xml:space="preserve"> </w:t>
      </w:r>
      <w:r>
        <w:rPr>
          <w:rtl w:val="true"/>
        </w:rPr>
        <w:t>נפלה</w:t>
      </w:r>
      <w:r>
        <w:rPr>
          <w:rtl w:val="true"/>
        </w:rPr>
        <w:t xml:space="preserve"> </w:t>
      </w:r>
      <w:r>
        <w:rPr>
          <w:rtl w:val="true"/>
        </w:rPr>
        <w:t>טעות</w:t>
      </w:r>
      <w:r>
        <w:rPr>
          <w:rtl w:val="true"/>
        </w:rPr>
        <w:t xml:space="preserve"> </w:t>
      </w:r>
      <w:r>
        <w:rPr>
          <w:rtl w:val="true"/>
        </w:rPr>
        <w:t>מהותית</w:t>
      </w:r>
      <w:r>
        <w:rPr>
          <w:rtl w:val="true"/>
        </w:rPr>
        <w:t xml:space="preserve"> </w:t>
      </w:r>
      <w:r>
        <w:rPr>
          <w:rtl w:val="true"/>
        </w:rPr>
        <w:t>בהחלטת</w:t>
      </w:r>
      <w:r>
        <w:rPr>
          <w:rtl w:val="true"/>
        </w:rPr>
        <w:t xml:space="preserve"> </w:t>
      </w:r>
      <w:r>
        <w:rPr>
          <w:rtl w:val="true"/>
        </w:rPr>
        <w:t>הערכאה</w:t>
      </w:r>
      <w:r>
        <w:rPr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שהעונש</w:t>
      </w:r>
      <w:r>
        <w:rPr>
          <w:rtl w:val="true"/>
        </w:rPr>
        <w:t xml:space="preserve"> </w:t>
      </w:r>
      <w:r>
        <w:rPr>
          <w:rtl w:val="true"/>
        </w:rPr>
        <w:t>שגזרה</w:t>
      </w:r>
      <w:r>
        <w:rPr>
          <w:rtl w:val="true"/>
        </w:rPr>
        <w:t xml:space="preserve"> </w:t>
      </w:r>
      <w:r>
        <w:rPr>
          <w:rtl w:val="true"/>
        </w:rPr>
        <w:t>חורג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קיצוני</w:t>
      </w:r>
      <w:r>
        <w:rPr>
          <w:rtl w:val="true"/>
        </w:rPr>
        <w:t xml:space="preserve"> </w:t>
      </w:r>
      <w:r>
        <w:rPr>
          <w:rtl w:val="true"/>
        </w:rPr>
        <w:t>ממדיניות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1242/97</w:t>
        </w:r>
      </w:hyperlink>
      <w:r>
        <w:rPr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גרינברג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3.2.1998</w:t>
      </w:r>
      <w:r>
        <w:rPr>
          <w:rtl w:val="true"/>
        </w:rPr>
        <w:t xml:space="preserve">); </w:t>
      </w:r>
      <w:hyperlink r:id="rId3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3091/08</w:t>
        </w:r>
      </w:hyperlink>
      <w:r>
        <w:rPr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טרייגר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>,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29.1.2009</w:t>
      </w:r>
      <w:r>
        <w:rPr>
          <w:rtl w:val="true"/>
        </w:rPr>
        <w:t xml:space="preserve">)). </w:t>
      </w:r>
      <w:r>
        <w:rPr>
          <w:rtl w:val="true"/>
        </w:rPr>
        <w:t>המקרה</w:t>
      </w:r>
      <w:r>
        <w:rPr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 xml:space="preserve"> </w:t>
      </w:r>
      <w:r>
        <w:rPr>
          <w:rtl w:val="true"/>
        </w:rPr>
        <w:t>בגדר</w:t>
      </w:r>
      <w:r>
        <w:rPr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 </w:t>
      </w:r>
      <w:r>
        <w:rPr>
          <w:rtl w:val="true"/>
        </w:rPr>
        <w:t>מצבים</w:t>
      </w:r>
      <w:r>
        <w:rPr>
          <w:rtl w:val="true"/>
        </w:rPr>
        <w:t xml:space="preserve"> </w:t>
      </w:r>
      <w:r>
        <w:rPr>
          <w:rtl w:val="true"/>
        </w:rPr>
        <w:t>חריגים</w:t>
      </w:r>
      <w:r>
        <w:rPr>
          <w:rtl w:val="true"/>
        </w:rPr>
        <w:t xml:space="preserve">; </w:t>
      </w:r>
      <w:r>
        <w:rPr>
          <w:rtl w:val="true"/>
        </w:rPr>
        <w:t>אף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בקירוב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אמת נכון הדבר</w:t>
      </w:r>
      <w:r>
        <w:rPr>
          <w:rtl w:val="true"/>
        </w:rPr>
        <w:t xml:space="preserve">, </w:t>
      </w:r>
      <w:r>
        <w:rPr>
          <w:rtl w:val="true"/>
        </w:rPr>
        <w:t>שגה בית המשפט המחוזי בעת שקבע כי משקל הסמים שנתפסו עומד על כ</w:t>
      </w:r>
      <w:r>
        <w:rPr>
          <w:rtl w:val="true"/>
        </w:rPr>
        <w:t>-</w:t>
      </w:r>
      <w:r>
        <w:rPr/>
        <w:t>300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, </w:t>
      </w:r>
      <w:r>
        <w:rPr>
          <w:rtl w:val="true"/>
        </w:rPr>
        <w:t>הגם שלפי 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>נתפסו כ</w:t>
      </w:r>
      <w:r>
        <w:rPr>
          <w:rtl w:val="true"/>
        </w:rPr>
        <w:t>-</w:t>
      </w:r>
      <w:r>
        <w:rPr/>
        <w:t>230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 בסך הכול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 xml:space="preserve">אין במשגה זה כדי להביא להקלה </w:t>
      </w:r>
      <w:r>
        <w:rPr>
          <w:rtl w:val="true"/>
        </w:rPr>
        <w:t>'</w:t>
      </w:r>
      <w:r>
        <w:rPr>
          <w:rtl w:val="true"/>
        </w:rPr>
        <w:t>אוטומטית</w:t>
      </w:r>
      <w:r>
        <w:rPr>
          <w:rtl w:val="true"/>
        </w:rPr>
        <w:t xml:space="preserve">' </w:t>
      </w:r>
      <w:r>
        <w:rPr>
          <w:rtl w:val="true"/>
        </w:rPr>
        <w:t>בעונשיהם של המערערים</w:t>
      </w:r>
      <w:r>
        <w:rPr>
          <w:rtl w:val="true"/>
        </w:rPr>
        <w:t xml:space="preserve">. </w:t>
      </w:r>
      <w:r>
        <w:rPr>
          <w:rtl w:val="true"/>
        </w:rPr>
        <w:t>לא כל טעות מחייבת הקלה בענישה</w:t>
      </w:r>
      <w:r>
        <w:rPr>
          <w:rtl w:val="true"/>
        </w:rPr>
        <w:t xml:space="preserve">; </w:t>
      </w:r>
      <w:r>
        <w:rPr>
          <w:rtl w:val="true"/>
        </w:rPr>
        <w:t>טעות טעות ועניינה</w:t>
      </w:r>
      <w:r>
        <w:rPr>
          <w:rtl w:val="true"/>
        </w:rPr>
        <w:t xml:space="preserve">. </w:t>
      </w:r>
      <w:r>
        <w:rPr>
          <w:rtl w:val="true"/>
        </w:rPr>
        <w:t>בנסיבות העניין דנן</w:t>
      </w:r>
      <w:r>
        <w:rPr>
          <w:rtl w:val="true"/>
        </w:rPr>
        <w:t xml:space="preserve">, </w:t>
      </w:r>
      <w:r>
        <w:rPr>
          <w:rtl w:val="true"/>
        </w:rPr>
        <w:t>למקרא 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>ניתן להניח כי עונשיהם של המערערים לא היו שונים באופן מהותי</w:t>
      </w:r>
      <w:r>
        <w:rPr>
          <w:rtl w:val="true"/>
        </w:rPr>
        <w:t xml:space="preserve">, </w:t>
      </w:r>
      <w:r>
        <w:rPr>
          <w:rtl w:val="true"/>
        </w:rPr>
        <w:t xml:space="preserve">לוּ היה בית המשפט המחוזי מייחס להם הברחה של </w:t>
      </w:r>
      <w:r>
        <w:rPr/>
        <w:t>230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 xml:space="preserve">ג </w:t>
      </w:r>
      <w:r>
        <w:rPr>
          <w:rtl w:val="true"/>
        </w:rPr>
        <w:t>'</w:t>
      </w:r>
      <w:r>
        <w:rPr>
          <w:rtl w:val="true"/>
        </w:rPr>
        <w:t>בלבד</w:t>
      </w:r>
      <w:r>
        <w:rPr>
          <w:rtl w:val="true"/>
        </w:rPr>
        <w:t xml:space="preserve">', </w:t>
      </w:r>
      <w:r>
        <w:rPr>
          <w:rtl w:val="true"/>
        </w:rPr>
        <w:t>חלף הברחה של כ</w:t>
      </w:r>
      <w:r>
        <w:rPr>
          <w:rtl w:val="true"/>
        </w:rPr>
        <w:t>-</w:t>
      </w:r>
      <w:r>
        <w:rPr/>
        <w:t>300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כך או כך</w:t>
      </w:r>
      <w:r>
        <w:rPr>
          <w:rtl w:val="true"/>
        </w:rPr>
        <w:t xml:space="preserve">, </w:t>
      </w:r>
      <w:r>
        <w:rPr>
          <w:rtl w:val="true"/>
        </w:rPr>
        <w:t xml:space="preserve">כמות הסמים שנתפסה </w:t>
      </w:r>
      <w:r>
        <w:rPr>
          <w:rtl w:val="true"/>
        </w:rPr>
        <w:t>–</w:t>
      </w:r>
      <w:r>
        <w:rPr>
          <w:rtl w:val="true"/>
        </w:rPr>
        <w:t xml:space="preserve"> כמעט בלתי נתפסת</w:t>
      </w:r>
      <w:r>
        <w:rPr>
          <w:rtl w:val="true"/>
        </w:rPr>
        <w:t xml:space="preserve">; </w:t>
      </w:r>
      <w:r>
        <w:rPr>
          <w:rtl w:val="true"/>
        </w:rPr>
        <w:t xml:space="preserve">ופוטנציאל הנזק </w:t>
      </w:r>
      <w:r>
        <w:rPr>
          <w:rtl w:val="true"/>
        </w:rPr>
        <w:t>–</w:t>
      </w:r>
      <w:r>
        <w:rPr>
          <w:rtl w:val="true"/>
        </w:rPr>
        <w:t xml:space="preserve"> גדול</w:t>
      </w:r>
      <w:r>
        <w:rPr>
          <w:rtl w:val="true"/>
        </w:rPr>
        <w:t xml:space="preserve">, </w:t>
      </w:r>
      <w:r>
        <w:rPr>
          <w:rtl w:val="true"/>
        </w:rPr>
        <w:t>עצום ורב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המערערים כולם משיגים על מתחם הענישה שנקבע בעניינם</w:t>
      </w:r>
      <w:r>
        <w:rPr>
          <w:rtl w:val="true"/>
        </w:rPr>
        <w:t xml:space="preserve">, </w:t>
      </w:r>
      <w:r>
        <w:rPr>
          <w:rtl w:val="true"/>
        </w:rPr>
        <w:t xml:space="preserve">אך מן המפורסמות הן כי 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בדבר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פגם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שנפל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בקביעת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מתחם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העונש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ממילא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בהם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לחייב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התערבות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בעונש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שנקבע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עוד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בעונש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שהושת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משום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סטייה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קיצונית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מרמת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הענישה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הראויה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6479/18</w:t>
        </w:r>
      </w:hyperlink>
      <w:r>
        <w:rPr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 xml:space="preserve">והאסמכתאות שם </w:t>
      </w:r>
      <w:r>
        <w:rPr>
          <w:rtl w:val="true"/>
        </w:rPr>
        <w:t>(</w:t>
      </w:r>
      <w:r>
        <w:rPr/>
        <w:t>23.</w:t>
      </w:r>
      <w:r>
        <w:rPr/>
        <w:t>6</w:t>
      </w:r>
      <w:r>
        <w:rPr/>
        <w:t>.2019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למעלה מן הצורך</w:t>
      </w:r>
      <w:r>
        <w:rPr>
          <w:rtl w:val="true"/>
        </w:rPr>
        <w:t xml:space="preserve">, </w:t>
      </w:r>
      <w:r>
        <w:rPr>
          <w:rtl w:val="true"/>
        </w:rPr>
        <w:t>נראה כי גם לגוף הדברים</w:t>
      </w:r>
      <w:r>
        <w:rPr>
          <w:rtl w:val="true"/>
        </w:rPr>
        <w:t xml:space="preserve">, </w:t>
      </w:r>
      <w:r>
        <w:rPr>
          <w:rtl w:val="true"/>
        </w:rPr>
        <w:t>מתחם הענישה שנקבע הולם את מעשיהם החמורים של המערערים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חזר והתריע פעמים רבות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התוצאות</w:t>
      </w:r>
      <w:r>
        <w:rPr>
          <w:rtl w:val="true"/>
        </w:rPr>
        <w:t xml:space="preserve"> </w:t>
      </w:r>
      <w:r>
        <w:rPr>
          <w:rtl w:val="true"/>
        </w:rPr>
        <w:t>הקשות</w:t>
      </w:r>
      <w:r>
        <w:rPr>
          <w:rtl w:val="true"/>
        </w:rPr>
        <w:t xml:space="preserve"> </w:t>
      </w:r>
      <w:r>
        <w:rPr>
          <w:rtl w:val="true"/>
        </w:rPr>
        <w:t>וההרסניות</w:t>
      </w:r>
      <w:r>
        <w:rPr>
          <w:rtl w:val="true"/>
        </w:rPr>
        <w:t xml:space="preserve"> ש</w:t>
      </w:r>
      <w:r>
        <w:rPr>
          <w:rtl w:val="true"/>
        </w:rPr>
        <w:t>נגרמות</w:t>
      </w:r>
      <w:r>
        <w:rPr>
          <w:rtl w:val="true"/>
        </w:rPr>
        <w:t xml:space="preserve"> </w:t>
      </w:r>
      <w:r>
        <w:rPr>
          <w:rtl w:val="true"/>
        </w:rPr>
        <w:t>בעקבות</w:t>
      </w:r>
      <w:r>
        <w:rPr>
          <w:rtl w:val="true"/>
        </w:rPr>
        <w:t xml:space="preserve"> </w:t>
      </w:r>
      <w:r>
        <w:rPr>
          <w:rtl w:val="true"/>
        </w:rPr>
        <w:t>הפצת</w:t>
      </w:r>
      <w:r>
        <w:rPr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 </w:t>
      </w:r>
      <w:r>
        <w:rPr>
          <w:rtl w:val="true"/>
        </w:rPr>
        <w:t>מסוכנים</w:t>
      </w:r>
      <w:r>
        <w:rPr>
          <w:rtl w:val="true"/>
        </w:rPr>
        <w:t xml:space="preserve">. 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לעולם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נזכור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עבירת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סמים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ומה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ערכי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החברה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שאנו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נדרשים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להגן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עליהם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מעבר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מזה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עומדים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המערערים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ואחרים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שכמותם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אנשים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שעיניהם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בצע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כסף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ומעבר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מזה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עומדים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צרכני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הסם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אנשים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אומללים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שגופם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ונפשם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מכורים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לסם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אותם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עלובים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תלו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עצמם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בסם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ואנשים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רעים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כמערערים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מנצלים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תלות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זו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עד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תום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לגריפת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כסף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רע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לכיסיהם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המערערים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מוכרים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סם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מוות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למי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שמכרו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גופם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לסם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ועל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עיסקאות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מכר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אלו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זוכים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בתמורה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כספית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למותר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להזכיר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שרשרת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העבירות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הנדרשת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מעיסקאות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הסם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 xml:space="preserve">: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צרכנים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שאין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הפרוטה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מצויה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בכיסם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פושטים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אחרים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שודדים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אותם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פורצים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לבתיהם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תוקפים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אותם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והכול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להשיג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מימון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לרכישתו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הסם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4998/95</w:t>
        </w:r>
      </w:hyperlink>
      <w:r>
        <w:rPr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קרדוסו</w:t>
      </w:r>
      <w:r>
        <w:rPr>
          <w:rtl w:val="true"/>
        </w:rPr>
        <w:t xml:space="preserve">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נא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769</w:t>
      </w:r>
      <w:r>
        <w:rPr>
          <w:rtl w:val="true"/>
        </w:rPr>
        <w:t xml:space="preserve">, </w:t>
      </w:r>
      <w:r>
        <w:rPr/>
        <w:t>787</w:t>
      </w:r>
      <w:r>
        <w:rPr>
          <w:rtl w:val="true"/>
        </w:rPr>
        <w:t xml:space="preserve"> (</w:t>
      </w:r>
      <w:r>
        <w:rPr/>
        <w:t>1997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 xml:space="preserve">כך הוא הדבר בהברחת סמים </w:t>
      </w:r>
      <w:r>
        <w:rPr>
          <w:rtl w:val="true"/>
        </w:rPr>
        <w:t>'</w:t>
      </w:r>
      <w:r>
        <w:rPr>
          <w:rtl w:val="true"/>
        </w:rPr>
        <w:t>סטנדרטית</w:t>
      </w:r>
      <w:r>
        <w:rPr>
          <w:rtl w:val="true"/>
        </w:rPr>
        <w:t xml:space="preserve">', </w:t>
      </w:r>
      <w:r>
        <w:rPr>
          <w:rtl w:val="true"/>
        </w:rPr>
        <w:t>ועל אחת כמה וכמה</w:t>
      </w:r>
      <w:r>
        <w:rPr>
          <w:rtl w:val="true"/>
        </w:rPr>
        <w:t xml:space="preserve">, </w:t>
      </w:r>
      <w:r>
        <w:rPr>
          <w:rtl w:val="true"/>
        </w:rPr>
        <w:t>במקרים של הברחה בהיקפי</w:t>
      </w:r>
      <w:r>
        <w:rPr>
          <w:rtl w:val="true"/>
        </w:rPr>
        <w:t>-</w:t>
      </w:r>
      <w:r>
        <w:rPr>
          <w:rtl w:val="true"/>
        </w:rPr>
        <w:t>ענק</w:t>
      </w:r>
      <w:r>
        <w:rPr>
          <w:rtl w:val="true"/>
        </w:rPr>
        <w:t xml:space="preserve">, </w:t>
      </w:r>
      <w:r>
        <w:rPr>
          <w:rtl w:val="true"/>
        </w:rPr>
        <w:t>דוגמת זו שבה עסקינן</w:t>
      </w:r>
      <w:r>
        <w:rPr>
          <w:rtl w:val="true"/>
        </w:rPr>
        <w:t xml:space="preserve">. </w:t>
      </w:r>
      <w:r>
        <w:rPr>
          <w:rtl w:val="true"/>
        </w:rPr>
        <w:t>לא זו אף זו</w:t>
      </w:r>
      <w:r>
        <w:rPr>
          <w:rtl w:val="true"/>
        </w:rPr>
        <w:t xml:space="preserve">: </w:t>
      </w:r>
      <w:r>
        <w:rPr>
          <w:rtl w:val="true"/>
        </w:rPr>
        <w:t>ניכר כי בית המשפט המחוזי נטה חסד עם המערערים</w:t>
      </w:r>
      <w:r>
        <w:rPr>
          <w:rtl w:val="true"/>
        </w:rPr>
        <w:t xml:space="preserve">, </w:t>
      </w:r>
      <w:r>
        <w:rPr>
          <w:rtl w:val="true"/>
        </w:rPr>
        <w:t>ולא מיצה עמם את עומק הדין</w:t>
      </w:r>
      <w:r>
        <w:rPr>
          <w:rtl w:val="true"/>
        </w:rPr>
        <w:t xml:space="preserve">; </w:t>
      </w:r>
      <w:r>
        <w:rPr>
          <w:rtl w:val="true"/>
        </w:rPr>
        <w:t xml:space="preserve">הצדקה לקביעת רף תחתון נמוך יותר </w:t>
      </w:r>
      <w:r>
        <w:rPr>
          <w:rtl w:val="true"/>
        </w:rPr>
        <w:t>–</w:t>
      </w:r>
      <w:r>
        <w:rPr>
          <w:rtl w:val="true"/>
        </w:rPr>
        <w:t xml:space="preserve"> אין בנמצא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בית המשפט המחוזי שקל כנסיבה מחמירה את הסיכון הביטחוני הייחודי הנשקף מן ההברחות המתבצעות בגבול יבשתי </w:t>
      </w:r>
      <w:r>
        <w:rPr>
          <w:rtl w:val="true"/>
        </w:rPr>
        <w:t>–</w:t>
      </w:r>
      <w:r>
        <w:rPr>
          <w:rtl w:val="true"/>
        </w:rPr>
        <w:t xml:space="preserve"> וטוב שכך</w:t>
      </w:r>
      <w:r>
        <w:rPr>
          <w:rtl w:val="true"/>
        </w:rPr>
        <w:t xml:space="preserve">. </w:t>
      </w:r>
      <w:r>
        <w:rPr>
          <w:rtl w:val="true"/>
        </w:rPr>
        <w:t>בעבר ציינתי</w:t>
      </w:r>
      <w:r>
        <w:rPr>
          <w:rtl w:val="true"/>
        </w:rPr>
        <w:t xml:space="preserve">, </w:t>
      </w:r>
      <w:r>
        <w:rPr>
          <w:rtl w:val="true"/>
        </w:rPr>
        <w:t>בעניינן של הברחות הסמים המתבצעות מגבול לבנון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מבריחי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הסמים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לוקחים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סיכון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לכך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שגורמים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עוינים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ינצלו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העברת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החבילות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בגבול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מנת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לנסות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לקדם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פעילות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טרוריסטית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נגד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התכוונו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לכך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6990/13</w:t>
        </w:r>
      </w:hyperlink>
      <w:r>
        <w:rPr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טיב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28</w:t>
      </w:r>
      <w:r>
        <w:rPr>
          <w:rtl w:val="true"/>
        </w:rPr>
        <w:t xml:space="preserve"> (</w:t>
      </w:r>
      <w:r>
        <w:rPr/>
        <w:t>24.</w:t>
      </w:r>
      <w:r>
        <w:rPr/>
        <w:t>2</w:t>
      </w:r>
      <w:r>
        <w:rPr/>
        <w:t>.2014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חשש דומה קיים גם בהברחות המתבצעות דרך גבול מצרים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נאיף טוען כי בית המשפט המחוזי אמנם התחשב בגילו הצעיר</w:t>
      </w:r>
      <w:r>
        <w:rPr>
          <w:rtl w:val="true"/>
        </w:rPr>
        <w:t xml:space="preserve">, </w:t>
      </w:r>
      <w:r>
        <w:rPr>
          <w:rtl w:val="true"/>
        </w:rPr>
        <w:t>אך זאת עשה רק במסגרת קביעת העונש ההולם בתוך מתחם הענישה</w:t>
      </w:r>
      <w:r>
        <w:rPr>
          <w:rtl w:val="true"/>
        </w:rPr>
        <w:t xml:space="preserve">; </w:t>
      </w:r>
      <w:r>
        <w:rPr>
          <w:rtl w:val="true"/>
        </w:rPr>
        <w:t>לא בקביעת מתחם הענישה עצמו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סטה בית המשפט המחוזי מהוראות החוק</w:t>
      </w:r>
      <w:r>
        <w:rPr>
          <w:rtl w:val="true"/>
        </w:rPr>
        <w:t xml:space="preserve">; </w:t>
      </w:r>
      <w:r>
        <w:rPr>
          <w:rtl w:val="true"/>
        </w:rPr>
        <w:t>אין בידי לקבל טענה זו</w:t>
      </w:r>
      <w:r>
        <w:rPr>
          <w:rtl w:val="true"/>
        </w:rPr>
        <w:t xml:space="preserve">. </w:t>
      </w:r>
      <w:r>
        <w:rPr>
          <w:rtl w:val="true"/>
        </w:rPr>
        <w:t xml:space="preserve">כל שנקבע </w:t>
      </w:r>
      <w:hyperlink r:id="rId35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6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הוא</w:t>
      </w:r>
      <w:r>
        <w:rPr>
          <w:rtl w:val="true"/>
        </w:rPr>
        <w:t xml:space="preserve">, </w:t>
      </w:r>
      <w:r>
        <w:rPr>
          <w:rtl w:val="true"/>
        </w:rPr>
        <w:t>כי בעת קביעת מתחם העונש ההולם</w:t>
      </w:r>
      <w:r>
        <w:rPr>
          <w:rtl w:val="true"/>
        </w:rPr>
        <w:t xml:space="preserve">, </w:t>
      </w:r>
      <w:r>
        <w:rPr>
          <w:rtl w:val="true"/>
        </w:rPr>
        <w:t>יש ליתן משקל ל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יכולתו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להבין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עושה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הפסול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שבמעשהו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משמעות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מעשהו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לרבות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בשל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גילו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כאשר עסקינן בנאשם שבית המשפט התרשם כי הוא מודע למעשיו</w:t>
      </w:r>
      <w:r>
        <w:rPr>
          <w:rtl w:val="true"/>
        </w:rPr>
        <w:t xml:space="preserve">, </w:t>
      </w:r>
      <w:r>
        <w:rPr>
          <w:rtl w:val="true"/>
        </w:rPr>
        <w:t>אין מקום לייחס משקל כלשהו לגילו כבר בשלב קביעת מתחם העונש ההולם</w:t>
      </w:r>
      <w:r>
        <w:rPr>
          <w:rtl w:val="true"/>
        </w:rPr>
        <w:t xml:space="preserve">. </w:t>
      </w:r>
      <w:r>
        <w:rPr>
          <w:rtl w:val="true"/>
        </w:rPr>
        <w:t>לגבי נאשם שכזה</w:t>
      </w:r>
      <w:r>
        <w:rPr>
          <w:rtl w:val="true"/>
        </w:rPr>
        <w:t xml:space="preserve">, </w:t>
      </w:r>
      <w:r>
        <w:rPr>
          <w:rtl w:val="true"/>
        </w:rPr>
        <w:t>שיקול הגיל יובא בחשבון רק לאחר מכן</w:t>
      </w:r>
      <w:r>
        <w:rPr>
          <w:rtl w:val="true"/>
        </w:rPr>
        <w:t xml:space="preserve">, </w:t>
      </w:r>
      <w:r>
        <w:rPr>
          <w:rtl w:val="true"/>
        </w:rPr>
        <w:t>בעת גזירת העונש ההולם בתוך מתחם הענישה שנקבע</w:t>
      </w:r>
      <w:r>
        <w:rPr>
          <w:rtl w:val="true"/>
        </w:rPr>
        <w:t xml:space="preserve">, </w:t>
      </w:r>
      <w:r>
        <w:rPr>
          <w:rtl w:val="true"/>
        </w:rPr>
        <w:t xml:space="preserve">כמצוות </w:t>
      </w:r>
      <w:hyperlink r:id="rId3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יא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טענתו הנוספת של נאיף</w:t>
      </w:r>
      <w:r>
        <w:rPr>
          <w:rtl w:val="true"/>
        </w:rPr>
        <w:t xml:space="preserve">, </w:t>
      </w:r>
      <w:r>
        <w:rPr>
          <w:rtl w:val="true"/>
        </w:rPr>
        <w:t xml:space="preserve">שלפיה 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החלוקה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האישומים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בעניינו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עאייש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אינה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פרופורציונלי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ת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ובסופו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יום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השפיעה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עונשו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נאיף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בכך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שנקבע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מתחם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ענישה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גבוה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בעניין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הראשון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אף היא אין בה ממש</w:t>
      </w:r>
      <w:r>
        <w:rPr>
          <w:rtl w:val="true"/>
        </w:rPr>
        <w:t xml:space="preserve">. </w:t>
      </w:r>
      <w:r>
        <w:rPr>
          <w:rtl w:val="true"/>
        </w:rPr>
        <w:t>נאיף לא סיפק כל הסבר מדוע כביכול בחר בית המשפט המחוזי להפחית ממשקלו של האישום השני בעניינו של עאייש</w:t>
      </w:r>
      <w:r>
        <w:rPr>
          <w:rtl w:val="true"/>
        </w:rPr>
        <w:t xml:space="preserve">, </w:t>
      </w:r>
      <w:r>
        <w:rPr>
          <w:rtl w:val="true"/>
        </w:rPr>
        <w:t>כדי להטיל עליו עונש חמור יותר</w:t>
      </w:r>
      <w:r>
        <w:rPr>
          <w:rtl w:val="true"/>
        </w:rPr>
        <w:t xml:space="preserve">. </w:t>
      </w:r>
      <w:r>
        <w:rPr>
          <w:rtl w:val="true"/>
        </w:rPr>
        <w:t>טיעון זה הוא קונספירטיבי</w:t>
      </w:r>
      <w:r>
        <w:rPr>
          <w:rtl w:val="true"/>
        </w:rPr>
        <w:t xml:space="preserve">, </w:t>
      </w:r>
      <w:r>
        <w:rPr>
          <w:rtl w:val="true"/>
        </w:rPr>
        <w:t>ואין מאחוריו דבר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דין טענותיו הנוספות של נאיף</w:t>
      </w:r>
      <w:r>
        <w:rPr>
          <w:rtl w:val="true"/>
        </w:rPr>
        <w:t xml:space="preserve">, </w:t>
      </w:r>
      <w:r>
        <w:rPr>
          <w:rtl w:val="true"/>
        </w:rPr>
        <w:t>להידחות גם הן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המחוזי לא יצר כל 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הפרדה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מלאכותית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 xml:space="preserve">" </w:t>
      </w:r>
      <w:r>
        <w:rPr>
          <w:rtl w:val="true"/>
        </w:rPr>
        <w:t>בין עניינו של נאיף לעניינו של בשיר</w:t>
      </w:r>
      <w:r>
        <w:rPr>
          <w:rtl w:val="true"/>
        </w:rPr>
        <w:t xml:space="preserve">. </w:t>
      </w:r>
      <w:r>
        <w:rPr>
          <w:rtl w:val="true"/>
        </w:rPr>
        <w:t>מי שיצר אותה הפרדה</w:t>
      </w:r>
      <w:r>
        <w:rPr>
          <w:rtl w:val="true"/>
        </w:rPr>
        <w:t xml:space="preserve">, </w:t>
      </w:r>
      <w:r>
        <w:rPr>
          <w:rtl w:val="true"/>
        </w:rPr>
        <w:t>אלו הם נאיף ובשיר עצמם</w:t>
      </w:r>
      <w:r>
        <w:rPr>
          <w:rtl w:val="true"/>
        </w:rPr>
        <w:t xml:space="preserve">, </w:t>
      </w:r>
      <w:r>
        <w:rPr>
          <w:rtl w:val="true"/>
        </w:rPr>
        <w:t>אשר נתנו את הסכמתם להסדר הטיעון שנחתם בעניינם</w:t>
      </w:r>
      <w:r>
        <w:rPr>
          <w:rtl w:val="true"/>
        </w:rPr>
        <w:t xml:space="preserve">. </w:t>
      </w:r>
      <w:r>
        <w:rPr>
          <w:rtl w:val="true"/>
        </w:rPr>
        <w:t>כעולה מן ההסדר</w:t>
      </w:r>
      <w:r>
        <w:rPr>
          <w:rtl w:val="true"/>
        </w:rPr>
        <w:t xml:space="preserve">, </w:t>
      </w:r>
      <w:r>
        <w:rPr>
          <w:rtl w:val="true"/>
        </w:rPr>
        <w:t>לאחר ששקלו את הסיכויים והסיכונים בעניינם</w:t>
      </w:r>
      <w:r>
        <w:rPr>
          <w:rtl w:val="true"/>
        </w:rPr>
        <w:t xml:space="preserve">, </w:t>
      </w:r>
      <w:r>
        <w:rPr>
          <w:rtl w:val="true"/>
        </w:rPr>
        <w:t>קיבל נאיף החלטה מושכלת להודות בביצוע העבירה עצמה</w:t>
      </w:r>
      <w:r>
        <w:rPr>
          <w:rtl w:val="true"/>
        </w:rPr>
        <w:t xml:space="preserve">, </w:t>
      </w:r>
      <w:r>
        <w:rPr>
          <w:rtl w:val="true"/>
        </w:rPr>
        <w:t>ואילו בשיר הודה רק בסיוע לעבירה</w:t>
      </w:r>
      <w:r>
        <w:rPr>
          <w:rtl w:val="true"/>
        </w:rPr>
        <w:t xml:space="preserve">; </w:t>
      </w:r>
      <w:r>
        <w:rPr>
          <w:rtl w:val="true"/>
        </w:rPr>
        <w:t>מכאן השוני המתבקש ברמת הענישה</w:t>
      </w:r>
      <w:r>
        <w:rPr>
          <w:rtl w:val="true"/>
        </w:rPr>
        <w:t xml:space="preserve">. </w:t>
      </w:r>
      <w:r>
        <w:rPr>
          <w:rtl w:val="true"/>
        </w:rPr>
        <w:t>אמנם כן</w:t>
      </w:r>
      <w:r>
        <w:rPr>
          <w:rtl w:val="true"/>
        </w:rPr>
        <w:t xml:space="preserve">, </w:t>
      </w:r>
      <w:r>
        <w:rPr>
          <w:rtl w:val="true"/>
        </w:rPr>
        <w:t>נאיף טוען כי חלקו במעשה היה קטן יותר מזה של עאייש</w:t>
      </w:r>
      <w:r>
        <w:rPr>
          <w:rtl w:val="true"/>
        </w:rPr>
        <w:t xml:space="preserve">, </w:t>
      </w:r>
      <w:r>
        <w:rPr>
          <w:rtl w:val="true"/>
        </w:rPr>
        <w:t>תוך שהוא מבסס דבריו על עדותו של החוקר נאור ביטון</w:t>
      </w:r>
      <w:r>
        <w:rPr>
          <w:rtl w:val="true"/>
        </w:rPr>
        <w:t xml:space="preserve">. </w:t>
      </w:r>
      <w:r>
        <w:rPr>
          <w:rtl w:val="true"/>
        </w:rPr>
        <w:t>אלא מאי</w:t>
      </w:r>
      <w:r>
        <w:rPr>
          <w:rtl w:val="true"/>
        </w:rPr>
        <w:t xml:space="preserve">? </w:t>
      </w:r>
      <w:r>
        <w:rPr>
          <w:rtl w:val="true"/>
        </w:rPr>
        <w:t>עדותו של החוקר ביטון ניתנה בטרם הגיעו הצדדים להסדר טיעון</w:t>
      </w:r>
      <w:r>
        <w:rPr>
          <w:rtl w:val="true"/>
        </w:rPr>
        <w:t xml:space="preserve">, </w:t>
      </w:r>
      <w:r>
        <w:rPr>
          <w:rtl w:val="true"/>
        </w:rPr>
        <w:t>ובטרם הוגש כתב האישום המתוקן</w:t>
      </w:r>
      <w:r>
        <w:rPr>
          <w:rtl w:val="true"/>
        </w:rPr>
        <w:t xml:space="preserve">. </w:t>
      </w:r>
      <w:r>
        <w:rPr>
          <w:rtl w:val="true"/>
        </w:rPr>
        <w:t>עתה</w:t>
      </w:r>
      <w:r>
        <w:rPr>
          <w:rtl w:val="true"/>
        </w:rPr>
        <w:t xml:space="preserve">, </w:t>
      </w:r>
      <w:r>
        <w:rPr>
          <w:rtl w:val="true"/>
        </w:rPr>
        <w:t>משהוגש כתב אישום מתוקן שבו הודו הצדדים</w:t>
      </w:r>
      <w:r>
        <w:rPr>
          <w:rtl w:val="true"/>
        </w:rPr>
        <w:t xml:space="preserve">, </w:t>
      </w:r>
      <w:r>
        <w:rPr>
          <w:rtl w:val="true"/>
        </w:rPr>
        <w:t>אין עוד מקום להביא בחשבון</w:t>
      </w:r>
      <w:r>
        <w:rPr>
          <w:rtl w:val="true"/>
        </w:rPr>
        <w:t xml:space="preserve">, </w:t>
      </w:r>
      <w:r>
        <w:rPr>
          <w:rtl w:val="true"/>
        </w:rPr>
        <w:t>במסגרת הטיעונים לעונש</w:t>
      </w:r>
      <w:r>
        <w:rPr>
          <w:rtl w:val="true"/>
        </w:rPr>
        <w:t xml:space="preserve">, </w:t>
      </w:r>
      <w:r>
        <w:rPr>
          <w:rtl w:val="true"/>
        </w:rPr>
        <w:t>נסיבות שלא בא זכרם בכתב האישום המתוקן</w:t>
      </w:r>
      <w:r>
        <w:rPr>
          <w:rtl w:val="true"/>
        </w:rPr>
        <w:t xml:space="preserve">; 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לדיין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אלא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שעיניו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רואות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בבלי</w:t>
      </w:r>
      <w:r>
        <w:rPr>
          <w:rtl w:val="true"/>
        </w:rPr>
        <w:t xml:space="preserve">, </w:t>
      </w:r>
      <w:r>
        <w:rPr>
          <w:rtl w:val="true"/>
        </w:rPr>
        <w:t>נדה כ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טענה נוספת בפיהם של נאיף ועאייש</w:t>
      </w:r>
      <w:r>
        <w:rPr>
          <w:rtl w:val="true"/>
        </w:rPr>
        <w:t xml:space="preserve">, </w:t>
      </w:r>
      <w:r>
        <w:rPr>
          <w:rtl w:val="true"/>
        </w:rPr>
        <w:t>כי הם שעצרו את המכונית מיוזמתם</w:t>
      </w:r>
      <w:r>
        <w:rPr>
          <w:rtl w:val="true"/>
        </w:rPr>
        <w:t xml:space="preserve">. </w:t>
      </w:r>
      <w:r>
        <w:rPr>
          <w:rtl w:val="true"/>
        </w:rPr>
        <w:t>נאיף טוען</w:t>
      </w:r>
      <w:r>
        <w:rPr>
          <w:rtl w:val="true"/>
        </w:rPr>
        <w:t xml:space="preserve">, </w:t>
      </w:r>
      <w:r>
        <w:rPr>
          <w:rtl w:val="true"/>
        </w:rPr>
        <w:t>כי יש לראות בכך נסיבה מקלה</w:t>
      </w:r>
      <w:r>
        <w:rPr>
          <w:rtl w:val="true"/>
        </w:rPr>
        <w:t xml:space="preserve">, </w:t>
      </w:r>
      <w:r>
        <w:rPr>
          <w:rtl w:val="true"/>
        </w:rPr>
        <w:t>שיש בה כדי להצדיק הפחתה מעונש המאסר בפועל שנגזר עליו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של עאייש טענה בהקשר זה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הייתה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בריחה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מיניה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מקצתיה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ולכן אין מקום להטיל עליו עונש של שלילת רישיון נהיגה</w:t>
      </w:r>
      <w:r>
        <w:rPr>
          <w:rtl w:val="true"/>
        </w:rPr>
        <w:t xml:space="preserve">. </w:t>
      </w:r>
      <w:r>
        <w:rPr>
          <w:rtl w:val="true"/>
        </w:rPr>
        <w:t>דא עקא</w:t>
      </w:r>
      <w:r>
        <w:rPr>
          <w:rtl w:val="true"/>
        </w:rPr>
        <w:t xml:space="preserve">, </w:t>
      </w:r>
      <w:r>
        <w:rPr>
          <w:rtl w:val="true"/>
        </w:rPr>
        <w:t>עיון בכתב האישום המתוקן</w:t>
      </w:r>
      <w:r>
        <w:rPr>
          <w:rtl w:val="true"/>
        </w:rPr>
        <w:t xml:space="preserve">, </w:t>
      </w:r>
      <w:r>
        <w:rPr>
          <w:rtl w:val="true"/>
        </w:rPr>
        <w:t>מלמד שבריחה היתה גם היתה</w:t>
      </w:r>
      <w:r>
        <w:rPr>
          <w:rtl w:val="true"/>
        </w:rPr>
        <w:t xml:space="preserve">, </w:t>
      </w:r>
      <w:r>
        <w:rPr>
          <w:rtl w:val="true"/>
        </w:rPr>
        <w:t>אלא שבשלב מסוים בחרו נאיף ועאייש לעצור מיוזמתם</w:t>
      </w:r>
      <w:r>
        <w:rPr>
          <w:rtl w:val="true"/>
        </w:rPr>
        <w:t xml:space="preserve">. </w:t>
      </w:r>
      <w:r>
        <w:rPr>
          <w:rtl w:val="true"/>
        </w:rPr>
        <w:t>בכתב האישום המתוקן נכתב</w:t>
      </w:r>
      <w:r>
        <w:rPr>
          <w:rtl w:val="true"/>
        </w:rPr>
        <w:t xml:space="preserve">, </w:t>
      </w:r>
      <w:r>
        <w:rPr>
          <w:rtl w:val="true"/>
        </w:rPr>
        <w:t xml:space="preserve">כי הרכב 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עלה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בנסיעה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הדוקרנים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הפרוסים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במחסום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המשטרתי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גלגליו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נוקבו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u w:val="single"/>
          <w:rtl w:val="true"/>
        </w:rPr>
        <w:t>והמשיך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u w:val="single"/>
          <w:rtl w:val="true"/>
        </w:rPr>
        <w:t>בנסיעה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עצר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מיוזמתו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 xml:space="preserve">ההדגשה הוספה </w:t>
      </w:r>
      <w:r>
        <w:rPr>
          <w:rtl w:val="true"/>
        </w:rPr>
        <w:t>–</w:t>
      </w:r>
      <w:r>
        <w:rPr>
          <w:rtl w:val="true"/>
        </w:rPr>
        <w:t xml:space="preserve"> נ</w:t>
      </w:r>
      <w:r>
        <w:rPr>
          <w:rtl w:val="true"/>
        </w:rPr>
        <w:t xml:space="preserve">' </w:t>
      </w:r>
      <w:r>
        <w:rPr>
          <w:rtl w:val="true"/>
        </w:rPr>
        <w:t>ס</w:t>
      </w:r>
      <w:r>
        <w:rPr>
          <w:rtl w:val="true"/>
        </w:rPr>
        <w:t xml:space="preserve">').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בכתב האישום המתוקן לא צוין מהו המניע שהביא את נאיף ועאייש לחדול מההימלטות</w:t>
      </w:r>
      <w:r>
        <w:rPr>
          <w:rtl w:val="true"/>
        </w:rPr>
        <w:t xml:space="preserve">, </w:t>
      </w:r>
      <w:r>
        <w:rPr>
          <w:rtl w:val="true"/>
        </w:rPr>
        <w:t>אך תהא הסיבה לכך אשר תהא</w:t>
      </w:r>
      <w:r>
        <w:rPr>
          <w:rtl w:val="true"/>
        </w:rPr>
        <w:t xml:space="preserve">, </w:t>
      </w:r>
      <w:r>
        <w:rPr>
          <w:rtl w:val="true"/>
        </w:rPr>
        <w:t>מן העובדות שפורטו בו עולה כי נאיף ועאייש נמלטו</w:t>
      </w:r>
      <w:r>
        <w:rPr>
          <w:rtl w:val="true"/>
        </w:rPr>
        <w:t xml:space="preserve">, </w:t>
      </w:r>
      <w:r>
        <w:rPr>
          <w:rtl w:val="true"/>
        </w:rPr>
        <w:t>למצער בתחילה</w:t>
      </w:r>
      <w:r>
        <w:rPr>
          <w:rtl w:val="true"/>
        </w:rPr>
        <w:t xml:space="preserve">, </w:t>
      </w:r>
      <w:r>
        <w:rPr>
          <w:rtl w:val="true"/>
        </w:rPr>
        <w:t>מכוחות הביטחון</w:t>
      </w:r>
      <w:r>
        <w:rPr>
          <w:rtl w:val="true"/>
        </w:rPr>
        <w:t xml:space="preserve">. </w:t>
      </w:r>
      <w:r>
        <w:rPr>
          <w:rtl w:val="true"/>
        </w:rPr>
        <w:t>משאלו הם פני הדברים</w:t>
      </w:r>
      <w:r>
        <w:rPr>
          <w:rtl w:val="true"/>
        </w:rPr>
        <w:t xml:space="preserve">, </w:t>
      </w:r>
      <w:r>
        <w:rPr>
          <w:rtl w:val="true"/>
        </w:rPr>
        <w:t>אין כל מקום להקלה בעונש</w:t>
      </w:r>
      <w:r>
        <w:rPr>
          <w:rtl w:val="true"/>
        </w:rPr>
        <w:t xml:space="preserve">; </w:t>
      </w:r>
      <w:r>
        <w:rPr>
          <w:rtl w:val="true"/>
        </w:rPr>
        <w:t>ואין מנוס משלילת רישיון הנהיגה</w:t>
      </w:r>
      <w:r>
        <w:rPr>
          <w:rtl w:val="true"/>
        </w:rPr>
        <w:t xml:space="preserve">, </w:t>
      </w:r>
      <w:r>
        <w:rPr>
          <w:rtl w:val="true"/>
        </w:rPr>
        <w:t>חרף הפגיעה ביכולת הניידות של עאייש למשך תקופת הפסילה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עאייש טוען עוד</w:t>
      </w:r>
      <w:r>
        <w:rPr>
          <w:rtl w:val="true"/>
        </w:rPr>
        <w:t xml:space="preserve">, </w:t>
      </w:r>
      <w:r>
        <w:rPr>
          <w:rtl w:val="true"/>
        </w:rPr>
        <w:t>כי בית המשפט המחוזי לא ייחס כל משקל להודאתו</w:t>
      </w:r>
      <w:r>
        <w:rPr>
          <w:rtl w:val="true"/>
        </w:rPr>
        <w:t xml:space="preserve">. </w:t>
      </w:r>
      <w:r>
        <w:rPr>
          <w:rtl w:val="true"/>
        </w:rPr>
        <w:t>אלא שבניגוד לטענתו</w:t>
      </w:r>
      <w:r>
        <w:rPr>
          <w:rtl w:val="true"/>
        </w:rPr>
        <w:t xml:space="preserve">, </w:t>
      </w:r>
      <w:r>
        <w:rPr>
          <w:rtl w:val="true"/>
        </w:rPr>
        <w:t>בית המשפט המחוזי שקל את הודאתו כנסיבה מקלה</w:t>
      </w:r>
      <w:r>
        <w:rPr>
          <w:rtl w:val="true"/>
        </w:rPr>
        <w:t xml:space="preserve">, </w:t>
      </w:r>
      <w:r>
        <w:rPr>
          <w:rtl w:val="true"/>
        </w:rPr>
        <w:t>נוכח הזמן השיפוטי שנחסך כתוצאה ממנה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משביקש עאייש לחזור בו מהודאתו</w:t>
      </w:r>
      <w:r>
        <w:rPr>
          <w:rtl w:val="true"/>
        </w:rPr>
        <w:t xml:space="preserve">, </w:t>
      </w:r>
      <w:r>
        <w:rPr>
          <w:rtl w:val="true"/>
        </w:rPr>
        <w:t>הפחית בית המשפט המחוזי את משקלה של ההודאה</w:t>
      </w:r>
      <w:r>
        <w:rPr>
          <w:rtl w:val="true"/>
        </w:rPr>
        <w:t xml:space="preserve">, </w:t>
      </w:r>
      <w:r>
        <w:rPr>
          <w:rtl w:val="true"/>
        </w:rPr>
        <w:t>שכן היא נעדרת חרטה ולקיחת אחריות</w:t>
      </w:r>
      <w:r>
        <w:rPr>
          <w:rtl w:val="true"/>
        </w:rPr>
        <w:t xml:space="preserve">, </w:t>
      </w:r>
      <w:r>
        <w:rPr>
          <w:rtl w:val="true"/>
        </w:rPr>
        <w:t>הנלוות במצב דברים רגיל להודאת הנאשם</w:t>
      </w:r>
      <w:r>
        <w:rPr>
          <w:rtl w:val="true"/>
        </w:rPr>
        <w:t xml:space="preserve">. </w:t>
      </w:r>
      <w:r>
        <w:rPr>
          <w:rtl w:val="true"/>
        </w:rPr>
        <w:t>יש בכך גם כדי להסביר מדוע קיים פער בענישה בין עאייש לבין נאיף</w:t>
      </w:r>
      <w:r>
        <w:rPr>
          <w:rtl w:val="true"/>
        </w:rPr>
        <w:t xml:space="preserve">. </w:t>
      </w:r>
      <w:r>
        <w:rPr>
          <w:rtl w:val="true"/>
        </w:rPr>
        <w:t>זאת בנוסף לגילו הצעיר של נאיף</w:t>
      </w:r>
      <w:r>
        <w:rPr>
          <w:rtl w:val="true"/>
        </w:rPr>
        <w:t xml:space="preserve">, </w:t>
      </w:r>
      <w:r>
        <w:rPr>
          <w:rtl w:val="true"/>
        </w:rPr>
        <w:t>ונסיבותיו האישיות המורכבות יותר</w:t>
      </w:r>
      <w:r>
        <w:rPr>
          <w:rtl w:val="true"/>
        </w:rPr>
        <w:t xml:space="preserve">, </w:t>
      </w:r>
      <w:r>
        <w:rPr>
          <w:rtl w:val="true"/>
        </w:rPr>
        <w:t>כפי שבאו לידי ביטוי בתסקירים שהוגשו לבית המשפט המחוזי</w:t>
      </w:r>
      <w:r>
        <w:rPr>
          <w:rtl w:val="true"/>
        </w:rPr>
        <w:t xml:space="preserve">. </w:t>
      </w:r>
      <w:r>
        <w:rPr>
          <w:rtl w:val="true"/>
        </w:rPr>
        <w:t>בכך ניתן גם מענה לטענה נוספת שהעלה עאייש</w:t>
      </w:r>
      <w:r>
        <w:rPr>
          <w:rtl w:val="true"/>
        </w:rPr>
        <w:t xml:space="preserve">, </w:t>
      </w:r>
      <w:r>
        <w:rPr>
          <w:rtl w:val="true"/>
        </w:rPr>
        <w:t>שלפיה השוני בענישה בינו לבין נאיף</w:t>
      </w:r>
      <w:r>
        <w:rPr>
          <w:rtl w:val="true"/>
        </w:rPr>
        <w:t xml:space="preserve">, </w:t>
      </w:r>
      <w:r>
        <w:rPr>
          <w:rtl w:val="true"/>
        </w:rPr>
        <w:t>נבע אך ורק מעברו הפלילי המכביד של עאייש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יש לדחות גם את טענת בשיר</w:t>
      </w:r>
      <w:r>
        <w:rPr>
          <w:rtl w:val="true"/>
        </w:rPr>
        <w:t xml:space="preserve">, </w:t>
      </w:r>
      <w:r>
        <w:rPr>
          <w:rtl w:val="true"/>
        </w:rPr>
        <w:t>שלפיה שימש רק כתצפיתן</w:t>
      </w:r>
      <w:r>
        <w:rPr>
          <w:rtl w:val="true"/>
        </w:rPr>
        <w:t xml:space="preserve">, </w:t>
      </w:r>
      <w:r>
        <w:rPr>
          <w:rtl w:val="true"/>
        </w:rPr>
        <w:t>ולא נטל חלק בהברחת הסמים עצמם</w:t>
      </w:r>
      <w:r>
        <w:rPr>
          <w:rtl w:val="true"/>
        </w:rPr>
        <w:t xml:space="preserve">, </w:t>
      </w:r>
      <w:r>
        <w:rPr>
          <w:rtl w:val="true"/>
        </w:rPr>
        <w:t>ומשכך יש לקבוע את עונשו ברף התחתון של עבירת הסיוע</w:t>
      </w:r>
      <w:r>
        <w:rPr>
          <w:rtl w:val="true"/>
        </w:rPr>
        <w:t xml:space="preserve">. </w:t>
      </w:r>
      <w:r>
        <w:rPr>
          <w:rtl w:val="true"/>
        </w:rPr>
        <w:t>טענה זו נדחתה בצדק רב על</w:t>
      </w:r>
      <w:r>
        <w:rPr>
          <w:rtl w:val="true"/>
        </w:rPr>
        <w:t>-</w:t>
      </w:r>
      <w:r>
        <w:rPr>
          <w:rtl w:val="true"/>
        </w:rPr>
        <w:t>ידי בית המשפט המחוזי</w:t>
      </w:r>
      <w:r>
        <w:rPr>
          <w:rtl w:val="true"/>
        </w:rPr>
        <w:t xml:space="preserve">, </w:t>
      </w:r>
      <w:r>
        <w:rPr>
          <w:rtl w:val="true"/>
        </w:rPr>
        <w:t xml:space="preserve">שקבע כי 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עיון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בעובדות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הראשון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בכתב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המתוקן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הודה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בשיר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>]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מלמד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טענה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זו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מדויקת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עובדות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;Malgun Gothic Semilight" w:ascii="Century" w:hAnsi="Century"/>
          <w:b/>
          <w:spacing w:val="0"/>
          <w:sz w:val="22"/>
          <w:szCs w:val="24"/>
        </w:rPr>
        <w:t>1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ו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cs="Miriam;Malgun Gothic Semilight" w:ascii="Century" w:hAnsi="Century"/>
          <w:b/>
          <w:spacing w:val="0"/>
          <w:sz w:val="22"/>
          <w:szCs w:val="24"/>
        </w:rPr>
        <w:t>2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שבכתב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המתוקן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מלמדות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המערערים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>]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קיימת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היכרות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מוקדמת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וכי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 xml:space="preserve">: 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עובר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לתאריך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;Malgun Gothic Semilight" w:ascii="Century" w:hAnsi="Century"/>
          <w:b/>
          <w:spacing w:val="0"/>
          <w:sz w:val="22"/>
          <w:szCs w:val="24"/>
        </w:rPr>
        <w:t>15.6.19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סיכמו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ביניהם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המערערים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>]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ואחרים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>...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וביניהם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תושבי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מצרים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ליבא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ממצרים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לישראל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סם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מסוכן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>.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עובדה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;Malgun Gothic Semilight" w:ascii="Century" w:hAnsi="Century"/>
          <w:b/>
          <w:spacing w:val="0"/>
          <w:sz w:val="22"/>
          <w:szCs w:val="24"/>
        </w:rPr>
        <w:t>5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בכתב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המתוקן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מלמדת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 xml:space="preserve">: 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בשלב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בשיר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>]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הגיע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רכב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מסוג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יפ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>...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ונותר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לעמוד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בסמוך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לשער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מנת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להשגיח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ולתצפת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מפני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הגעת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כוחות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הצבא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משטרה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המקום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בשיר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>]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שוחח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בטלפון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אחרים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>...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ועדכן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אותם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עומד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בשער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והכל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רגוע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מכתב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המתוקן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עולה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אפוא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לבשיר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>]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חלק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בסיכומים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המוקדמים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הגיע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עצמאי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רכב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משלו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למקום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ממנו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אמור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לתצפת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וכי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בפועל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אכן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עדכן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האחרים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אודות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המצב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בשטח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>.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נתונים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אלו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מלמדים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מעורבות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מבוטלת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בשיר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>]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באירוע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 w:val="22"/>
          <w:sz w:val="22"/>
          <w:szCs w:val="24"/>
          <w:rtl w:val="true"/>
        </w:rPr>
        <w:t>ההברחה</w:t>
      </w:r>
      <w:r>
        <w:rPr>
          <w:rFonts w:cs="Miriam;Malgun Gothic Semilight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בשיר היה בשר מבשרה של חבורת המבריחים</w:t>
      </w:r>
      <w:r>
        <w:rPr>
          <w:rtl w:val="true"/>
        </w:rPr>
        <w:t xml:space="preserve">, </w:t>
      </w:r>
      <w:r>
        <w:rPr>
          <w:rtl w:val="true"/>
        </w:rPr>
        <w:t>כפסע היה בינו ובין הרשעה בעבירה גופה</w:t>
      </w:r>
      <w:r>
        <w:rPr>
          <w:rtl w:val="true"/>
        </w:rPr>
        <w:t xml:space="preserve">; </w:t>
      </w:r>
      <w:r>
        <w:rPr>
          <w:rtl w:val="true"/>
        </w:rPr>
        <w:t>אין מקום להקלה נוספת בעונשו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;Malgun Gothic Semilight"/>
          <w:b/>
          <w:spacing w:val="0"/>
          <w:szCs w:val="24"/>
        </w:rPr>
      </w:pPr>
      <w:r>
        <w:rPr>
          <w:rFonts w:ascii="Century" w:hAnsi="Century" w:cs="Miriam;Malgun Gothic Semilight"/>
          <w:b/>
          <w:b/>
          <w:spacing w:val="0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Cs w:val="24"/>
          <w:rtl w:val="true"/>
        </w:rPr>
        <w:t>דבר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המשפט המחוזי הוציא תחת</w:t>
      </w:r>
      <w:r>
        <w:rPr>
          <w:rtl w:val="true"/>
        </w:rPr>
        <w:t>-</w:t>
      </w:r>
      <w:r>
        <w:rPr>
          <w:rtl w:val="true"/>
        </w:rPr>
        <w:t>ידו פסק דין מפורט ומנומק כדבעי</w:t>
      </w:r>
      <w:r>
        <w:rPr>
          <w:rtl w:val="true"/>
        </w:rPr>
        <w:t xml:space="preserve">; </w:t>
      </w:r>
      <w:r>
        <w:rPr>
          <w:rtl w:val="true"/>
        </w:rPr>
        <w:t>השיקולים הרלבנטיים הובאו כולם בחשבון</w:t>
      </w:r>
      <w:r>
        <w:rPr>
          <w:rtl w:val="true"/>
        </w:rPr>
        <w:t xml:space="preserve">; </w:t>
      </w:r>
      <w:r>
        <w:rPr>
          <w:rtl w:val="true"/>
        </w:rPr>
        <w:t>העונשים שהושתו על המערערים</w:t>
      </w:r>
      <w:r>
        <w:rPr>
          <w:rtl w:val="true"/>
        </w:rPr>
        <w:t xml:space="preserve">, </w:t>
      </w:r>
      <w:r>
        <w:rPr>
          <w:rtl w:val="true"/>
        </w:rPr>
        <w:t>נותנים ביטוי למכלול שיקולי הענישה</w:t>
      </w:r>
      <w:r>
        <w:rPr>
          <w:rtl w:val="true"/>
        </w:rPr>
        <w:t xml:space="preserve">; </w:t>
      </w:r>
      <w:r>
        <w:rPr>
          <w:rtl w:val="true"/>
        </w:rPr>
        <w:t>לא קמה הצדקה להתערבות מצדה של ערכאת הערעור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spacing w:lineRule="auto" w:line="48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אציע אפוא לחברַי לדחות את הערעורים כולם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;Malgun Gothic Semilight"/>
          <w:b/>
          <w:spacing w:val="0"/>
          <w:szCs w:val="24"/>
        </w:rPr>
      </w:pPr>
      <w:r>
        <w:rPr>
          <w:rFonts w:ascii="Century" w:hAnsi="Century" w:cs="Miriam;Malgun Gothic Semilight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Cs w:val="24"/>
          <w:u w:val="single"/>
          <w:rtl w:val="true"/>
        </w:rPr>
        <w:t>ד</w:t>
      </w:r>
      <w:r>
        <w:rPr>
          <w:rFonts w:cs="Miriam;Malgun Gothic Semilight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;Malgun Gothic Semilight"/>
          <w:b/>
          <w:b/>
          <w:spacing w:val="0"/>
          <w:szCs w:val="24"/>
          <w:u w:val="single"/>
          <w:rtl w:val="true"/>
        </w:rPr>
        <w:t>מינץ</w:t>
      </w:r>
      <w:r>
        <w:rPr>
          <w:rFonts w:cs="Miriam;Malgun Gothic Semilight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;Malgun Gothic Semilight"/>
          <w:b/>
          <w:spacing w:val="0"/>
          <w:szCs w:val="24"/>
        </w:rPr>
      </w:pPr>
      <w:r>
        <w:rPr>
          <w:rFonts w:ascii="Century" w:hAnsi="Century" w:cs="Miriam;Malgun Gothic Semilight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Cs w:val="24"/>
          <w:u w:val="single"/>
          <w:rtl w:val="true"/>
        </w:rPr>
        <w:t>י</w:t>
      </w:r>
      <w:r>
        <w:rPr>
          <w:rFonts w:cs="Miriam;Malgun Gothic Semilight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;Malgun Gothic Semilight"/>
          <w:b/>
          <w:b/>
          <w:spacing w:val="0"/>
          <w:szCs w:val="24"/>
          <w:u w:val="single"/>
          <w:rtl w:val="true"/>
        </w:rPr>
        <w:t>וילנר</w:t>
      </w:r>
      <w:r>
        <w:rPr>
          <w:rFonts w:cs="Miriam;Malgun Gothic Semilight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 ת</w:t>
            </w:r>
          </w:p>
        </w:tc>
      </w:tr>
    </w:tbl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Cs w:val="24"/>
          <w:rtl w:val="true"/>
        </w:rPr>
        <w:t>נעם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Cs w:val="24"/>
          <w:rtl w:val="true"/>
        </w:rPr>
        <w:t>סולברג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17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21.7.2021</w:t>
      </w:r>
      <w:r>
        <w:rPr>
          <w:rtl w:val="true"/>
        </w:rPr>
        <w:t xml:space="preserve">). </w:t>
      </w:r>
      <w:bookmarkEnd w:id="17"/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start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color w:val="FFFFFF"/>
                <w:sz w:val="2"/>
                <w:szCs w:val="2"/>
              </w:rPr>
              <w:t>54678313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 ת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20085340</w:t>
      </w:r>
      <w:r>
        <w:rPr>
          <w:sz w:val="16"/>
          <w:rtl w:val="true"/>
        </w:rPr>
        <w:t>_</w:t>
      </w:r>
      <w:r>
        <w:rPr>
          <w:sz w:val="16"/>
        </w:rPr>
        <w:t>O01.docx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יר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7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;Malgun Gothic Semilight" w:hAnsi="David;Malgun Gothic Semilight" w:cs="David;Malgun Gothic Semilight"/>
          <w:color w:val="000000"/>
          <w:szCs w:val="22"/>
        </w:rPr>
      </w:pPr>
      <w:r>
        <w:rPr>
          <w:rFonts w:cs="David;Malgun Gothic Semilight" w:ascii="David;Malgun Gothic Semilight" w:hAnsi="David;Malgun Gothic Semilight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Malgun Gothic Semilight" w:hAnsi="David;Malgun Gothic Semilight" w:cs="David;Malgun Gothic Semilight"/>
          <w:color w:val="000000"/>
          <w:szCs w:val="22"/>
        </w:rPr>
      </w:pPr>
      <w:r>
        <w:rPr>
          <w:rFonts w:ascii="David;Malgun Gothic Semilight" w:hAnsi="David;Malgun Gothic Semilight"/>
          <w:color w:val="000000"/>
          <w:szCs w:val="22"/>
          <w:rtl w:val="true"/>
        </w:rPr>
        <w:t>נ</w:t>
      </w:r>
      <w:r>
        <w:rPr>
          <w:rFonts w:cs="David;Malgun Gothic Semilight" w:ascii="David;Malgun Gothic Semilight" w:hAnsi="David;Malgun Gothic Semilight"/>
          <w:color w:val="000000"/>
          <w:szCs w:val="22"/>
          <w:rtl w:val="true"/>
        </w:rPr>
        <w:t xml:space="preserve">' </w:t>
      </w:r>
      <w:r>
        <w:rPr>
          <w:rFonts w:ascii="David;Malgun Gothic Semilight" w:hAnsi="David;Malgun Gothic Semilight"/>
          <w:color w:val="000000"/>
          <w:szCs w:val="22"/>
          <w:rtl w:val="true"/>
        </w:rPr>
        <w:t xml:space="preserve">סולברג </w:t>
      </w:r>
      <w:r>
        <w:rPr>
          <w:rFonts w:cs="David;Malgun Gothic Semilight" w:ascii="David;Malgun Gothic Semilight" w:hAnsi="David;Malgun Gothic Semilight"/>
          <w:color w:val="000000"/>
          <w:szCs w:val="22"/>
        </w:rPr>
        <w:t>54678313-8534/20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8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9"/>
      <w:footerReference w:type="default" r:id="rId40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altName w:val="Malgun Gothic Semilight"/>
    <w:charset w:val="00" w:characterSet="windows-1252"/>
    <w:family w:val="swiss"/>
    <w:pitch w:val="variable"/>
  </w:font>
  <w:font w:name="FrankRuehl">
    <w:altName w:val="Times New Roman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;Times New Roman" w:hAnsi="FrankRuehl;Times New Roman" w:cs="FrankRuehl;Times New Roman"/>
        <w:sz w:val="24"/>
      </w:rPr>
    </w:pPr>
    <w:r>
      <w:rPr>
        <w:rFonts w:cs="FrankRuehl;Times New Roman" w:ascii="FrankRuehl;Times New Roman" w:hAnsi="FrankRuehl;Times New Roman"/>
        <w:sz w:val="24"/>
        <w:rtl w:val="true"/>
      </w:rPr>
      <w:fldChar w:fldCharType="begin"/>
    </w:r>
    <w:r>
      <w:rPr>
        <w:rtl w:val="true"/>
        <w:sz w:val="24"/>
        <w:rFonts w:cs="FrankRuehl;Times New Roman" w:ascii="FrankRuehl;Times New Roman" w:hAnsi="FrankRuehl;Times New Roman"/>
      </w:rPr>
      <w:instrText xml:space="preserve"> PAGE </w:instrText>
    </w:r>
    <w:r>
      <w:rPr>
        <w:rtl w:val="true"/>
        <w:sz w:val="24"/>
        <w:rFonts w:cs="FrankRuehl;Times New Roman" w:ascii="FrankRuehl;Times New Roman" w:hAnsi="FrankRuehl;Times New Roman"/>
      </w:rPr>
      <w:fldChar w:fldCharType="separate"/>
    </w:r>
    <w:r>
      <w:rPr>
        <w:rtl w:val="true"/>
        <w:sz w:val="24"/>
        <w:rFonts w:cs="FrankRuehl;Times New Roman" w:ascii="FrankRuehl;Times New Roman" w:hAnsi="FrankRuehl;Times New Roman"/>
      </w:rPr>
      <w:t>15</w:t>
    </w:r>
    <w:r>
      <w:rPr>
        <w:rtl w:val="true"/>
        <w:sz w:val="24"/>
        <w:rFonts w:cs="FrankRuehl;Times New Roman" w:ascii="FrankRuehl;Times New Roman" w:hAnsi="FrankRuehl;Times New Roman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;Times New Roman" w:hAnsi="FrankRuehl;Times New Roman" w:cs="FrankRuehl;Times New Roman"/>
        <w:color w:val="000000"/>
        <w:sz w:val="24"/>
        <w:lang w:val="en-IL" w:eastAsia="en-IL"/>
      </w:rPr>
    </w:pPr>
    <w:r>
      <w:rPr>
        <w:rFonts w:cs="FrankRuehl;Times New Roman" w:ascii="FrankRuehl;Times New Roman" w:hAnsi="FrankRuehl;Times New Roman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Malgun Gothic Semilight" w:hAnsi="David;Malgun Gothic Semilight" w:cs="David;Malgun Gothic Semilight"/>
        <w:color w:val="000000"/>
        <w:sz w:val="22"/>
        <w:szCs w:val="22"/>
      </w:rPr>
    </w:pPr>
    <w:r>
      <w:rPr>
        <w:rFonts w:ascii="David;Malgun Gothic Semilight" w:hAnsi="David;Malgun Gothic Semilight"/>
        <w:color w:val="000000"/>
        <w:sz w:val="22"/>
        <w:sz w:val="22"/>
        <w:szCs w:val="22"/>
        <w:rtl w:val="true"/>
      </w:rPr>
      <w:t xml:space="preserve">עפ </w:t>
    </w:r>
    <w:r>
      <w:rPr>
        <w:rFonts w:cs="David;Malgun Gothic Semilight" w:ascii="David;Malgun Gothic Semilight" w:hAnsi="David;Malgun Gothic Semilight"/>
        <w:color w:val="000000"/>
        <w:sz w:val="22"/>
        <w:szCs w:val="22"/>
      </w:rPr>
      <w:t>8534/20</w:t>
    </w:r>
    <w:r>
      <w:rPr>
        <w:rFonts w:cs="David;Malgun Gothic Semilight" w:ascii="David;Malgun Gothic Semilight" w:hAnsi="David;Malgun Gothic Semilight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Malgun Gothic Semilight" w:hAnsi="David;Malgun Gothic Semilight"/>
        <w:color w:val="000000"/>
        <w:sz w:val="22"/>
        <w:sz w:val="22"/>
        <w:szCs w:val="22"/>
        <w:rtl w:val="true"/>
      </w:rPr>
      <w:t>נאיף זניד נ</w:t>
    </w:r>
    <w:r>
      <w:rPr>
        <w:rFonts w:cs="David;Malgun Gothic Semilight" w:ascii="David;Malgun Gothic Semilight" w:hAnsi="David;Malgun Gothic Semilight"/>
        <w:color w:val="000000"/>
        <w:sz w:val="22"/>
        <w:szCs w:val="22"/>
        <w:rtl w:val="true"/>
      </w:rPr>
      <w:t xml:space="preserve">' </w:t>
    </w:r>
    <w:r>
      <w:rPr>
        <w:rFonts w:ascii="David;Malgun Gothic Semilight" w:hAnsi="David;Malgun Gothic Semilight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Malgun Gothic Semilight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;Times New Roman"/>
      <w:sz w:val="22"/>
      <w:szCs w:val="28"/>
      <w:lang w:val="en-US" w:bidi="he-IL"/>
    </w:rPr>
  </w:style>
  <w:style w:type="character" w:styleId="BodyRuller">
    <w:name w:val="Body Ruller תו"/>
    <w:qFormat/>
    <w:rPr>
      <w:rFonts w:cs="David;Malgun Gothic Semilight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Malgun Gothic Semilight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3">
    <w:name w:val=" Char Char3"/>
    <w:qFormat/>
    <w:rPr>
      <w:rFonts w:cs="David;Malgun Gothic Semilight"/>
    </w:rPr>
  </w:style>
  <w:style w:type="character" w:styleId="CharChar2">
    <w:name w:val=" Char Char2"/>
    <w:qFormat/>
    <w:rPr>
      <w:rFonts w:cs="David;Malgun Gothic Semilight"/>
      <w:b/>
      <w:bCs/>
    </w:rPr>
  </w:style>
  <w:style w:type="character" w:styleId="CharChar1">
    <w:name w:val=" Char Char1"/>
    <w:qFormat/>
    <w:rPr>
      <w:rFonts w:ascii="Tahoma" w:hAnsi="Tahoma" w:cs="Tahoma"/>
      <w:sz w:val="18"/>
      <w:szCs w:val="18"/>
    </w:rPr>
  </w:style>
  <w:style w:type="character" w:styleId="CharChar5">
    <w:name w:val=" Char Char5"/>
    <w:qFormat/>
    <w:rPr>
      <w:rFonts w:cs="David;Malgun Gothic Semilight"/>
      <w:szCs w:val="24"/>
    </w:rPr>
  </w:style>
  <w:style w:type="character" w:styleId="CharChar4">
    <w:name w:val=" Char Char4"/>
    <w:qFormat/>
    <w:rPr>
      <w:rFonts w:cs="David;Malgun Gothic Semilight"/>
      <w:szCs w:val="24"/>
    </w:rPr>
  </w:style>
  <w:style w:type="character" w:styleId="CharChar">
    <w:name w:val=" Char Char"/>
    <w:qFormat/>
    <w:rPr>
      <w:rFonts w:ascii="Century" w:hAnsi="Century" w:cs="FrankRuehl;Times New Roman"/>
      <w:spacing w:val="10"/>
    </w:rPr>
  </w:style>
  <w:style w:type="character" w:styleId="EndnoteCharacters">
    <w:name w:val="Endnote Characters"/>
    <w:qFormat/>
    <w:rPr>
      <w:vertAlign w:val="superscript"/>
    </w:rPr>
  </w:style>
  <w:style w:type="character" w:styleId="Ruller4">
    <w:name w:val="Ruller4 תו"/>
    <w:qFormat/>
    <w:rPr>
      <w:rFonts w:ascii="Arial TUR;Arial" w:hAnsi="Arial TUR;Arial" w:cs="FrankRuehl;Times New Roman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;Times New Roman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;Malgun Gothic Semilight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;Times New Roman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3">
    <w:name w:val="Ruller4 אלפביתי"/>
    <w:basedOn w:val="Ruller41"/>
    <w:next w:val="Ruller41"/>
    <w:qFormat/>
    <w:pPr>
      <w:numPr>
        <w:ilvl w:val="0"/>
        <w:numId w:val="2"/>
      </w:numPr>
    </w:pPr>
    <w:rPr/>
  </w:style>
  <w:style w:type="paragraph" w:styleId="EndnoteText">
    <w:name w:val="endnote text"/>
    <w:basedOn w:val="Normal"/>
    <w:pPr/>
    <w:rPr>
      <w:rFonts w:ascii="Century" w:hAnsi="Century" w:cs="FrankRuehl;Times New Roman"/>
      <w:spacing w:val="1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5839142" TargetMode="External"/><Relationship Id="rId3" Type="http://schemas.openxmlformats.org/officeDocument/2006/relationships/hyperlink" Target="http://www.nevo.co.il/law/4216" TargetMode="External"/><Relationship Id="rId4" Type="http://schemas.openxmlformats.org/officeDocument/2006/relationships/hyperlink" Target="http://www.nevo.co.il/law/4216/7.a" TargetMode="External"/><Relationship Id="rId5" Type="http://schemas.openxmlformats.org/officeDocument/2006/relationships/hyperlink" Target="http://www.nevo.co.il/law/4216/7.c" TargetMode="External"/><Relationship Id="rId6" Type="http://schemas.openxmlformats.org/officeDocument/2006/relationships/hyperlink" Target="http://www.nevo.co.il/law/4216/13" TargetMode="External"/><Relationship Id="rId7" Type="http://schemas.openxmlformats.org/officeDocument/2006/relationships/hyperlink" Target="http://www.nevo.co.il/law/5227" TargetMode="External"/><Relationship Id="rId8" Type="http://schemas.openxmlformats.org/officeDocument/2006/relationships/hyperlink" Target="http://www.nevo.co.il/law/5227/43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31" TargetMode="External"/><Relationship Id="rId11" Type="http://schemas.openxmlformats.org/officeDocument/2006/relationships/hyperlink" Target="http://www.nevo.co.il/law/70301/40i.6" TargetMode="External"/><Relationship Id="rId12" Type="http://schemas.openxmlformats.org/officeDocument/2006/relationships/hyperlink" Target="http://www.nevo.co.il/law/70301/382a.b.1" TargetMode="External"/><Relationship Id="rId13" Type="http://schemas.openxmlformats.org/officeDocument/2006/relationships/hyperlink" Target="http://www.nevo.co.il/law/70301/382a.b.3" TargetMode="External"/><Relationship Id="rId14" Type="http://schemas.openxmlformats.org/officeDocument/2006/relationships/hyperlink" Target="http://www.nevo.co.il/law/70301/40ja.1" TargetMode="External"/><Relationship Id="rId15" Type="http://schemas.openxmlformats.org/officeDocument/2006/relationships/hyperlink" Target="http://www.nevo.co.il/case/25839142" TargetMode="External"/><Relationship Id="rId16" Type="http://schemas.openxmlformats.org/officeDocument/2006/relationships/hyperlink" Target="http://www.nevo.co.il/law/4216/13" TargetMode="External"/><Relationship Id="rId17" Type="http://schemas.openxmlformats.org/officeDocument/2006/relationships/hyperlink" Target="http://www.nevo.co.il/law/4216" TargetMode="External"/><Relationship Id="rId18" Type="http://schemas.openxmlformats.org/officeDocument/2006/relationships/hyperlink" Target="http://www.nevo.co.il/law/4216/13" TargetMode="External"/><Relationship Id="rId19" Type="http://schemas.openxmlformats.org/officeDocument/2006/relationships/hyperlink" Target="http://www.nevo.co.il/law/5227/43" TargetMode="External"/><Relationship Id="rId20" Type="http://schemas.openxmlformats.org/officeDocument/2006/relationships/hyperlink" Target="http://www.nevo.co.il/law/5227" TargetMode="External"/><Relationship Id="rId21" Type="http://schemas.openxmlformats.org/officeDocument/2006/relationships/hyperlink" Target="http://www.nevo.co.il/law/4216/7.a" TargetMode="External"/><Relationship Id="rId22" Type="http://schemas.openxmlformats.org/officeDocument/2006/relationships/hyperlink" Target="http://www.nevo.co.il/law/4216/7.c" TargetMode="External"/><Relationship Id="rId23" Type="http://schemas.openxmlformats.org/officeDocument/2006/relationships/hyperlink" Target="http://www.nevo.co.il/law/70301/382a.b.1" TargetMode="External"/><Relationship Id="rId24" Type="http://schemas.openxmlformats.org/officeDocument/2006/relationships/hyperlink" Target="http://www.nevo.co.il/law/70301/382a.b.3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4216/13" TargetMode="External"/><Relationship Id="rId27" Type="http://schemas.openxmlformats.org/officeDocument/2006/relationships/hyperlink" Target="http://www.nevo.co.il/law/5227/43" TargetMode="External"/><Relationship Id="rId28" Type="http://schemas.openxmlformats.org/officeDocument/2006/relationships/hyperlink" Target="http://www.nevo.co.il/law/5227" TargetMode="External"/><Relationship Id="rId29" Type="http://schemas.openxmlformats.org/officeDocument/2006/relationships/hyperlink" Target="http://www.nevo.co.il/law/70301/31" TargetMode="External"/><Relationship Id="rId30" Type="http://schemas.openxmlformats.org/officeDocument/2006/relationships/hyperlink" Target="http://www.nevo.co.il/case/5755866" TargetMode="External"/><Relationship Id="rId31" Type="http://schemas.openxmlformats.org/officeDocument/2006/relationships/hyperlink" Target="http://www.nevo.co.il/case/5875466" TargetMode="External"/><Relationship Id="rId32" Type="http://schemas.openxmlformats.org/officeDocument/2006/relationships/hyperlink" Target="http://www.nevo.co.il/case/24975735" TargetMode="External"/><Relationship Id="rId33" Type="http://schemas.openxmlformats.org/officeDocument/2006/relationships/hyperlink" Target="http://www.nevo.co.il/case/5988308" TargetMode="External"/><Relationship Id="rId34" Type="http://schemas.openxmlformats.org/officeDocument/2006/relationships/hyperlink" Target="http://www.nevo.co.il/case/11269774" TargetMode="External"/><Relationship Id="rId35" Type="http://schemas.openxmlformats.org/officeDocument/2006/relationships/hyperlink" Target="http://www.nevo.co.il/law/70301/40i.6" TargetMode="External"/><Relationship Id="rId36" Type="http://schemas.openxmlformats.org/officeDocument/2006/relationships/hyperlink" Target="http://www.nevo.co.il/law/70301/40ja.1" TargetMode="External"/><Relationship Id="rId37" Type="http://schemas.openxmlformats.org/officeDocument/2006/relationships/hyperlink" Target="https://supreme.court.gov.il/" TargetMode="External"/><Relationship Id="rId38" Type="http://schemas.openxmlformats.org/officeDocument/2006/relationships/hyperlink" Target="http://www.nevo.co.il/advertisements/nevo-100.doc" TargetMode="External"/><Relationship Id="rId39" Type="http://schemas.openxmlformats.org/officeDocument/2006/relationships/header" Target="header1.xml"/><Relationship Id="rId40" Type="http://schemas.openxmlformats.org/officeDocument/2006/relationships/footer" Target="footer1.xml"/><Relationship Id="rId41" Type="http://schemas.openxmlformats.org/officeDocument/2006/relationships/numbering" Target="numbering.xml"/><Relationship Id="rId42" Type="http://schemas.openxmlformats.org/officeDocument/2006/relationships/fontTable" Target="fontTable.xml"/><Relationship Id="rId43" Type="http://schemas.openxmlformats.org/officeDocument/2006/relationships/settings" Target="settings.xml"/><Relationship Id="rId4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2021-07-25T08:03:00Z</dcterms:created>
  <dc:creator>h4</dc:creator>
  <dc:description/>
  <cp:keywords/>
  <dc:language>en-IL</dc:language>
  <cp:lastModifiedBy>orly</cp:lastModifiedBy>
  <cp:lastPrinted>2021-07-21T14:01:00Z</cp:lastPrinted>
  <dcterms:modified xsi:type="dcterms:W3CDTF">2021-07-25T08:03:00Z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נאיף זניד;עייאש אלדנפירי;בשיר עדיסאן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25839142:2;5755866;5875466;24975735;5988308;11269774</vt:lpwstr>
  </property>
  <property fmtid="{D5CDD505-2E9C-101B-9397-08002B2CF9AE}" pid="9" name="CITY">
    <vt:lpwstr/>
  </property>
  <property fmtid="{D5CDD505-2E9C-101B-9397-08002B2CF9AE}" pid="10" name="DATE">
    <vt:lpwstr>20210721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סולברג;ד' מינץ;י' וילנר</vt:lpwstr>
  </property>
  <property fmtid="{D5CDD505-2E9C-101B-9397-08002B2CF9AE}" pid="14" name="LAWLISTTMP1">
    <vt:lpwstr>4216/013:3;007.a;007.c</vt:lpwstr>
  </property>
  <property fmtid="{D5CDD505-2E9C-101B-9397-08002B2CF9AE}" pid="15" name="LAWLISTTMP2">
    <vt:lpwstr>5227/043:2</vt:lpwstr>
  </property>
  <property fmtid="{D5CDD505-2E9C-101B-9397-08002B2CF9AE}" pid="16" name="LAWLISTTMP3">
    <vt:lpwstr>70301/382a.b.1;382a.b.3;031;040i.6;40ja.1</vt:lpwstr>
  </property>
  <property fmtid="{D5CDD505-2E9C-101B-9397-08002B2CF9AE}" pid="17" name="LAWYER">
    <vt:lpwstr>יוסי לין;אסתר בר ציון;אחמד סיף ותד;מורן קולמן;ברכה וייס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פאני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עונשין</vt:lpwstr>
  </property>
  <property fmtid="{D5CDD505-2E9C-101B-9397-08002B2CF9AE}" pid="29" name="NOSE110">
    <vt:lpwstr/>
  </property>
  <property fmtid="{D5CDD505-2E9C-101B-9397-08002B2CF9AE}" pid="30" name="NOSE12">
    <vt:lpwstr>עונשין</vt:lpwstr>
  </property>
  <property fmtid="{D5CDD505-2E9C-101B-9397-08002B2CF9AE}" pid="31" name="NOSE13">
    <vt:lpwstr>עונשין</vt:lpwstr>
  </property>
  <property fmtid="{D5CDD505-2E9C-101B-9397-08002B2CF9AE}" pid="32" name="NOSE14">
    <vt:lpwstr>עונשין</vt:lpwstr>
  </property>
  <property fmtid="{D5CDD505-2E9C-101B-9397-08002B2CF9AE}" pid="33" name="NOSE15">
    <vt:lpwstr>עונשין</vt:lpwstr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77;77;77;77;77</vt:lpwstr>
  </property>
  <property fmtid="{D5CDD505-2E9C-101B-9397-08002B2CF9AE}" pid="39" name="NOSE21">
    <vt:lpwstr>ענישה</vt:lpwstr>
  </property>
  <property fmtid="{D5CDD505-2E9C-101B-9397-08002B2CF9AE}" pid="40" name="NOSE210">
    <vt:lpwstr/>
  </property>
  <property fmtid="{D5CDD505-2E9C-101B-9397-08002B2CF9AE}" pid="41" name="NOSE22">
    <vt:lpwstr>ענישה</vt:lpwstr>
  </property>
  <property fmtid="{D5CDD505-2E9C-101B-9397-08002B2CF9AE}" pid="42" name="NOSE23">
    <vt:lpwstr>ענישה</vt:lpwstr>
  </property>
  <property fmtid="{D5CDD505-2E9C-101B-9397-08002B2CF9AE}" pid="43" name="NOSE24">
    <vt:lpwstr>ענישה</vt:lpwstr>
  </property>
  <property fmtid="{D5CDD505-2E9C-101B-9397-08002B2CF9AE}" pid="44" name="NOSE25">
    <vt:lpwstr>ענישה</vt:lpwstr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1446;1446;1446;1446;1446</vt:lpwstr>
  </property>
  <property fmtid="{D5CDD505-2E9C-101B-9397-08002B2CF9AE}" pid="50" name="NOSE31">
    <vt:lpwstr>מדיניות ענישה: סחר בסמים</vt:lpwstr>
  </property>
  <property fmtid="{D5CDD505-2E9C-101B-9397-08002B2CF9AE}" pid="51" name="NOSE310">
    <vt:lpwstr/>
  </property>
  <property fmtid="{D5CDD505-2E9C-101B-9397-08002B2CF9AE}" pid="52" name="NOSE32">
    <vt:lpwstr>מדיניות ענישה: עבירות סמים</vt:lpwstr>
  </property>
  <property fmtid="{D5CDD505-2E9C-101B-9397-08002B2CF9AE}" pid="53" name="NOSE33">
    <vt:lpwstr>מדיניות ענישה: שיקולים</vt:lpwstr>
  </property>
  <property fmtid="{D5CDD505-2E9C-101B-9397-08002B2CF9AE}" pid="54" name="NOSE34">
    <vt:lpwstr>מדיניות ענישה: התערבות ערכאת ערעור</vt:lpwstr>
  </property>
  <property fmtid="{D5CDD505-2E9C-101B-9397-08002B2CF9AE}" pid="55" name="NOSE35">
    <vt:lpwstr>מתחם הענישה</vt:lpwstr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18658;8991;8994;8982;14985</vt:lpwstr>
  </property>
  <property fmtid="{D5CDD505-2E9C-101B-9397-08002B2CF9AE}" pid="61" name="PADIDATE">
    <vt:lpwstr>20210725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עפ;עפ;עפ</vt:lpwstr>
  </property>
  <property fmtid="{D5CDD505-2E9C-101B-9397-08002B2CF9AE}" pid="66" name="PROCNUM">
    <vt:lpwstr>8534;8669;8742</vt:lpwstr>
  </property>
  <property fmtid="{D5CDD505-2E9C-101B-9397-08002B2CF9AE}" pid="67" name="PROCYEAR">
    <vt:lpwstr>20;20;20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410120210721</vt:lpwstr>
  </property>
  <property fmtid="{D5CDD505-2E9C-101B-9397-08002B2CF9AE}" pid="71" name="TYPE_N_DATE">
    <vt:lpwstr>41020210721</vt:lpwstr>
  </property>
  <property fmtid="{D5CDD505-2E9C-101B-9397-08002B2CF9AE}" pid="72" name="VOLUME">
    <vt:lpwstr/>
  </property>
  <property fmtid="{D5CDD505-2E9C-101B-9397-08002B2CF9AE}" pid="73" name="WORDNUMPAGES">
    <vt:lpwstr>14</vt:lpwstr>
  </property>
</Properties>
</file>