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8538/18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פרוך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01.11.2018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29650-01-18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כרמל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02.01.2019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דכוור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וסים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פטר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.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4"/>
          <w:szCs w:val="26"/>
          <w:rFonts w:cs="FrankRuehl"/>
        </w:rPr>
        <w:instrText xml:space="preserve"> HYPERLINK "http://www.nevo.co.il/law/70301/40c" \l ".a"</w:instrText>
      </w:r>
      <w:r>
        <w:rPr>
          <w:rtl w:val="true"/>
          <w:rStyle w:val="Hyperlink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 w:val="24"/>
          <w:szCs w:val="26"/>
          <w:rtl w:val="true"/>
        </w:rPr>
        <w:t>סעיף</w:t>
      </w:r>
      <w:r>
        <w:rPr>
          <w:rtl w:val="true"/>
          <w:rStyle w:val="Hyperlink"/>
          <w:sz w:val="24"/>
          <w:szCs w:val="26"/>
          <w:rFonts w:cs="FrankRuehl"/>
        </w:rPr>
        <w:fldChar w:fldCharType="end"/>
      </w:r>
      <w:r>
        <w:rPr>
          <w:rStyle w:val="Hyperlink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Hyperlink"/>
          <w:rFonts w:cs="FrankRuehl"/>
          <w:sz w:val="24"/>
          <w:szCs w:val="26"/>
        </w:rPr>
        <w:t>40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ג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א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4"/>
          <w:szCs w:val="26"/>
          <w:rFonts w:cs="FrankRuehl"/>
        </w:rPr>
        <w:instrText xml:space="preserve"> HYPERLINK "http://www.nevo.co.il/law/70301/40c" \l ".b"</w:instrText>
      </w:r>
      <w:r>
        <w:rPr>
          <w:rtl w:val="true"/>
          <w:rStyle w:val="Hyperlink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 w:val="24"/>
          <w:szCs w:val="26"/>
          <w:rtl w:val="true"/>
        </w:rPr>
        <w:t>בסעיפים</w:t>
      </w:r>
      <w:r>
        <w:rPr>
          <w:rtl w:val="true"/>
          <w:rStyle w:val="Hyperlink"/>
          <w:sz w:val="24"/>
          <w:szCs w:val="26"/>
          <w:rFonts w:cs="FrankRuehl"/>
        </w:rPr>
        <w:fldChar w:fldCharType="end"/>
      </w:r>
      <w:r>
        <w:rPr>
          <w:rStyle w:val="Hyperlink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Hyperlink"/>
          <w:rFonts w:cs="FrankRuehl"/>
          <w:sz w:val="24"/>
          <w:szCs w:val="26"/>
        </w:rPr>
        <w:t>40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ג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ב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fldChar w:fldCharType="begin"/>
      </w:r>
      <w:r>
        <w:rPr>
          <w:rtl w:val="true"/>
          <w:rStyle w:val="Hyperlink"/>
          <w:sz w:val="24"/>
          <w:szCs w:val="26"/>
          <w:rFonts w:cs="FrankRuehl"/>
        </w:rPr>
        <w:instrText xml:space="preserve"> HYPERLINK "http://www.nevo.co.il/law/70301/40jd" \l ".2"</w:instrText>
      </w:r>
      <w:r>
        <w:rPr>
          <w:rtl w:val="true"/>
          <w:rStyle w:val="Hyperlink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Cs w:val="26"/>
        </w:rPr>
        <w:t>40</w:t>
      </w:r>
      <w:r>
        <w:rPr>
          <w:rtl w:val="true"/>
          <w:rStyle w:val="Hyperlink"/>
          <w:sz w:val="24"/>
          <w:szCs w:val="26"/>
          <w:rFonts w:cs="FrankRuehl"/>
        </w:rPr>
        <w:fldChar w:fldCharType="end"/>
      </w:r>
      <w:r>
        <w:rPr>
          <w:rStyle w:val="Hyperlink"/>
          <w:rFonts w:cs="FrankRuehl"/>
          <w:sz w:val="24"/>
          <w:sz w:val="24"/>
          <w:szCs w:val="26"/>
          <w:rtl w:val="true"/>
        </w:rPr>
        <w:t>יד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Cs w:val="26"/>
        </w:rPr>
        <w:t>2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תקיפת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החרדית</w:t>
      </w:r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גרוסקופף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ושטיין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החולקת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הנדל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hyperlink r:id="rId8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ג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פעולות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והעמידו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30-12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בהשוואה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והפוגעני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מכאן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4"/>
          <w:sz w:val="24"/>
          <w:szCs w:val="26"/>
          <w:rFonts w:cs="FrankRuehl"/>
        </w:rPr>
        <w:instrText xml:space="preserve"> HYPERLINK "http://www.nevo.co.il/law/70301/40c" \l ".a"</w:instrTex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 w:val="24"/>
          <w:szCs w:val="26"/>
          <w:rtl w:val="true"/>
        </w:rPr>
        <w:t>סעיף</w: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end"/>
      </w:r>
      <w:r>
        <w:rPr>
          <w:rStyle w:val="Hyperlink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Hyperlink"/>
          <w:rFonts w:cs="FrankRuehl"/>
          <w:sz w:val="24"/>
          <w:szCs w:val="26"/>
        </w:rPr>
        <w:t>40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ג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א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fldChar w:fldCharType="begin"/>
      </w:r>
      <w:r>
        <w:rPr>
          <w:rtl w:val="true"/>
          <w:rStyle w:val="Hyperlink"/>
          <w:sz w:val="24"/>
          <w:sz w:val="24"/>
          <w:szCs w:val="26"/>
          <w:rFonts w:cs="FrankRuehl"/>
        </w:rPr>
        <w:instrText xml:space="preserve"> HYPERLINK "http://www.nevo.co.il/law/70301/40c" \l ".b"</w:instrTex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 w:val="24"/>
          <w:szCs w:val="26"/>
          <w:rtl w:val="true"/>
        </w:rPr>
        <w:t>בסעיפים</w: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end"/>
      </w:r>
      <w:r>
        <w:rPr>
          <w:rStyle w:val="Hyperlink"/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Style w:val="Hyperlink"/>
          <w:rFonts w:cs="FrankRuehl"/>
          <w:sz w:val="24"/>
          <w:szCs w:val="26"/>
        </w:rPr>
        <w:t>40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ג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 w:val="24"/>
          <w:szCs w:val="26"/>
          <w:rtl w:val="true"/>
        </w:rPr>
        <w:t>ב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 xml:space="preserve">- </w:t>
      </w:r>
      <w:r>
        <w:fldChar w:fldCharType="begin"/>
      </w:r>
      <w:r>
        <w:rPr>
          <w:rtl w:val="true"/>
          <w:rStyle w:val="Hyperlink"/>
          <w:sz w:val="24"/>
          <w:sz w:val="24"/>
          <w:szCs w:val="26"/>
          <w:rFonts w:cs="FrankRuehl"/>
        </w:rPr>
        <w:instrText xml:space="preserve"> HYPERLINK "http://www.nevo.co.il/law/70301/40jd" \l ".2"</w:instrTex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separate"/>
      </w:r>
      <w:r>
        <w:rPr>
          <w:rStyle w:val="Hyperlink"/>
          <w:rFonts w:cs="FrankRuehl"/>
          <w:sz w:val="24"/>
          <w:szCs w:val="26"/>
        </w:rPr>
        <w:t>40</w:t>
      </w:r>
      <w:r>
        <w:rPr>
          <w:rtl w:val="true"/>
          <w:rStyle w:val="Hyperlink"/>
          <w:sz w:val="24"/>
          <w:sz w:val="24"/>
          <w:szCs w:val="26"/>
          <w:rFonts w:cs="FrankRuehl"/>
        </w:rPr>
        <w:fldChar w:fldCharType="end"/>
      </w:r>
      <w:r>
        <w:rPr>
          <w:rStyle w:val="Hyperlink"/>
          <w:rFonts w:cs="FrankRuehl"/>
          <w:sz w:val="24"/>
          <w:sz w:val="24"/>
          <w:szCs w:val="26"/>
          <w:rtl w:val="true"/>
        </w:rPr>
        <w:t>יד</w:t>
      </w:r>
      <w:r>
        <w:rPr>
          <w:rStyle w:val="Hyperlink"/>
          <w:rFonts w:cs="FrankRuehl"/>
          <w:sz w:val="24"/>
          <w:szCs w:val="26"/>
          <w:rtl w:val="true"/>
        </w:rPr>
        <w:t>(</w:t>
      </w:r>
      <w:r>
        <w:rPr>
          <w:rStyle w:val="Hyperlink"/>
          <w:rFonts w:cs="FrankRuehl"/>
          <w:sz w:val="24"/>
          <w:szCs w:val="26"/>
        </w:rPr>
        <w:t>2</w:t>
      </w:r>
      <w:r>
        <w:rPr>
          <w:rStyle w:val="Hyperlink"/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מלהבהיר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40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יא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מלמדת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למקם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צעיר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נעדר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התרשם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הכללית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בבחור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לניהול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נורמטיבי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הזכירה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הימנעות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מלהסגיר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שותפו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למיקומו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textAlignment w:val="auto"/>
        <w:rPr/>
      </w:pP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יופחת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המיעוט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המחוקק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המאפשרות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להכפיל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המבצעים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ומניע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גזעני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ושוחרת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בשאיפתו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הנשגבת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בזרקור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משפילים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LawTable_End"/>
      <w:bookmarkStart w:id="10" w:name="ABSTRACT_END"/>
      <w:bookmarkStart w:id="11" w:name="LawTable_End"/>
      <w:bookmarkEnd w:id="10"/>
      <w:bookmarkEnd w:id="1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2" w:name="PsakDin"/>
            <w:bookmarkStart w:id="13" w:name="BeginProtocol"/>
            <w:bookmarkStart w:id="14" w:name="secretary"/>
            <w:bookmarkEnd w:id="12"/>
            <w:bookmarkEnd w:id="13"/>
            <w:bookmarkEnd w:id="14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5" w:name="Writer_Name"/>
      <w:bookmarkEnd w:id="15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6" w:name="Start_Write"/>
      <w:bookmarkStart w:id="17" w:name="Start_Write"/>
      <w:bookmarkEnd w:id="17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חשובה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שבוחן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ומהכללים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מהעובדות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tl w:val="true"/>
        </w:rPr>
        <w:t xml:space="preserve">, </w:t>
      </w:r>
      <w:r>
        <w:rPr>
          <w:rtl w:val="true"/>
        </w:rPr>
        <w:t>שבמהלכם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החרדית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ומאחור</w:t>
      </w:r>
      <w:r>
        <w:rPr>
          <w:rtl w:val="true"/>
        </w:rPr>
        <w:t xml:space="preserve">.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והסבריהם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השבת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, </w:t>
      </w:r>
      <w:r>
        <w:rPr>
          <w:rtl w:val="true"/>
        </w:rPr>
        <w:t>ואילץ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וגופיה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החמאס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לחטוף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הרחוב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אילצו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האיסלאמית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באגרופו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תפס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הסיטואציה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בנערים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קריאת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ומטרידה</w:t>
      </w:r>
      <w:r>
        <w:rPr>
          <w:rtl w:val="true"/>
        </w:rPr>
        <w:t xml:space="preserve">.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להכפיל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המבצעים</w:t>
      </w:r>
      <w:r>
        <w:rPr>
          <w:rtl w:val="true"/>
        </w:rPr>
        <w:t xml:space="preserve">.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מניע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. </w:t>
      </w:r>
      <w:r>
        <w:rPr>
          <w:rtl w:val="true"/>
        </w:rPr>
        <w:t>בחברה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מתוקנת</w:t>
      </w:r>
      <w:r>
        <w:rPr>
          <w:rtl w:val="true"/>
        </w:rPr>
        <w:t xml:space="preserve">, </w:t>
      </w:r>
      <w:r>
        <w:rPr>
          <w:rtl w:val="true"/>
        </w:rPr>
        <w:t>השוחרת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בתוכה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עצמם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</w:t>
      </w:r>
      <w:r>
        <w:rPr>
          <w:rtl w:val="true"/>
        </w:rPr>
        <w:t xml:space="preserve">. 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בשאיפתו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הנשגבת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משפילים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ההשפלה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האנטי</w:t>
      </w:r>
      <w:r>
        <w:rPr>
          <w:rtl w:val="true"/>
        </w:rPr>
        <w:t>-</w:t>
      </w:r>
      <w:r>
        <w:rPr>
          <w:rtl w:val="true"/>
        </w:rPr>
        <w:t>תזה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. </w:t>
      </w:r>
      <w:r>
        <w:rPr>
          <w:rtl w:val="true"/>
        </w:rPr>
        <w:t>ונדגיש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הקרבן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להסתיים</w:t>
      </w:r>
      <w:r>
        <w:rPr>
          <w:rtl w:val="true"/>
        </w:rPr>
        <w:t xml:space="preserve">. </w:t>
      </w:r>
      <w:r>
        <w:rPr>
          <w:rtl w:val="true"/>
        </w:rPr>
        <w:t>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ועמוק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גזעני</w:t>
      </w:r>
      <w:r>
        <w:rPr>
          <w:rtl w:val="true"/>
        </w:rPr>
        <w:t xml:space="preserve">, </w:t>
      </w:r>
      <w:r>
        <w:rPr>
          <w:rtl w:val="true"/>
        </w:rPr>
        <w:t>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 xml:space="preserve">, </w:t>
      </w:r>
      <w:r>
        <w:rPr>
          <w:rtl w:val="true"/>
        </w:rPr>
        <w:t>ובענייננו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שהוזכר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הצטברותם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ולחומרא</w:t>
      </w:r>
      <w:r>
        <w:rPr>
          <w:rtl w:val="true"/>
        </w:rPr>
        <w:t xml:space="preserve">. </w:t>
      </w:r>
      <w:r>
        <w:rPr>
          <w:rtl w:val="true"/>
        </w:rPr>
        <w:t>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לצערי אין באפשרותי להסכים במקרה זה לעמדתו של חברי</w:t>
      </w:r>
      <w:r>
        <w:rPr>
          <w:rtl w:val="true"/>
        </w:rPr>
        <w:t xml:space="preserve">,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אסביר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קובע כי בבואו לגזור את הדין על בית המשפט לעשות שתי פעולות שונות</w:t>
      </w:r>
      <w:r>
        <w:rPr>
          <w:rtl w:val="true"/>
        </w:rPr>
        <w:t xml:space="preserve">: </w:t>
      </w:r>
      <w:r>
        <w:rPr>
          <w:rtl w:val="true"/>
        </w:rPr>
        <w:t>לקבוע את מתחם העונש ההולם למעשה העבירה שביצע הנאשם ולקבוע את מיקומו של הנאשם בתוך המתחם בהתאם לנסיבות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>וזו לשון הסעיף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א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בית המשפט יקבע מתחם עונש הולם למעשה העבירה שביצע הנאשם בהתאם לעיקרון המנחה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ולשם כך יתחשב בערך החברתי שנפגע מביצוע העבירה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>במידת הפגיעה בו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במדיניות הענישה הנהוגה ובנסיבות הקשורות בביצוע העבירה כאמור בסעיף </w:t>
      </w:r>
      <w:r>
        <w:rPr>
          <w:rStyle w:val="default"/>
          <w:rFonts w:cs="Century" w:ascii="Century" w:hAnsi="Century"/>
        </w:rPr>
        <w:t>40</w:t>
      </w:r>
      <w:r>
        <w:rPr>
          <w:rStyle w:val="default"/>
          <w:rFonts w:ascii="Century" w:hAnsi="Century" w:cs="Century"/>
          <w:rtl w:val="true"/>
        </w:rPr>
        <w:t>ט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>ב</w:t>
      </w:r>
      <w:r>
        <w:rPr>
          <w:rStyle w:val="default"/>
          <w:rFonts w:cs="Century" w:ascii="Century" w:hAnsi="Century"/>
          <w:rtl w:val="true"/>
        </w:rPr>
        <w:t>)</w:t>
        <w:tab/>
      </w:r>
      <w:r>
        <w:rPr>
          <w:rStyle w:val="default"/>
          <w:rFonts w:ascii="Century" w:hAnsi="Century" w:cs="Century"/>
          <w:rtl w:val="true"/>
        </w:rPr>
        <w:t>בתוך מתחם העונש ההולם יגזור בית המשפט את העונש המתאים לנאשם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בהתחשב בנסיבות שאינן קשורות בביצוע העבירה כאמור בסעיף </w:t>
      </w:r>
      <w:r>
        <w:rPr>
          <w:rStyle w:val="default"/>
          <w:rFonts w:cs="Century" w:ascii="Century" w:hAnsi="Century"/>
        </w:rPr>
        <w:t>40</w:t>
      </w:r>
      <w:r>
        <w:rPr>
          <w:rStyle w:val="default"/>
          <w:rFonts w:ascii="Century" w:hAnsi="Century" w:cs="Century"/>
          <w:rtl w:val="true"/>
        </w:rPr>
        <w:t>יא</w:t>
      </w:r>
      <w:r>
        <w:rPr>
          <w:rStyle w:val="default"/>
          <w:rFonts w:cs="Century" w:ascii="Century" w:hAnsi="Century"/>
          <w:rtl w:val="true"/>
        </w:rPr>
        <w:t xml:space="preserve">, </w:t>
      </w:r>
      <w:r>
        <w:rPr>
          <w:rStyle w:val="default"/>
          <w:rFonts w:ascii="Century" w:hAnsi="Century" w:cs="Century"/>
          <w:rtl w:val="true"/>
        </w:rPr>
        <w:t xml:space="preserve">ואולם בית המשפט רשאי לחרוג ממתחם העונש ההולם בשל שיקולי שיקום או הגנה על שלום הציבור לפי הוראות סעיפים </w:t>
      </w:r>
      <w:r>
        <w:rPr>
          <w:rStyle w:val="default"/>
          <w:rFonts w:cs="Century" w:ascii="Century" w:hAnsi="Century"/>
        </w:rPr>
        <w:t>40</w:t>
      </w:r>
      <w:r>
        <w:rPr>
          <w:rStyle w:val="default"/>
          <w:rFonts w:ascii="Century" w:hAnsi="Century" w:cs="Century"/>
          <w:rtl w:val="true"/>
        </w:rPr>
        <w:t>ד ו</w:t>
      </w:r>
      <w:r>
        <w:rPr>
          <w:rStyle w:val="default"/>
          <w:rFonts w:cs="Century" w:ascii="Century" w:hAnsi="Century"/>
          <w:rtl w:val="true"/>
        </w:rPr>
        <w:t>-</w:t>
      </w:r>
      <w:r>
        <w:rPr>
          <w:rStyle w:val="default"/>
          <w:rFonts w:cs="Century" w:ascii="Century" w:hAnsi="Century"/>
        </w:rPr>
        <w:t>40</w:t>
      </w:r>
      <w:r>
        <w:rPr>
          <w:rStyle w:val="default"/>
          <w:rFonts w:ascii="Century" w:hAnsi="Century" w:cs="Century"/>
          <w:rtl w:val="true"/>
        </w:rPr>
        <w:t>ה</w:t>
      </w:r>
      <w:r>
        <w:rPr>
          <w:rStyle w:val="default"/>
          <w:rFonts w:cs="Century" w:ascii="Century" w:hAnsi="Century"/>
          <w:rtl w:val="true"/>
        </w:rPr>
        <w:t>.</w:t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5"/>
        <w:ind w:end="1282"/>
        <w:jc w:val="both"/>
        <w:rPr>
          <w:rStyle w:val="default"/>
        </w:rPr>
      </w:pPr>
      <w:r>
        <w:rPr>
          <w:rtl w:val="true"/>
        </w:rPr>
      </w:r>
    </w:p>
    <w:p>
      <w:pPr>
        <w:pStyle w:val="Ruller4"/>
        <w:ind w:end="0"/>
        <w:jc w:val="both"/>
        <w:rPr>
          <w:rStyle w:val="default"/>
          <w:rFonts w:ascii="Century" w:hAnsi="Century" w:cs="Century"/>
        </w:rPr>
      </w:pPr>
      <w:r>
        <w:rPr>
          <w:rStyle w:val="default"/>
          <w:rFonts w:cs="Century" w:ascii="Century" w:hAnsi="Century"/>
          <w:rtl w:val="true"/>
        </w:rPr>
        <w:t>(</w:t>
      </w:r>
      <w:r>
        <w:rPr>
          <w:rStyle w:val="default"/>
          <w:rFonts w:ascii="Century" w:hAnsi="Century" w:cs="Century"/>
          <w:rtl w:val="true"/>
        </w:rPr>
        <w:t xml:space="preserve">וראו גם </w:t>
      </w:r>
      <w:hyperlink r:id="rId13"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</w:rPr>
          <w:t>40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יד</w:t>
        </w:r>
        <w:r>
          <w:rPr>
            <w:rStyle w:val="Hyperlink"/>
            <w:rFonts w:ascii="Times New Roman" w:hAnsi="Times New Roman" w:cs="Century"/>
            <w:color w:val="0000FF"/>
            <w:sz w:val="26"/>
            <w:sz w:val="26"/>
            <w:szCs w:val="26"/>
            <w:u w:val="single"/>
            <w:rtl w:val="true"/>
          </w:rPr>
          <w:t>.</w:t>
        </w:r>
      </w:hyperlink>
      <w:r>
        <w:rPr>
          <w:rStyle w:val="default"/>
          <w:rFonts w:cs="Century" w:ascii="Century" w:hAnsi="Century"/>
          <w:rtl w:val="true"/>
        </w:rPr>
        <w:t xml:space="preserve"> </w:t>
      </w:r>
      <w:r>
        <w:rPr>
          <w:rStyle w:val="default"/>
          <w:rFonts w:ascii="Century" w:hAnsi="Century" w:cs="Century"/>
          <w:rtl w:val="true"/>
        </w:rPr>
        <w:t>ל</w:t>
      </w:r>
      <w:hyperlink r:id="rId14"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Times New Roman" w:ascii="Century" w:hAnsi="Century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Style w:val="default"/>
          <w:rFonts w:ascii="Century" w:hAnsi="Century" w:cs="Century"/>
          <w:rtl w:val="true"/>
        </w:rPr>
        <w:t xml:space="preserve"> המורה כי בגזר הדין יפרט וינמק בית המשפט את קביעת מתחם העונש ואת גזירת העונש המתאים לנאשם</w:t>
      </w:r>
      <w:r>
        <w:rPr>
          <w:rStyle w:val="default"/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Style w:val="default"/>
          <w:rFonts w:ascii="Century" w:hAnsi="Century" w:cs="Century"/>
        </w:rPr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קמא קבע בענייננו את מתחם העונש ההולם לעבירה שביצע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והעמידו על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. </w:t>
      </w:r>
      <w:r>
        <w:rPr>
          <w:rtl w:val="true"/>
        </w:rPr>
        <w:t>בשים לב לאמור בפסק דינו של חברי</w:t>
      </w:r>
      <w:r>
        <w:rPr>
          <w:rtl w:val="true"/>
        </w:rPr>
        <w:t xml:space="preserve">, </w:t>
      </w:r>
      <w:r>
        <w:rPr>
          <w:rtl w:val="true"/>
        </w:rPr>
        <w:t>מקובל עלי כי מתחם זה</w:t>
      </w:r>
      <w:r>
        <w:rPr>
          <w:rtl w:val="true"/>
        </w:rPr>
        <w:t xml:space="preserve">, </w:t>
      </w:r>
      <w:r>
        <w:rPr>
          <w:rtl w:val="true"/>
        </w:rPr>
        <w:t>למרות היותו מחמיר בהשוואה לפסיקה הנוהגת</w:t>
      </w:r>
      <w:r>
        <w:rPr>
          <w:rtl w:val="true"/>
        </w:rPr>
        <w:t xml:space="preserve">, </w:t>
      </w:r>
      <w:r>
        <w:rPr>
          <w:rtl w:val="true"/>
        </w:rPr>
        <w:t>הוא אכן מתחם העונש ההולם את מעשה העבירה המכוער והפוגעני בו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מכאן שבית המשפט קמא עשה מלאכתו נאמנה בקיום הוראת </w:t>
      </w:r>
      <w:r>
        <w:fldChar w:fldCharType="begin"/>
      </w:r>
      <w:r>
        <w:rPr>
          <w:rtl w:val="true"/>
          <w:rStyle w:val="Hyperlink"/>
          <w:u w:val="single"/>
          <w:color w:val="0000FF"/>
        </w:rPr>
        <w:instrText xml:space="preserve"> HYPERLINK "http://www.nevo.co.il/law/70301/40c" \l ".a"</w:instrText>
      </w:r>
      <w:r>
        <w:rPr>
          <w:rtl w:val="true"/>
          <w:rStyle w:val="Hyperlink"/>
          <w:u w:val="single"/>
          <w:color w:val="0000FF"/>
        </w:rPr>
        <w:fldChar w:fldCharType="separate"/>
      </w:r>
      <w:r>
        <w:rPr>
          <w:rStyle w:val="Hyperlink"/>
          <w:color w:val="0000FF"/>
          <w:u w:val="single"/>
          <w:rtl w:val="true"/>
        </w:rPr>
        <w:t>סעיף</w:t>
      </w:r>
      <w:r>
        <w:rPr>
          <w:rtl w:val="true"/>
          <w:rStyle w:val="Hyperlink"/>
          <w:u w:val="single"/>
          <w:color w:val="0000FF"/>
        </w:rPr>
        <w:fldChar w:fldCharType="end"/>
      </w:r>
      <w:r>
        <w:rPr>
          <w:rStyle w:val="Hyperlink"/>
          <w:color w:val="0000FF"/>
          <w:u w:val="single"/>
          <w:rtl w:val="true"/>
        </w:rPr>
        <w:t xml:space="preserve"> </w:t>
      </w:r>
      <w:r>
        <w:rPr>
          <w:rStyle w:val="Hyperlink"/>
          <w:color w:val="0000FF"/>
          <w:u w:val="single"/>
        </w:rPr>
        <w:t>40</w:t>
      </w:r>
      <w:r>
        <w:rPr>
          <w:rStyle w:val="Hyperlink"/>
          <w:color w:val="0000FF"/>
          <w:u w:val="single"/>
          <w:rtl w:val="true"/>
        </w:rPr>
        <w:t>ג</w:t>
      </w:r>
      <w:r>
        <w:rPr>
          <w:rStyle w:val="Hyperlink"/>
          <w:color w:val="0000FF"/>
          <w:u w:val="single"/>
          <w:rtl w:val="true"/>
        </w:rPr>
        <w:t>.(</w:t>
      </w:r>
      <w:r>
        <w:rPr>
          <w:rStyle w:val="Hyperlink"/>
          <w:color w:val="0000FF"/>
          <w:u w:val="single"/>
          <w:rtl w:val="true"/>
        </w:rPr>
        <w:t>א</w:t>
      </w:r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בית המשפט קמא לא השלים את מלאכתו</w:t>
      </w:r>
      <w:r>
        <w:rPr>
          <w:rtl w:val="true"/>
        </w:rPr>
        <w:t xml:space="preserve">, </w:t>
      </w:r>
      <w:r>
        <w:rPr>
          <w:rtl w:val="true"/>
        </w:rPr>
        <w:t>ולא דן בשאלה היכן יש למקם את המערער בתוך המתחם שקבע בשים לב לנסיבות שאינן קשורות בביצוע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בכך לא קיים בית המשפט קמא את מצוות המחוקק </w:t>
      </w:r>
      <w:r>
        <w:fldChar w:fldCharType="begin"/>
      </w:r>
      <w:r>
        <w:rPr>
          <w:rtl w:val="true"/>
          <w:rStyle w:val="Hyperlink"/>
          <w:u w:val="single"/>
          <w:color w:val="0000FF"/>
        </w:rPr>
        <w:instrText xml:space="preserve"> HYPERLINK "http://www.nevo.co.il/law/70301/40c" \l ".b"</w:instrText>
      </w:r>
      <w:r>
        <w:rPr>
          <w:rtl w:val="true"/>
          <w:rStyle w:val="Hyperlink"/>
          <w:u w:val="single"/>
          <w:color w:val="0000FF"/>
        </w:rPr>
        <w:fldChar w:fldCharType="separate"/>
      </w:r>
      <w:r>
        <w:rPr>
          <w:rStyle w:val="Hyperlink"/>
          <w:color w:val="0000FF"/>
          <w:u w:val="single"/>
          <w:rtl w:val="true"/>
        </w:rPr>
        <w:t>בסעיפים</w:t>
      </w:r>
      <w:r>
        <w:rPr>
          <w:rtl w:val="true"/>
          <w:rStyle w:val="Hyperlink"/>
          <w:u w:val="single"/>
          <w:color w:val="0000FF"/>
        </w:rPr>
        <w:fldChar w:fldCharType="end"/>
      </w:r>
      <w:r>
        <w:rPr>
          <w:rStyle w:val="Hyperlink"/>
          <w:color w:val="0000FF"/>
          <w:u w:val="single"/>
          <w:rtl w:val="true"/>
        </w:rPr>
        <w:t xml:space="preserve"> </w:t>
      </w:r>
      <w:r>
        <w:rPr>
          <w:rStyle w:val="Hyperlink"/>
          <w:color w:val="0000FF"/>
          <w:u w:val="single"/>
        </w:rPr>
        <w:t>40</w:t>
      </w:r>
      <w:r>
        <w:rPr>
          <w:rStyle w:val="Hyperlink"/>
          <w:color w:val="0000FF"/>
          <w:u w:val="single"/>
          <w:rtl w:val="true"/>
        </w:rPr>
        <w:t>ג</w:t>
      </w:r>
      <w:r>
        <w:rPr>
          <w:rStyle w:val="Hyperlink"/>
          <w:color w:val="0000FF"/>
          <w:u w:val="single"/>
          <w:rtl w:val="true"/>
        </w:rPr>
        <w:t>.(</w:t>
      </w:r>
      <w:r>
        <w:rPr>
          <w:rStyle w:val="Hyperlink"/>
          <w:color w:val="0000FF"/>
          <w:u w:val="single"/>
          <w:rtl w:val="true"/>
        </w:rPr>
        <w:t>ב</w:t>
      </w:r>
      <w:r>
        <w:rPr>
          <w:rStyle w:val="Hyperlink"/>
          <w:color w:val="0000FF"/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fldChar w:fldCharType="begin"/>
      </w:r>
      <w:r>
        <w:rPr>
          <w:rtl w:val="true"/>
          <w:rStyle w:val="Hyperlink"/>
        </w:rPr>
        <w:instrText xml:space="preserve"> HYPERLINK "http://www.nevo.co.il/law/70301/40jd" \l ".2"</w:instrText>
      </w:r>
      <w:r>
        <w:rPr>
          <w:rtl w:val="true"/>
          <w:rStyle w:val="Hyperlink"/>
        </w:rPr>
        <w:fldChar w:fldCharType="separate"/>
      </w:r>
      <w:r>
        <w:rPr>
          <w:rStyle w:val="Hyperlink"/>
        </w:rPr>
        <w:t>40</w:t>
      </w:r>
      <w:r>
        <w:rPr>
          <w:rtl w:val="true"/>
          <w:rStyle w:val="Hyperlink"/>
        </w:rPr>
        <w:fldChar w:fldCharType="end"/>
      </w:r>
      <w:r>
        <w:rPr>
          <w:rStyle w:val="Hyperlink"/>
          <w:rtl w:val="true"/>
        </w:rPr>
        <w:t>יד</w:t>
      </w:r>
      <w:r>
        <w:rPr>
          <w:rStyle w:val="Hyperlink"/>
          <w:rtl w:val="true"/>
        </w:rPr>
        <w:t>.(</w:t>
      </w:r>
      <w:r>
        <w:rPr>
          <w:rStyle w:val="Hyperlink"/>
        </w:rPr>
        <w:t>2</w:t>
      </w:r>
      <w:r>
        <w:rPr>
          <w:rStyle w:val="Hyperlink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הפוך והפוך בפסק דינו הקצר</w:t>
      </w:r>
      <w:r>
        <w:rPr>
          <w:rtl w:val="true"/>
        </w:rPr>
        <w:t xml:space="preserve">, </w:t>
      </w:r>
      <w:r>
        <w:rPr>
          <w:rtl w:val="true"/>
        </w:rPr>
        <w:t>ולא תמצא בו כל דיון של ממש בשאלה מהן הנסיבות שאינן קשורות בביצוע העבירה בהן התחשב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בהגיעו למסקנה כי עונשו של המערער צריך להיות באזור אמצע המתחם </w:t>
      </w:r>
      <w:r>
        <w:rPr>
          <w:rtl w:val="true"/>
        </w:rPr>
        <w:t>(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 מאסר</w:t>
      </w:r>
      <w:r>
        <w:rPr>
          <w:rtl w:val="true"/>
        </w:rPr>
        <w:t xml:space="preserve">).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ציין לזכותו של המערער 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הודאתו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בתחילת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ההליך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הצעיר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</w:t>
      </w:r>
      <w:r>
        <w:rPr>
          <w:rtl w:val="true"/>
        </w:rPr>
        <w:t xml:space="preserve">", </w:t>
      </w:r>
      <w:r>
        <w:rPr>
          <w:rtl w:val="true"/>
        </w:rPr>
        <w:t>ואולם כנגדם לא ציין ולו שיקול אחד שאינו קשור בביצוע העבירה היכול להצדיק מיקומו בסמוך למחצית המתחם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ויובהר</w:t>
      </w:r>
      <w:r>
        <w:rPr>
          <w:rtl w:val="true"/>
        </w:rPr>
        <w:t xml:space="preserve">, </w:t>
      </w:r>
      <w:r>
        <w:rPr>
          <w:rtl w:val="true"/>
        </w:rPr>
        <w:t>הקושי בענייננו אינו טמון אך ורק במחדל של בית המשפט קמא מלהבהיר מהם השיקולים שהביאו אותו למקם את המערער שלפנינו באזור אמצע המתחם</w:t>
      </w:r>
      <w:r>
        <w:rPr>
          <w:rtl w:val="true"/>
        </w:rPr>
        <w:t xml:space="preserve">, </w:t>
      </w:r>
      <w:r>
        <w:rPr>
          <w:rtl w:val="true"/>
        </w:rPr>
        <w:t xml:space="preserve">אלא בכך שבחינת השיקולים המנויים </w:t>
      </w:r>
      <w:hyperlink r:id="rId17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.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מלמדת</w:t>
      </w:r>
      <w:r>
        <w:rPr>
          <w:rtl w:val="true"/>
        </w:rPr>
        <w:t xml:space="preserve">, </w:t>
      </w:r>
      <w:r>
        <w:rPr>
          <w:rtl w:val="true"/>
        </w:rPr>
        <w:t>שאין כל הצדקה למקם את המערער במחצית המתחם</w:t>
      </w:r>
      <w:r>
        <w:rPr>
          <w:rtl w:val="true"/>
        </w:rPr>
        <w:t xml:space="preserve">. </w:t>
      </w:r>
      <w:r>
        <w:rPr>
          <w:rtl w:val="true"/>
        </w:rPr>
        <w:t>לעניין זה יש מקום להביא בחשבון את השיקולים הבאים</w:t>
      </w:r>
      <w:r>
        <w:rPr>
          <w:rtl w:val="true"/>
        </w:rPr>
        <w:t xml:space="preserve">: </w:t>
      </w:r>
      <w:r>
        <w:rPr>
          <w:rtl w:val="true"/>
        </w:rPr>
        <w:t>מדובר במערער צעיר</w:t>
      </w:r>
      <w:r>
        <w:rPr>
          <w:rtl w:val="true"/>
        </w:rPr>
        <w:t xml:space="preserve">; </w:t>
      </w:r>
      <w:r>
        <w:rPr>
          <w:rtl w:val="true"/>
        </w:rPr>
        <w:t>נעדר עבר פלילי</w:t>
      </w:r>
      <w:r>
        <w:rPr>
          <w:rtl w:val="true"/>
        </w:rPr>
        <w:t xml:space="preserve">; </w:t>
      </w:r>
      <w:r>
        <w:rPr>
          <w:rtl w:val="true"/>
        </w:rPr>
        <w:t>לא נרשמה לחובתו כל הסתבכות נוספת עם החוק</w:t>
      </w:r>
      <w:r>
        <w:rPr>
          <w:rtl w:val="true"/>
        </w:rPr>
        <w:t xml:space="preserve">; </w:t>
      </w:r>
      <w:r>
        <w:rPr>
          <w:rtl w:val="true"/>
        </w:rPr>
        <w:t>הוא הודה במיוחס לו בתחילת המשפט</w:t>
      </w:r>
      <w:r>
        <w:rPr>
          <w:rtl w:val="true"/>
        </w:rPr>
        <w:t xml:space="preserve">; </w:t>
      </w:r>
      <w:r>
        <w:rPr>
          <w:rtl w:val="true"/>
        </w:rPr>
        <w:t>נטל אחריות על מעשיו והביע עליהם חרטה</w:t>
      </w:r>
      <w:r>
        <w:rPr>
          <w:rtl w:val="true"/>
        </w:rPr>
        <w:t xml:space="preserve">; </w:t>
      </w:r>
      <w:r>
        <w:rPr>
          <w:rtl w:val="true"/>
        </w:rPr>
        <w:t>עונש מאסר פוגע קשות במסלול חייו</w:t>
      </w:r>
      <w:r>
        <w:rPr>
          <w:rtl w:val="true"/>
        </w:rPr>
        <w:t xml:space="preserve">; </w:t>
      </w:r>
      <w:r>
        <w:rPr>
          <w:rtl w:val="true"/>
        </w:rPr>
        <w:t xml:space="preserve">שירות המבחן ציין לגביו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מתרשמים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העבירות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מאפיינות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התנהלותו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בבחור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לניהול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אורח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נורמטיבי</w:t>
      </w:r>
      <w:r>
        <w:rPr>
          <w:rtl w:val="true"/>
        </w:rPr>
        <w:t xml:space="preserve">". </w:t>
      </w:r>
      <w:r>
        <w:rPr>
          <w:rtl w:val="true"/>
        </w:rPr>
        <w:t>כנגד השיקולים הללו הזכיר בא כוח המשיבה רק את הימנעותו של המערער מלהסגיר את שותפו למעשה עבירה</w:t>
      </w:r>
      <w:r>
        <w:rPr>
          <w:rtl w:val="true"/>
        </w:rPr>
        <w:t xml:space="preserve">, </w:t>
      </w:r>
      <w:r>
        <w:rPr>
          <w:rtl w:val="true"/>
        </w:rPr>
        <w:t>ואולם פשיטא כי שיקול זה לבדו אינו יכול להצדיק מיקום המערער במחצית המתחם</w:t>
      </w:r>
      <w:r>
        <w:rPr>
          <w:rtl w:val="true"/>
        </w:rPr>
        <w:t xml:space="preserve">, </w:t>
      </w:r>
      <w:r>
        <w:rPr>
          <w:rtl w:val="true"/>
        </w:rPr>
        <w:t>אלא לכל היותר יש בו כדי להביא למיקומו מעט מעל לרף התחתון של המתחם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לאור האמור לעיל</w:t>
      </w:r>
      <w:r>
        <w:rPr>
          <w:rtl w:val="true"/>
        </w:rPr>
        <w:t xml:space="preserve">, </w:t>
      </w:r>
      <w:r>
        <w:rPr>
          <w:rtl w:val="true"/>
        </w:rPr>
        <w:t>סבורני כי חובתנו להשלים את שהחסירה הערכאה קמא</w:t>
      </w:r>
      <w:r>
        <w:rPr>
          <w:rtl w:val="true"/>
        </w:rPr>
        <w:t xml:space="preserve">, </w:t>
      </w:r>
      <w:r>
        <w:rPr>
          <w:rtl w:val="true"/>
        </w:rPr>
        <w:t>ולהורות כי עונשו של המערער יופחת במידת מה</w:t>
      </w:r>
      <w:r>
        <w:rPr>
          <w:rtl w:val="true"/>
        </w:rPr>
        <w:t xml:space="preserve">, </w:t>
      </w:r>
      <w:r>
        <w:rPr>
          <w:rtl w:val="true"/>
        </w:rPr>
        <w:t>באופן שימקמו במיקום הראוי לו במתחם שקבע בית המשפט קמא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אם תשמע דעתי</w:t>
      </w:r>
      <w:r>
        <w:rPr>
          <w:rtl w:val="true"/>
        </w:rPr>
        <w:t xml:space="preserve">, </w:t>
      </w:r>
      <w:r>
        <w:rPr>
          <w:rtl w:val="true"/>
        </w:rPr>
        <w:t>יופחת 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ויועמד על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 מאסר לריצוי בפועל</w:t>
      </w:r>
      <w:r>
        <w:rPr>
          <w:rtl w:val="true"/>
        </w:rPr>
        <w:t xml:space="preserve">. </w:t>
      </w:r>
      <w:r>
        <w:rPr>
          <w:rtl w:val="true"/>
        </w:rPr>
        <w:t>יתר רכיבי העונש יוותרו בעינם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שטיין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  <w:r>
        <w:rPr>
          <w:rFonts w:cs="Miriam" w:ascii="Century" w:hAnsi="Century"/>
          <w:b/>
          <w:spacing w:val="0"/>
          <w:szCs w:val="24"/>
          <w:rtl w:val="true"/>
        </w:rPr>
        <w:tab/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גרוסקופף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.              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3.2.2019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9:00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9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91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7.1.2019</w:t>
      </w:r>
      <w:r>
        <w:rPr>
          <w:rtl w:val="true"/>
        </w:rPr>
        <w:t xml:space="preserve">). </w:t>
      </w:r>
    </w:p>
    <w:p>
      <w:pPr>
        <w:pStyle w:val="91"/>
        <w:ind w:end="0"/>
        <w:jc w:val="both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18085380</w:t>
      </w:r>
      <w:r>
        <w:rPr>
          <w:sz w:val="16"/>
          <w:rtl w:val="true"/>
        </w:rPr>
        <w:t>_</w:t>
      </w:r>
      <w:r>
        <w:rPr>
          <w:sz w:val="16"/>
        </w:rPr>
        <w:t>Z04.docx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9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54678313-8538/18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0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1"/>
      <w:footerReference w:type="default" r:id="rId22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8538/18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אחמד פרוך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9">
    <w:name w:val="סגנון9 תו"/>
    <w:qFormat/>
    <w:rPr>
      <w:rFonts w:ascii="Arial TUR;Arial" w:hAnsi="Arial TUR;Arial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91">
    <w:name w:val="סגנון9"/>
    <w:basedOn w:val="Normal"/>
    <w:qFormat/>
    <w:pPr>
      <w:spacing w:lineRule="auto" w:line="360"/>
      <w:jc w:val="both"/>
      <w:textAlignment w:val="auto"/>
    </w:pPr>
    <w:rPr>
      <w:rFonts w:ascii="Arial TUR;Arial" w:hAnsi="Arial TUR;Arial"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5457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d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40c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c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jd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j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supreme.court.gov.il/" TargetMode="External"/><Relationship Id="rId20" Type="http://schemas.openxmlformats.org/officeDocument/2006/relationships/hyperlink" Target="http://www.nevo.co.il/advertisements/nevo-100.doc" TargetMode="Externa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2019-01-08T07:25:00Z</dcterms:created>
  <dc:creator>h3</dc:creator>
  <dc:description/>
  <cp:keywords/>
  <dc:language>en-IL</dc:language>
  <cp:lastModifiedBy>orly</cp:lastModifiedBy>
  <cp:lastPrinted>2019-01-07T09:02:00Z</cp:lastPrinted>
  <dcterms:modified xsi:type="dcterms:W3CDTF">2019-01-08T07:25:00Z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אחמד פרוך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ProcID=235&amp;PartA=30&amp;PartC=12</vt:lpwstr>
  </property>
  <property fmtid="{D5CDD505-2E9C-101B-9397-08002B2CF9AE}" pid="9" name="CASESLISTTMP1">
    <vt:lpwstr>23545792</vt:lpwstr>
  </property>
  <property fmtid="{D5CDD505-2E9C-101B-9397-08002B2CF9AE}" pid="10" name="CITY">
    <vt:lpwstr/>
  </property>
  <property fmtid="{D5CDD505-2E9C-101B-9397-08002B2CF9AE}" pid="11" name="DATE">
    <vt:lpwstr>20190107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הנדל;ע' גרוסקופף;א' שטיין</vt:lpwstr>
  </property>
  <property fmtid="{D5CDD505-2E9C-101B-9397-08002B2CF9AE}" pid="15" name="LAWLISTTMP1">
    <vt:lpwstr>70301/040c:3;40jd:2;40ja</vt:lpwstr>
  </property>
  <property fmtid="{D5CDD505-2E9C-101B-9397-08002B2CF9AE}" pid="16" name="LAWYER">
    <vt:lpwstr>אריה פטר;דכוור וסים;ברכה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1446;1443</vt:lpwstr>
  </property>
  <property fmtid="{D5CDD505-2E9C-101B-9397-08002B2CF9AE}" pid="49" name="NOSE31">
    <vt:lpwstr>הבניית שיקול הדעת השיפוטי בענישה</vt:lpwstr>
  </property>
  <property fmtid="{D5CDD505-2E9C-101B-9397-08002B2CF9AE}" pid="50" name="NOSE310">
    <vt:lpwstr/>
  </property>
  <property fmtid="{D5CDD505-2E9C-101B-9397-08002B2CF9AE}" pid="51" name="NOSE32">
    <vt:lpwstr>ממניע גזעני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15573;16924</vt:lpwstr>
  </property>
  <property fmtid="{D5CDD505-2E9C-101B-9397-08002B2CF9AE}" pid="60" name="PADIDATE">
    <vt:lpwstr>20190108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8538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410120190107</vt:lpwstr>
  </property>
  <property fmtid="{D5CDD505-2E9C-101B-9397-08002B2CF9AE}" pid="70" name="TYPE_N_DATE">
    <vt:lpwstr>41020190107</vt:lpwstr>
  </property>
  <property fmtid="{D5CDD505-2E9C-101B-9397-08002B2CF9AE}" pid="71" name="VOLUME">
    <vt:lpwstr/>
  </property>
  <property fmtid="{D5CDD505-2E9C-101B-9397-08002B2CF9AE}" pid="72" name="WORDNUMPAGES">
    <vt:lpwstr>7</vt:lpwstr>
  </property>
</Properties>
</file>