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8550/20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אמגד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אסכאפי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43002-10-20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מרדכי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כדורי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4393"/>
        <w:gridCol w:w="709"/>
      </w:tblGrid>
      <w:tr>
        <w:trPr/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39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15.12.2020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70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18"/>
                <w:szCs w:val="26"/>
              </w:rPr>
            </w:pPr>
            <w:bookmarkStart w:id="3" w:name="FirstLawyer"/>
            <w:bookmarkEnd w:id="3"/>
            <w:r>
              <w:rPr>
                <w:sz w:val="18"/>
                <w:sz w:val="18"/>
                <w:szCs w:val="26"/>
                <w:rtl w:val="true"/>
              </w:rPr>
              <w:t>בשם</w:t>
            </w:r>
            <w:r>
              <w:rPr>
                <w:rFonts w:cs="Times New Roman"/>
                <w:sz w:val="18"/>
                <w:sz w:val="18"/>
                <w:szCs w:val="26"/>
                <w:rtl w:val="true"/>
              </w:rPr>
              <w:t xml:space="preserve"> </w:t>
            </w:r>
            <w:r>
              <w:rPr>
                <w:sz w:val="18"/>
                <w:sz w:val="18"/>
                <w:szCs w:val="26"/>
                <w:rtl w:val="true"/>
              </w:rPr>
              <w:t>ה</w:t>
            </w:r>
            <w:r>
              <w:rPr>
                <w:sz w:val="18"/>
                <w:sz w:val="18"/>
                <w:szCs w:val="26"/>
                <w:rtl w:val="true"/>
              </w:rPr>
              <w:t>מערער</w:t>
            </w:r>
            <w:r>
              <w:rPr>
                <w:sz w:val="18"/>
                <w:szCs w:val="26"/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sz w:val="18"/>
                <w:szCs w:val="26"/>
              </w:rPr>
            </w:pPr>
            <w:r>
              <w:rPr>
                <w:sz w:val="18"/>
                <w:sz w:val="18"/>
                <w:szCs w:val="26"/>
                <w:rtl w:val="true"/>
              </w:rPr>
              <w:t>בשם</w:t>
            </w:r>
            <w:r>
              <w:rPr>
                <w:rFonts w:cs="Times New Roman"/>
                <w:sz w:val="18"/>
                <w:sz w:val="18"/>
                <w:szCs w:val="26"/>
                <w:rtl w:val="true"/>
              </w:rPr>
              <w:t xml:space="preserve"> </w:t>
            </w:r>
            <w:r>
              <w:rPr>
                <w:sz w:val="18"/>
                <w:sz w:val="18"/>
                <w:szCs w:val="26"/>
                <w:rtl w:val="true"/>
              </w:rPr>
              <w:t>המשיבה</w:t>
            </w:r>
            <w:r>
              <w:rPr>
                <w:sz w:val="18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18"/>
                <w:szCs w:val="26"/>
              </w:rPr>
            </w:pPr>
            <w:r>
              <w:rPr>
                <w:sz w:val="18"/>
                <w:sz w:val="18"/>
                <w:szCs w:val="26"/>
                <w:rtl w:val="true"/>
              </w:rPr>
              <w:t>עו</w:t>
            </w:r>
            <w:r>
              <w:rPr>
                <w:sz w:val="18"/>
                <w:szCs w:val="26"/>
                <w:rtl w:val="true"/>
              </w:rPr>
              <w:t>"</w:t>
            </w:r>
            <w:r>
              <w:rPr>
                <w:sz w:val="18"/>
                <w:sz w:val="18"/>
                <w:szCs w:val="26"/>
                <w:rtl w:val="true"/>
              </w:rPr>
              <w:t>ד</w:t>
            </w:r>
            <w:r>
              <w:rPr>
                <w:rFonts w:cs="Times New Roman"/>
                <w:sz w:val="18"/>
                <w:sz w:val="18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קישאוי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sz w:val="18"/>
                <w:szCs w:val="26"/>
              </w:rPr>
            </w:pPr>
            <w:r>
              <w:rPr>
                <w:sz w:val="18"/>
                <w:sz w:val="18"/>
                <w:szCs w:val="26"/>
                <w:rtl w:val="true"/>
              </w:rPr>
              <w:t>עו</w:t>
            </w:r>
            <w:r>
              <w:rPr>
                <w:sz w:val="18"/>
                <w:szCs w:val="26"/>
                <w:rtl w:val="true"/>
              </w:rPr>
              <w:t>"</w:t>
            </w:r>
            <w:r>
              <w:rPr>
                <w:sz w:val="18"/>
                <w:sz w:val="18"/>
                <w:szCs w:val="26"/>
                <w:rtl w:val="true"/>
              </w:rPr>
              <w:t>ד</w:t>
            </w:r>
            <w:r>
              <w:rPr>
                <w:rFonts w:cs="Times New Roman"/>
                <w:sz w:val="18"/>
                <w:sz w:val="18"/>
                <w:szCs w:val="26"/>
                <w:rtl w:val="true"/>
              </w:rPr>
              <w:t xml:space="preserve"> </w:t>
            </w:r>
            <w:r>
              <w:rPr>
                <w:sz w:val="18"/>
                <w:sz w:val="18"/>
                <w:szCs w:val="26"/>
                <w:rtl w:val="true"/>
              </w:rPr>
              <w:t>מריה</w:t>
            </w:r>
            <w:r>
              <w:rPr>
                <w:rFonts w:cs="Times New Roman"/>
                <w:sz w:val="18"/>
                <w:sz w:val="18"/>
                <w:szCs w:val="26"/>
                <w:rtl w:val="true"/>
              </w:rPr>
              <w:t xml:space="preserve"> </w:t>
            </w:r>
            <w:r>
              <w:rPr>
                <w:sz w:val="18"/>
                <w:sz w:val="18"/>
                <w:szCs w:val="26"/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סדר הדין 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פסילת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 אינה שקולה לפגיעה בחירותו של אדם עקב עונש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שבעוד שהפגיעה בחירות הפרט מצומצמת באופן יחסי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הפסילה באופן מיידי נותר איתן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בקשה לעיכוב ביצוע או ל</w:t>
      </w:r>
      <w:r>
        <w:rPr>
          <w:rFonts w:ascii="Times New Roman" w:hAnsi="Times New Roman" w:cs="Times New Roman"/>
          <w:spacing w:val="0"/>
          <w:szCs w:val="26"/>
          <w:rtl w:val="true"/>
        </w:rPr>
        <w:t>הפסקת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פסילה תתקבל רק במקרי קיצון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עונש – עיכוב ביצוע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ענישה – פסילת רישיון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פסק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דין – בהיעדר התייצבות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בגדרה נדחתה בקשת המערער לעיכוב ביצוע עונש פסילת רישיון הנהיגה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לסיום הליכי הערעור לביטול פסק הדין שניתן בהיעדר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כבר 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פסילת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 אינה שקולה לפגיעה בחירותו של אדם עקב עונש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שבעוד שהפגיעה בחירות הפרט מצומצמת באופן יחסי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הפסילה באופן מיידי נותר איתן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בקשה לעיכוב ביצוע או ל</w:t>
      </w:r>
      <w:r>
        <w:rPr>
          <w:rFonts w:ascii="Times New Roman" w:hAnsi="Times New Roman" w:cs="Times New Roman"/>
          <w:spacing w:val="0"/>
          <w:szCs w:val="26"/>
          <w:rtl w:val="true"/>
        </w:rPr>
        <w:t>הפסקת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פסילה תתקבל רק במקרי קיצון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את הדרישה הכללית לקיומם של סיכויים לכאוריים טובים לקבלת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מהווים שיקול מרכזי בבקשה לעיכוב ביצוע של 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חזר המערער על טענתו בדבר היעדר המצאה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לשיטתו הודבקה ההזמנה במען מבלי שניתנה הוראה לכך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בניגוד 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237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הקובע כי לצורך המצאת מסמך באמצעות </w:t>
      </w:r>
      <w:r>
        <w:rPr>
          <w:rFonts w:ascii="Times New Roman" w:hAnsi="Times New Roman" w:cs="Times New Roman"/>
          <w:spacing w:val="0"/>
          <w:szCs w:val="26"/>
          <w:rtl w:val="true"/>
        </w:rPr>
        <w:t>הדבקת</w:t>
      </w:r>
      <w:r>
        <w:rPr>
          <w:rFonts w:ascii="Times New Roman" w:hAnsi="Times New Roman" w:cs="Times New Roman"/>
          <w:spacing w:val="0"/>
          <w:szCs w:val="26"/>
          <w:rtl w:val="true"/>
        </w:rPr>
        <w:t>ו במענו של הנמען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 הוראה מאת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בטענה זו אין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בקביעתו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השלום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אישור המסירה במקרה דעסקינן מעיד על סירובו של המערער לקבלת את ההזמנה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הוראת החוק הרלוונטית לענייננו היא הוראת 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237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המסמך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המכתב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לחתום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המסירה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המסמך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שגם סיכויי הערעור לביטול פסק הדין שניתן בהיעדר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בטענה להמצאה שלא כדין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אינם גבוהים לכאורה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הוא הדין לסיכויי הערעור ביחס לטענתו של המערער כי כפירתו באישומים בהם הורשע בהיעדרו מעלה חשש לעיוות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 נדחתה על ידי שתי הערכאות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הטעם שאינה מצדיקה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כשהיא לעצמה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ביטולו של פסק הדין שניתן בהיעדר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ההלכה קובעת כי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להצביע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שיבוטל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לעיוות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ascii="Times New Roman" w:hAnsi="Times New Roman" w:cs="Times New Roman"/>
          <w:spacing w:val="0"/>
          <w:szCs w:val="26"/>
          <w:rtl w:val="true"/>
        </w:rPr>
        <w:t>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וסתמיות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להניח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לתמיכה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יובילו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לבטלותו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Ruller42"/>
        <w:numPr>
          <w:ilvl w:val="0"/>
          <w:numId w:val="3"/>
        </w:numPr>
        <w:ind w:hanging="0" w:start="0" w:end="0"/>
        <w:jc w:val="both"/>
        <w:textAlignment w:val="auto"/>
        <w:rPr/>
      </w:pPr>
      <w:bookmarkStart w:id="16" w:name="Start_Write"/>
      <w:bookmarkEnd w:id="16"/>
      <w:r>
        <w:rPr>
          <w:rtl w:val="true"/>
        </w:rPr>
        <w:tab/>
      </w:r>
      <w:r>
        <w:rPr>
          <w:rtl w:val="true"/>
        </w:rPr>
        <w:t xml:space="preserve">לפניי ערעור על החלטתו של בית המשפט המחוזי בירושלים מיום </w:t>
      </w:r>
      <w:r>
        <w:rPr/>
        <w:t>10.11.2020</w:t>
      </w:r>
      <w:r>
        <w:rPr>
          <w:rtl w:val="true"/>
        </w:rPr>
        <w:t xml:space="preserve"> </w:t>
      </w:r>
      <w:r>
        <w:rPr>
          <w:rtl w:val="true"/>
        </w:rPr>
        <w:t xml:space="preserve">בתיק </w:t>
      </w:r>
      <w:hyperlink r:id="rId1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43002-10-20</w:t>
        </w:r>
      </w:hyperlink>
      <w:r>
        <w:rPr>
          <w:rtl w:val="true"/>
        </w:rPr>
        <w:t xml:space="preserve"> </w:t>
      </w:r>
      <w:r>
        <w:rPr>
          <w:rtl w:val="true"/>
        </w:rPr>
        <w:t>שניתנה על ידי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כדורי</w:t>
      </w:r>
      <w:r>
        <w:rPr>
          <w:rtl w:val="true"/>
        </w:rPr>
        <w:t xml:space="preserve">, </w:t>
      </w:r>
      <w:r>
        <w:rPr>
          <w:rtl w:val="true"/>
        </w:rPr>
        <w:t>בגדרה נדחתה בקשת המערער לעיכוב ביצוע עונש פסילת רישיון הנהיגה שהושת עליו</w:t>
      </w:r>
      <w:r>
        <w:rPr>
          <w:rtl w:val="true"/>
        </w:rPr>
        <w:t xml:space="preserve">, </w:t>
      </w:r>
      <w:r>
        <w:rPr>
          <w:rtl w:val="true"/>
        </w:rPr>
        <w:t>עד לסיום הליכי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3.2.2020</w:t>
      </w:r>
      <w:r>
        <w:rPr>
          <w:rtl w:val="true"/>
        </w:rPr>
        <w:t xml:space="preserve">, </w:t>
      </w:r>
      <w:r>
        <w:rPr>
          <w:rtl w:val="true"/>
        </w:rPr>
        <w:t>הוגש לבית המשפט השלום לתעבורה בירושלים כתב אישום המייחס למערער נהיגה כשברמזור אור אדום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8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התנהגות הגורמת נזק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0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 התעבורה</w:t>
      </w:r>
      <w:r>
        <w:rPr>
          <w:rtl w:val="true"/>
        </w:rPr>
        <w:t xml:space="preserve">; </w:t>
      </w:r>
      <w:r>
        <w:rPr>
          <w:rtl w:val="true"/>
        </w:rPr>
        <w:t>ונהיגה בקלות ראש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כשברמזור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חשמליים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ניזוקו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בדיון שנקבע בבית משפט השלום בעניינו של המערער ליום </w:t>
      </w:r>
      <w:r>
        <w:rPr/>
        <w:t>25.6.2020</w:t>
      </w:r>
      <w:r>
        <w:rPr>
          <w:rtl w:val="true"/>
        </w:rPr>
        <w:t xml:space="preserve">, </w:t>
      </w:r>
      <w:r>
        <w:rPr>
          <w:rtl w:val="true"/>
        </w:rPr>
        <w:t>ציינה המשיבה כי אין אינדיקציה לפיה המערער זומן לדיון</w:t>
      </w:r>
      <w:r>
        <w:rPr>
          <w:rtl w:val="true"/>
        </w:rPr>
        <w:t xml:space="preserve">. </w:t>
      </w:r>
      <w:r>
        <w:rPr>
          <w:rtl w:val="true"/>
        </w:rPr>
        <w:t>לבקשת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נדחה הדיון ליום </w:t>
      </w:r>
      <w:r>
        <w:rPr/>
        <w:t>8.9.2020</w:t>
      </w:r>
      <w:r>
        <w:rPr>
          <w:rtl w:val="true"/>
        </w:rPr>
        <w:t xml:space="preserve"> </w:t>
      </w:r>
      <w:r>
        <w:rPr>
          <w:rtl w:val="true"/>
        </w:rPr>
        <w:t>והמערער זומן אליו באמצעות מזכירות בית המשפט בדואר רשום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לא התייצב לדיון ביום </w:t>
      </w:r>
      <w:r>
        <w:rPr/>
        <w:t>8.9.2020</w:t>
      </w:r>
      <w:r>
        <w:rPr>
          <w:rtl w:val="true"/>
        </w:rPr>
        <w:t xml:space="preserve">, </w:t>
      </w:r>
      <w:r>
        <w:rPr>
          <w:rtl w:val="true"/>
        </w:rPr>
        <w:t>נשפט והורשע בהעדרו</w:t>
      </w:r>
      <w:r>
        <w:rPr>
          <w:rtl w:val="true"/>
        </w:rPr>
        <w:t xml:space="preserve">, </w:t>
      </w:r>
      <w:r>
        <w:rPr>
          <w:rtl w:val="true"/>
        </w:rPr>
        <w:t xml:space="preserve">לאחר שהמשיבה הציגה אישור מסירה בו סומנה הרובריקה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הודבק</w:t>
      </w:r>
      <w:r>
        <w:rPr>
          <w:rtl w:val="true"/>
        </w:rPr>
        <w:t xml:space="preserve">". </w:t>
      </w:r>
      <w:r>
        <w:rPr>
          <w:rtl w:val="true"/>
        </w:rPr>
        <w:t>על המערער הושת עונש פסילת רישיון נהיגה לחמישה חודשים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1.12.2020</w:t>
      </w:r>
      <w:r>
        <w:rPr>
          <w:rtl w:val="true"/>
        </w:rPr>
        <w:t xml:space="preserve">, </w:t>
      </w:r>
      <w:r>
        <w:rPr>
          <w:rtl w:val="true"/>
        </w:rPr>
        <w:t xml:space="preserve">לצד פסילה על תנאי לתקופה של שלושה חודשים וקנס על סך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30.9.2020</w:t>
      </w:r>
      <w:r>
        <w:rPr>
          <w:rtl w:val="true"/>
        </w:rPr>
        <w:t xml:space="preserve">, </w:t>
      </w:r>
      <w:r>
        <w:rPr>
          <w:rtl w:val="true"/>
        </w:rPr>
        <w:t>הגיש המערער בקשה לביטול פסק הדין שניתן בהיעדרו</w:t>
      </w:r>
      <w:r>
        <w:rPr>
          <w:rtl w:val="true"/>
        </w:rPr>
        <w:t xml:space="preserve">, </w:t>
      </w:r>
      <w:r>
        <w:rPr>
          <w:rtl w:val="true"/>
        </w:rPr>
        <w:t>בטענה כי לא קיבל את הזימון לדיון</w:t>
      </w:r>
      <w:r>
        <w:rPr>
          <w:rtl w:val="true"/>
        </w:rPr>
        <w:t xml:space="preserve">; </w:t>
      </w:r>
      <w:r>
        <w:rPr>
          <w:rtl w:val="true"/>
        </w:rPr>
        <w:t>כי קיימים פגמים באישור המסירה שהוצג</w:t>
      </w:r>
      <w:r>
        <w:rPr>
          <w:rtl w:val="true"/>
        </w:rPr>
        <w:t xml:space="preserve">, </w:t>
      </w:r>
      <w:r>
        <w:rPr>
          <w:rtl w:val="true"/>
        </w:rPr>
        <w:t>בדגש על הדבקתו מבלי שניתנה הוראה על כך על ידי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כקבוע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); </w:t>
      </w:r>
      <w:r>
        <w:rPr>
          <w:rtl w:val="true"/>
        </w:rPr>
        <w:t>וכי קיים חשש לעיוות דין נוכח כפירתו באישומים המיוחסים לו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19.10.2020</w:t>
      </w:r>
      <w:r>
        <w:rPr>
          <w:rtl w:val="true"/>
        </w:rPr>
        <w:t xml:space="preserve">, </w:t>
      </w:r>
      <w:r>
        <w:rPr>
          <w:rtl w:val="true"/>
        </w:rPr>
        <w:t>דחה בית משפט השלום את הבקשה</w:t>
      </w:r>
      <w:r>
        <w:rPr>
          <w:rtl w:val="true"/>
        </w:rPr>
        <w:t xml:space="preserve">. </w:t>
      </w:r>
      <w:r>
        <w:rPr>
          <w:rtl w:val="true"/>
        </w:rPr>
        <w:t>בית המשפט קבע כי לא מתקיימים התנאים לביטול פסק הדין שניתן בהיעדר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הפנה </w:t>
      </w:r>
      <w:hyperlink r:id="rId26">
        <w:r>
          <w:rPr>
            <w:rStyle w:val="Hyperlink"/>
            <w:rtl w:val="true"/>
          </w:rPr>
          <w:t>לתקנה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1974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תקסד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לפיה רשאי בית המשפט לקבוע שמסמך הומצא כראוי</w:t>
      </w:r>
      <w:r>
        <w:rPr>
          <w:rtl w:val="true"/>
        </w:rPr>
        <w:t xml:space="preserve">, </w:t>
      </w:r>
      <w:r>
        <w:rPr>
          <w:rtl w:val="true"/>
        </w:rPr>
        <w:t>אם סירב הנמען לקבלו ומוסר ההזמנה אישר בחתימתו את דבר מסירתו וסירוב האישור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צוין כי יש להצביע על שיקולים כבדי משקל העשויים להביא לשינוי תוצאת פסק הדין שניתן בהיעדר</w:t>
      </w:r>
      <w:r>
        <w:rPr>
          <w:rtl w:val="true"/>
        </w:rPr>
        <w:t xml:space="preserve">, </w:t>
      </w:r>
      <w:r>
        <w:rPr>
          <w:rtl w:val="true"/>
        </w:rPr>
        <w:t>ואין די בעצם כפירה בביצוע העבירה כדי להקים טענה של עיוות 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הגיש ערעור על ההחלטה לבית המשפט המחוזי בירושלים</w:t>
      </w:r>
      <w:r>
        <w:rPr>
          <w:rtl w:val="true"/>
        </w:rPr>
        <w:t xml:space="preserve">. </w:t>
      </w:r>
      <w:r>
        <w:rPr>
          <w:rtl w:val="true"/>
        </w:rPr>
        <w:t xml:space="preserve">הערעור נקבע לדיון ליום </w:t>
      </w:r>
      <w:r>
        <w:rPr/>
        <w:t>24.2.2021</w:t>
      </w:r>
      <w:r>
        <w:rPr>
          <w:rtl w:val="true"/>
        </w:rPr>
        <w:t xml:space="preserve"> </w:t>
      </w:r>
      <w:r>
        <w:rPr>
          <w:rtl w:val="true"/>
        </w:rPr>
        <w:t>והמערער הגיש בקשה לעיכוב ביצוע עונש הפסילה עד להכרעה בערעור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10.11.2020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הבקשה לעיכוב ביצוע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על פניו</w:t>
      </w:r>
      <w:r>
        <w:rPr>
          <w:rtl w:val="true"/>
        </w:rPr>
        <w:t xml:space="preserve">, </w:t>
      </w:r>
      <w:r>
        <w:rPr>
          <w:rtl w:val="true"/>
        </w:rPr>
        <w:t>סיכויי הערעור אינם גבוהים במיוחד</w:t>
      </w:r>
      <w:r>
        <w:rPr>
          <w:rtl w:val="true"/>
        </w:rPr>
        <w:t xml:space="preserve">, </w:t>
      </w:r>
      <w:r>
        <w:rPr>
          <w:rtl w:val="true"/>
        </w:rPr>
        <w:t xml:space="preserve">נוכח הסמכות של בית המשפט לפי </w:t>
      </w:r>
      <w:hyperlink r:id="rId28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</w:hyperlink>
      <w:r>
        <w:rPr>
          <w:rtl w:val="true"/>
        </w:rPr>
        <w:t xml:space="preserve"> </w:t>
      </w:r>
      <w:r>
        <w:rPr>
          <w:rtl w:val="true"/>
        </w:rPr>
        <w:t>לתקסד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בה נעשה שימוש</w:t>
      </w:r>
      <w:r>
        <w:rPr>
          <w:rtl w:val="true"/>
        </w:rPr>
        <w:t xml:space="preserve">, </w:t>
      </w:r>
      <w:r>
        <w:rPr>
          <w:rtl w:val="true"/>
        </w:rPr>
        <w:t>כדי לקבוע שההמצאה לדיון בוצעה כדין</w:t>
      </w:r>
      <w:r>
        <w:rPr>
          <w:rtl w:val="true"/>
        </w:rPr>
        <w:t xml:space="preserve">. </w:t>
      </w:r>
      <w:r>
        <w:rPr>
          <w:rtl w:val="true"/>
        </w:rPr>
        <w:t>עוד צוין כי הפסיקה חזרה וקבעה כי נקודת המוצא היא שביצוע העונש יהיה באופן מיידי</w:t>
      </w:r>
      <w:r>
        <w:rPr>
          <w:rtl w:val="true"/>
        </w:rPr>
        <w:t xml:space="preserve">, </w:t>
      </w:r>
      <w:r>
        <w:rPr>
          <w:rtl w:val="true"/>
        </w:rPr>
        <w:t>ואין בהגשת הערעור</w:t>
      </w:r>
      <w:r>
        <w:rPr>
          <w:rtl w:val="true"/>
        </w:rPr>
        <w:t xml:space="preserve">, </w:t>
      </w:r>
      <w:r>
        <w:rPr>
          <w:rtl w:val="true"/>
        </w:rPr>
        <w:t>כשהוא לעצמו</w:t>
      </w:r>
      <w:r>
        <w:rPr>
          <w:rtl w:val="true"/>
        </w:rPr>
        <w:t xml:space="preserve">, </w:t>
      </w:r>
      <w:r>
        <w:rPr>
          <w:rtl w:val="true"/>
        </w:rPr>
        <w:t>כדי להצדיק את עיכובו</w:t>
      </w:r>
      <w:r>
        <w:rPr>
          <w:rtl w:val="true"/>
        </w:rPr>
        <w:t xml:space="preserve">. </w:t>
      </w:r>
      <w:r>
        <w:rPr>
          <w:rtl w:val="true"/>
        </w:rPr>
        <w:t>כך במיוחד</w:t>
      </w:r>
      <w:r>
        <w:rPr>
          <w:rtl w:val="true"/>
        </w:rPr>
        <w:t xml:space="preserve">, </w:t>
      </w:r>
      <w:r>
        <w:rPr>
          <w:rtl w:val="true"/>
        </w:rPr>
        <w:t>בעונש פסילת רישיון נהיגה</w:t>
      </w:r>
      <w:r>
        <w:rPr>
          <w:rtl w:val="true"/>
        </w:rPr>
        <w:t xml:space="preserve">, </w:t>
      </w:r>
      <w:r>
        <w:rPr>
          <w:rtl w:val="true"/>
        </w:rPr>
        <w:t>אשר אינו כרוך בשלילת חירות אישית אלא בהגבלת תנועה חלקית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דחיית הבקשה לעיכוב ביצוע תהפוך את הערעור בבית המשפט קמא לתיאורטי ברובו</w:t>
      </w:r>
      <w:r>
        <w:rPr>
          <w:rtl w:val="true"/>
        </w:rPr>
        <w:t xml:space="preserve">, </w:t>
      </w:r>
      <w:r>
        <w:rPr>
          <w:rtl w:val="true"/>
        </w:rPr>
        <w:t>שכן עד למועד שמיעתו</w:t>
      </w:r>
      <w:r>
        <w:rPr>
          <w:rtl w:val="true"/>
        </w:rPr>
        <w:t xml:space="preserve">, </w:t>
      </w:r>
      <w:r>
        <w:rPr>
          <w:rtl w:val="true"/>
        </w:rPr>
        <w:t>ממילא ירצה המערער את מרבית עונש הפסילה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סיכויי הערעור גבוהים</w:t>
      </w:r>
      <w:r>
        <w:rPr>
          <w:rtl w:val="true"/>
        </w:rPr>
        <w:t xml:space="preserve">, </w:t>
      </w:r>
      <w:r>
        <w:rPr>
          <w:rtl w:val="true"/>
        </w:rPr>
        <w:t>והוא חוזר בהקשר זה על טענתו בדבר היעדר המצאה כדין</w:t>
      </w:r>
      <w:r>
        <w:rPr>
          <w:rtl w:val="true"/>
        </w:rPr>
        <w:t xml:space="preserve">, </w:t>
      </w:r>
      <w:r>
        <w:rPr>
          <w:rtl w:val="true"/>
        </w:rPr>
        <w:t>כאשר לשיטתו הודבקה ההזמנה במען מבלי שניתנה הוראה לכך על ידי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2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עוד חוזר המערער על טענתו לעיוות דין נוכח כפירתו באישומים המיוחסים לו</w:t>
      </w:r>
      <w:r>
        <w:rPr>
          <w:rtl w:val="true"/>
        </w:rPr>
        <w:t xml:space="preserve">. </w:t>
      </w:r>
      <w:r>
        <w:rPr>
          <w:rtl w:val="true"/>
        </w:rPr>
        <w:t>המערער מוסיף כי האינטרס הציבורי לביצוע מיידי של העונש אינו כבד משקל במקרה דנן</w:t>
      </w:r>
      <w:r>
        <w:rPr>
          <w:rtl w:val="true"/>
        </w:rPr>
        <w:t xml:space="preserve">, </w:t>
      </w:r>
      <w:r>
        <w:rPr>
          <w:rtl w:val="true"/>
        </w:rPr>
        <w:t>שכן לא נשקפת ממנו מסוכנות</w:t>
      </w:r>
      <w:r>
        <w:rPr>
          <w:rtl w:val="true"/>
        </w:rPr>
        <w:t xml:space="preserve">, </w:t>
      </w:r>
      <w:r>
        <w:rPr>
          <w:rtl w:val="true"/>
        </w:rPr>
        <w:t xml:space="preserve">והעובדה כי בית משפט השלום עיכב את ביצוע עונש הפסילה לשלושה חודשים </w:t>
      </w:r>
      <w:r>
        <w:rPr>
          <w:rtl w:val="true"/>
        </w:rPr>
        <w:t>–</w:t>
      </w:r>
      <w:r>
        <w:rPr>
          <w:rtl w:val="true"/>
        </w:rPr>
        <w:t xml:space="preserve"> תוכיח</w:t>
      </w:r>
      <w:r>
        <w:rPr>
          <w:rtl w:val="true"/>
        </w:rPr>
        <w:t xml:space="preserve">.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>מאזן הנוחות נוטה לקבלת הערעור</w:t>
      </w:r>
      <w:r>
        <w:rPr>
          <w:rtl w:val="true"/>
        </w:rPr>
        <w:t xml:space="preserve">, </w:t>
      </w:r>
      <w:r>
        <w:rPr>
          <w:rtl w:val="true"/>
        </w:rPr>
        <w:t>שכן  שלילת רישיון הנהיגה שלו פירושה שלילת פרנסתו</w:t>
      </w:r>
      <w:r>
        <w:rPr>
          <w:rtl w:val="true"/>
        </w:rPr>
        <w:t xml:space="preserve">, </w:t>
      </w:r>
      <w:r>
        <w:rPr>
          <w:rtl w:val="true"/>
        </w:rPr>
        <w:t>ותוצאה זו קשה בטרם יישמע הערעור לגופו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בתגובתה ביקשה לדחות את הערעור</w:t>
      </w:r>
      <w:r>
        <w:rPr>
          <w:rtl w:val="true"/>
        </w:rPr>
        <w:t xml:space="preserve">, </w:t>
      </w:r>
      <w:r>
        <w:rPr>
          <w:rtl w:val="true"/>
        </w:rPr>
        <w:t>תוך שהיא סומכת ידיה על החלטת בית המשפט קמא</w:t>
      </w:r>
      <w:r>
        <w:rPr>
          <w:rtl w:val="true"/>
        </w:rPr>
        <w:t xml:space="preserve">, </w:t>
      </w:r>
      <w:r>
        <w:rPr>
          <w:rtl w:val="true"/>
        </w:rPr>
        <w:t>לעניין היעדר סיכויי ערעור גבוהים</w:t>
      </w:r>
      <w:r>
        <w:rPr>
          <w:rtl w:val="true"/>
        </w:rPr>
        <w:t xml:space="preserve">, </w:t>
      </w:r>
      <w:r>
        <w:rPr>
          <w:rtl w:val="true"/>
        </w:rPr>
        <w:t>נוכח ההמצאה כדין</w:t>
      </w:r>
      <w:r>
        <w:rPr>
          <w:rtl w:val="true"/>
        </w:rPr>
        <w:t xml:space="preserve">.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אין במקרה דנן נסיבות חריגות המצדיקות חריגה מהכלל הנוהג לפיו  נאשם שהורשע בדין יחל לרצות את עונשו באופן מיידי</w:t>
      </w:r>
      <w:r>
        <w:rPr>
          <w:rtl w:val="true"/>
        </w:rPr>
        <w:t xml:space="preserve">, </w:t>
      </w:r>
      <w:r>
        <w:rPr>
          <w:rtl w:val="true"/>
        </w:rPr>
        <w:t>שכן מדובר בהגבלה חלקית של התנועה ולא בשלילת חירות מוחלטת</w:t>
      </w:r>
      <w:r>
        <w:rPr>
          <w:rtl w:val="true"/>
        </w:rPr>
        <w:t xml:space="preserve">. </w:t>
      </w:r>
      <w:r>
        <w:rPr>
          <w:rtl w:val="true"/>
        </w:rPr>
        <w:t>המשיבה מדגישה</w:t>
      </w:r>
      <w:r>
        <w:rPr>
          <w:rtl w:val="true"/>
        </w:rPr>
        <w:t xml:space="preserve">, </w:t>
      </w:r>
      <w:r>
        <w:rPr>
          <w:rtl w:val="true"/>
        </w:rPr>
        <w:t>כי בשלב זה אין מדובר עוד בעיכוב ביצוע לעונש</w:t>
      </w:r>
      <w:r>
        <w:rPr>
          <w:rtl w:val="true"/>
        </w:rPr>
        <w:t xml:space="preserve">, </w:t>
      </w:r>
      <w:r>
        <w:rPr>
          <w:rtl w:val="true"/>
        </w:rPr>
        <w:t>אלא במתן צו להפסקת ביצוע עונש הפסילה</w:t>
      </w:r>
      <w:r>
        <w:rPr>
          <w:rtl w:val="true"/>
        </w:rPr>
        <w:t xml:space="preserve">, </w:t>
      </w:r>
      <w:r>
        <w:rPr>
          <w:rtl w:val="true"/>
        </w:rPr>
        <w:t xml:space="preserve">שעה שהפסילה נכנסה לתוקף ביום </w:t>
      </w:r>
      <w:r>
        <w:rPr/>
        <w:t>1.12.2020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15</w:t>
      </w:r>
      <w:r>
        <w:rPr/>
        <w:t>.</w:t>
      </w:r>
      <w:r>
        <w:rPr/>
        <w:t>12</w:t>
      </w:r>
      <w:r>
        <w:rPr/>
        <w:t>.2020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 </w:t>
      </w:r>
      <w:r>
        <w:rPr>
          <w:rtl w:val="true"/>
        </w:rPr>
        <w:t>בערעור לפניי</w:t>
      </w:r>
      <w:r>
        <w:rPr>
          <w:rtl w:val="true"/>
        </w:rPr>
        <w:t xml:space="preserve">, </w:t>
      </w:r>
      <w:r>
        <w:rPr>
          <w:rtl w:val="true"/>
        </w:rPr>
        <w:t>בו חזרו הצדדים על עיקרי טענותיהם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בהודעת הערעור</w:t>
      </w:r>
      <w:r>
        <w:rPr>
          <w:rtl w:val="true"/>
        </w:rPr>
        <w:t xml:space="preserve">, </w:t>
      </w:r>
      <w:r>
        <w:rPr>
          <w:rtl w:val="true"/>
        </w:rPr>
        <w:t>בתגובה המשיבה</w:t>
      </w:r>
      <w:r>
        <w:rPr>
          <w:rtl w:val="true"/>
        </w:rPr>
        <w:t xml:space="preserve">, </w:t>
      </w:r>
      <w:r>
        <w:rPr>
          <w:rtl w:val="true"/>
        </w:rPr>
        <w:t>ושמעתי את טענות הצדדים לפניי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 להידחות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כבר נפסק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פסילת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 </w:t>
      </w:r>
      <w:r>
        <w:rPr>
          <w:rtl w:val="true"/>
        </w:rPr>
        <w:t>נהיגה אינה שקולה לפגיעה בחירותו של אדם עקב עונש מאסר</w:t>
      </w:r>
      <w:r>
        <w:rPr>
          <w:rtl w:val="true"/>
        </w:rPr>
        <w:t xml:space="preserve">, </w:t>
      </w:r>
      <w:r>
        <w:rPr>
          <w:rtl w:val="true"/>
        </w:rPr>
        <w:t>כך שבעוד שהפגיעה בחירות הפרט מצומצמת באופן יחסי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אינטרס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עונש הפסילה באופן מיידי נותר איתן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 כי בקשה לעיכוב ביצוע או ל</w:t>
      </w:r>
      <w:r>
        <w:rPr>
          <w:rtl w:val="true"/>
        </w:rPr>
        <w:t>הפסקת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פסילה תתקבל רק במקרי קיצון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7940/20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22.11.2020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19.4.2010</w:t>
      </w:r>
      <w:r>
        <w:rPr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לכך יש להוסיף את הדרישה הכללית לקיומם של סיכויים לכאוריים טובים לקבלת הערעור</w:t>
      </w:r>
      <w:r>
        <w:rPr>
          <w:rtl w:val="true"/>
        </w:rPr>
        <w:t xml:space="preserve">, </w:t>
      </w:r>
      <w:r>
        <w:rPr>
          <w:rtl w:val="true"/>
        </w:rPr>
        <w:t>אשר כידוע</w:t>
      </w:r>
      <w:r>
        <w:rPr>
          <w:rtl w:val="true"/>
        </w:rPr>
        <w:t xml:space="preserve">, </w:t>
      </w:r>
      <w:r>
        <w:rPr>
          <w:rtl w:val="true"/>
        </w:rPr>
        <w:t xml:space="preserve">מהווים שיקול מרכזי בבקשה לעיכוב ביצוע של עונש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שוורץ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241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21.2.2019</w:t>
      </w:r>
      <w:r>
        <w:rPr>
          <w:rtl w:val="true"/>
        </w:rPr>
        <w:t xml:space="preserve">)).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ביקש להיתלות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הקובע כי לצורך המצאת מסמך באמצעות </w:t>
      </w:r>
      <w:r>
        <w:rPr>
          <w:rtl w:val="true"/>
        </w:rPr>
        <w:t>הדבקת</w:t>
      </w:r>
      <w:r>
        <w:rPr>
          <w:rtl w:val="true"/>
        </w:rPr>
        <w:t>ו במענו של הנמען</w:t>
      </w:r>
      <w:r>
        <w:rPr>
          <w:rtl w:val="true"/>
        </w:rPr>
        <w:t xml:space="preserve">, </w:t>
      </w:r>
      <w:r>
        <w:rPr>
          <w:rtl w:val="true"/>
        </w:rPr>
        <w:t>נדרשת הוראה מאת בית המשפט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בטענה זו אין ממש</w:t>
      </w:r>
      <w:r>
        <w:rPr>
          <w:rtl w:val="true"/>
        </w:rPr>
        <w:t xml:space="preserve">, </w:t>
      </w:r>
      <w:r>
        <w:rPr>
          <w:rtl w:val="true"/>
        </w:rPr>
        <w:t>בהתחשב בנסיבות המקרה שלפניי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קמא</w:t>
      </w:r>
      <w:r>
        <w:rPr>
          <w:rtl w:val="true"/>
        </w:rPr>
        <w:t xml:space="preserve">, </w:t>
      </w:r>
      <w:r>
        <w:rPr>
          <w:rtl w:val="true"/>
        </w:rPr>
        <w:t>בפני בית משפט השלום הונח אישור מסירה</w:t>
      </w:r>
      <w:r>
        <w:rPr>
          <w:rtl w:val="true"/>
        </w:rPr>
        <w:t xml:space="preserve">, </w:t>
      </w:r>
      <w:r>
        <w:rPr>
          <w:rtl w:val="true"/>
        </w:rPr>
        <w:t>המלמד כי המערער סירב לקבל את ההזמנה לדין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 xml:space="preserve">הוראת החוק הרלוונטית לענייננו היא הוראת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הקובעת כדלקמן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עקב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סירוב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המסמך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המכתב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לחתום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רשאי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המסמך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כאילו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כדין</w:t>
      </w:r>
      <w:r>
        <w:rPr>
          <w:rFonts w:cs="Century" w:ascii="Century" w:hAnsi="Century"/>
          <w:rtl w:val="true"/>
        </w:rPr>
        <w:t>".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המסירה</w:t>
      </w:r>
      <w:r>
        <w:rPr>
          <w:rFonts w:eastAsia="Arial TUR" w:cs="Arial TUR"/>
          <w:rtl w:val="true"/>
        </w:rPr>
        <w:t xml:space="preserve"> </w:t>
      </w:r>
      <w:bookmarkStart w:id="17" w:name="Nitan"/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המסמך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bookmarkEnd w:id="17"/>
      <w:r>
        <w:rPr>
          <w:rtl w:val="true"/>
        </w:rPr>
        <w:t>בהיעדר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... </w:t>
      </w:r>
      <w:r>
        <w:rPr>
          <w:rtl w:val="true"/>
        </w:rPr>
        <w:t>ט</w:t>
      </w:r>
      <w:r>
        <w:rPr>
          <w:rtl w:val="true"/>
        </w:rPr>
        <w:t>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וסתמיות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יובילו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לבטלותו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tl w:val="true"/>
        </w:rPr>
        <w:t xml:space="preserve"> (</w:t>
      </w:r>
      <w:r>
        <w:rPr/>
        <w:t>25.</w:t>
      </w:r>
      <w:r>
        <w:rPr/>
        <w:t>3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ניתנה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sz w:val="28"/>
          <w:rtl w:val="true"/>
        </w:rPr>
        <w:t>, ‏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בכסלו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(‏</w:t>
      </w:r>
      <w:r>
        <w:rPr>
          <w:sz w:val="28"/>
        </w:rPr>
        <w:t>15.12.2020</w:t>
      </w:r>
      <w:r>
        <w:rPr>
          <w:sz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20085500</w:t>
      </w:r>
      <w:r>
        <w:rPr>
          <w:sz w:val="16"/>
          <w:rtl w:val="true"/>
        </w:rPr>
        <w:t>_</w:t>
      </w:r>
      <w:r>
        <w:rPr>
          <w:sz w:val="16"/>
        </w:rPr>
        <w:t>Q02.docx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54678313-8550/20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8550/20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אמגד אסכאפי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0"/>
        <w:szCs w:val="22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0"/>
      <w:szCs w:val="22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90616" TargetMode="External"/><Relationship Id="rId3" Type="http://schemas.openxmlformats.org/officeDocument/2006/relationships/hyperlink" Target="http://www.nevo.co.il/law/74274" TargetMode="External"/><Relationship Id="rId4" Type="http://schemas.openxmlformats.org/officeDocument/2006/relationships/hyperlink" Target="http://www.nevo.co.il/law/74274/22.a" TargetMode="External"/><Relationship Id="rId5" Type="http://schemas.openxmlformats.org/officeDocument/2006/relationships/hyperlink" Target="http://www.nevo.co.il/law/74274/22.b.2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62.2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237.c" TargetMode="External"/><Relationship Id="rId10" Type="http://schemas.openxmlformats.org/officeDocument/2006/relationships/hyperlink" Target="http://www.nevo.co.il/law/74903/237.d" TargetMode="External"/><Relationship Id="rId11" Type="http://schemas.openxmlformats.org/officeDocument/2006/relationships/hyperlink" Target="http://www.nevo.co.il/law/74912" TargetMode="External"/><Relationship Id="rId12" Type="http://schemas.openxmlformats.org/officeDocument/2006/relationships/hyperlink" Target="http://www.nevo.co.il/law/74912/54" TargetMode="External"/><Relationship Id="rId13" Type="http://schemas.openxmlformats.org/officeDocument/2006/relationships/hyperlink" Target="http://www.nevo.co.il/law/74903/237.d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237.c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case/27090616" TargetMode="External"/><Relationship Id="rId18" Type="http://schemas.openxmlformats.org/officeDocument/2006/relationships/hyperlink" Target="http://www.nevo.co.il/law/74274/22.a" TargetMode="External"/><Relationship Id="rId19" Type="http://schemas.openxmlformats.org/officeDocument/2006/relationships/hyperlink" Target="http://www.nevo.co.il/law/74274" TargetMode="External"/><Relationship Id="rId20" Type="http://schemas.openxmlformats.org/officeDocument/2006/relationships/hyperlink" Target="http://www.nevo.co.il/law/74274/22.b.2" TargetMode="External"/><Relationship Id="rId21" Type="http://schemas.openxmlformats.org/officeDocument/2006/relationships/hyperlink" Target="http://www.nevo.co.il/law/5227/62.2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74903/237.d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4912/54" TargetMode="External"/><Relationship Id="rId27" Type="http://schemas.openxmlformats.org/officeDocument/2006/relationships/hyperlink" Target="http://www.nevo.co.il/law/74912" TargetMode="External"/><Relationship Id="rId28" Type="http://schemas.openxmlformats.org/officeDocument/2006/relationships/hyperlink" Target="http://www.nevo.co.il/law/74912/54" TargetMode="External"/><Relationship Id="rId29" Type="http://schemas.openxmlformats.org/officeDocument/2006/relationships/hyperlink" Target="http://www.nevo.co.il/law/74903/237.d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case/27164280" TargetMode="External"/><Relationship Id="rId32" Type="http://schemas.openxmlformats.org/officeDocument/2006/relationships/hyperlink" Target="http://www.nevo.co.il/case/5830747" TargetMode="External"/><Relationship Id="rId33" Type="http://schemas.openxmlformats.org/officeDocument/2006/relationships/hyperlink" Target="http://www.nevo.co.il/case/5678234" TargetMode="External"/><Relationship Id="rId34" Type="http://schemas.openxmlformats.org/officeDocument/2006/relationships/hyperlink" Target="http://www.nevo.co.il/case/25305610" TargetMode="External"/><Relationship Id="rId35" Type="http://schemas.openxmlformats.org/officeDocument/2006/relationships/hyperlink" Target="http://www.nevo.co.il/law/74903/237.d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4903/237.c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case/23506333" TargetMode="External"/><Relationship Id="rId40" Type="http://schemas.openxmlformats.org/officeDocument/2006/relationships/hyperlink" Target="http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2020-12-24T11:25:00Z</dcterms:created>
  <dc:creator>h4</dc:creator>
  <dc:description/>
  <cp:keywords/>
  <dc:language>en-IL</dc:language>
  <cp:lastModifiedBy>hofit</cp:lastModifiedBy>
  <cp:lastPrinted>2020-12-15T19:50:00Z</cp:lastPrinted>
  <dcterms:modified xsi:type="dcterms:W3CDTF">2020-12-24T11:25:00Z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אמגד אסכאפי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27090616:2;27164280;5830747;5678234;25305610;23506333</vt:lpwstr>
  </property>
  <property fmtid="{D5CDD505-2E9C-101B-9397-08002B2CF9AE}" pid="9" name="CITY">
    <vt:lpwstr/>
  </property>
  <property fmtid="{D5CDD505-2E9C-101B-9397-08002B2CF9AE}" pid="10" name="DATE">
    <vt:lpwstr>20201215</vt:lpwstr>
  </property>
  <property fmtid="{D5CDD505-2E9C-101B-9397-08002B2CF9AE}" pid="11" name="DELEMATA">
    <vt:lpwstr/>
  </property>
  <property fmtid="{D5CDD505-2E9C-101B-9397-08002B2CF9AE}" pid="12" name="FICTIVEDATE">
    <vt:lpwstr>YES</vt:lpwstr>
  </property>
  <property fmtid="{D5CDD505-2E9C-101B-9397-08002B2CF9AE}" pid="13" name="ISABSTRACT">
    <vt:lpwstr>Y</vt:lpwstr>
  </property>
  <property fmtid="{D5CDD505-2E9C-101B-9397-08002B2CF9AE}" pid="14" name="JUDGE">
    <vt:lpwstr>ג' קרא</vt:lpwstr>
  </property>
  <property fmtid="{D5CDD505-2E9C-101B-9397-08002B2CF9AE}" pid="15" name="LAWLISTTMP1">
    <vt:lpwstr>74274/022.a;022.b.2</vt:lpwstr>
  </property>
  <property fmtid="{D5CDD505-2E9C-101B-9397-08002B2CF9AE}" pid="16" name="LAWLISTTMP2">
    <vt:lpwstr>5227/062.2</vt:lpwstr>
  </property>
  <property fmtid="{D5CDD505-2E9C-101B-9397-08002B2CF9AE}" pid="17" name="LAWLISTTMP3">
    <vt:lpwstr>74903/237.d:3;237.c</vt:lpwstr>
  </property>
  <property fmtid="{D5CDD505-2E9C-101B-9397-08002B2CF9AE}" pid="18" name="LAWLISTTMP4">
    <vt:lpwstr>74912/054:2</vt:lpwstr>
  </property>
  <property fmtid="{D5CDD505-2E9C-101B-9397-08002B2CF9AE}" pid="19" name="LAWYER">
    <vt:lpwstr>עלא קישאוי;מריה ציבלין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דיון פלילי</vt:lpwstr>
  </property>
  <property fmtid="{D5CDD505-2E9C-101B-9397-08002B2CF9AE}" pid="31" name="NOSE110">
    <vt:lpwstr/>
  </property>
  <property fmtid="{D5CDD505-2E9C-101B-9397-08002B2CF9AE}" pid="32" name="NOSE12">
    <vt:lpwstr>תעבורה</vt:lpwstr>
  </property>
  <property fmtid="{D5CDD505-2E9C-101B-9397-08002B2CF9AE}" pid="33" name="NOSE13">
    <vt:lpwstr>דיון פלילי</vt:lpwstr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18;104;18</vt:lpwstr>
  </property>
  <property fmtid="{D5CDD505-2E9C-101B-9397-08002B2CF9AE}" pid="41" name="NOSE21">
    <vt:lpwstr>עונש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פסק-דין</vt:lpwstr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498;1831;507</vt:lpwstr>
  </property>
  <property fmtid="{D5CDD505-2E9C-101B-9397-08002B2CF9AE}" pid="52" name="NOSE31">
    <vt:lpwstr>עיכוב ביצוע</vt:lpwstr>
  </property>
  <property fmtid="{D5CDD505-2E9C-101B-9397-08002B2CF9AE}" pid="53" name="NOSE310">
    <vt:lpwstr/>
  </property>
  <property fmtid="{D5CDD505-2E9C-101B-9397-08002B2CF9AE}" pid="54" name="NOSE32">
    <vt:lpwstr>פסילת רישיון</vt:lpwstr>
  </property>
  <property fmtid="{D5CDD505-2E9C-101B-9397-08002B2CF9AE}" pid="55" name="NOSE33">
    <vt:lpwstr>בהיעדר התייצבות</vt:lpwstr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3813;11265;15111</vt:lpwstr>
  </property>
  <property fmtid="{D5CDD505-2E9C-101B-9397-08002B2CF9AE}" pid="63" name="PADIDATE">
    <vt:lpwstr>20201217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8550</vt:lpwstr>
  </property>
  <property fmtid="{D5CDD505-2E9C-101B-9397-08002B2CF9AE}" pid="69" name="PROCYEAR">
    <vt:lpwstr>20</vt:lpwstr>
  </property>
  <property fmtid="{D5CDD505-2E9C-101B-9397-08002B2CF9AE}" pid="70" name="PSAKDIN">
    <vt:lpwstr>החלטה</vt:lpwstr>
  </property>
  <property fmtid="{D5CDD505-2E9C-101B-9397-08002B2CF9AE}" pid="71" name="TYPE">
    <vt:lpwstr>1</vt:lpwstr>
  </property>
  <property fmtid="{D5CDD505-2E9C-101B-9397-08002B2CF9AE}" pid="72" name="TYPE_ABS_DATE">
    <vt:lpwstr>410120201215</vt:lpwstr>
  </property>
  <property fmtid="{D5CDD505-2E9C-101B-9397-08002B2CF9AE}" pid="73" name="TYPE_N_DATE">
    <vt:lpwstr>41020201215</vt:lpwstr>
  </property>
  <property fmtid="{D5CDD505-2E9C-101B-9397-08002B2CF9AE}" pid="74" name="VOLUME">
    <vt:lpwstr/>
  </property>
  <property fmtid="{D5CDD505-2E9C-101B-9397-08002B2CF9AE}" pid="75" name="WORDNUMPAGES">
    <vt:lpwstr>6</vt:lpwstr>
  </property>
</Properties>
</file>