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end"/>
        <w:rPr/>
      </w:pPr>
      <w:r>
        <w:rPr>
          <w:rFonts w:eastAsia="David" w:cs="David" w:ascii="David" w:hAnsi="David"/>
          <w:sz w:val="28"/>
          <w:szCs w:val="28"/>
          <w:rtl w:val="true"/>
        </w:rPr>
        <w:t xml:space="preserve"> 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8561/22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end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  <w:sz w:val="28"/>
          <w:szCs w:val="28"/>
        </w:rPr>
      </w:pPr>
      <w:bookmarkStart w:id="0" w:name="FirstLawyer"/>
      <w:bookmarkStart w:id="1" w:name="FirstAppellant"/>
      <w:bookmarkEnd w:id="0"/>
      <w:bookmarkEnd w:id="1"/>
      <w:r>
        <w:rPr>
          <w:rFonts w:ascii="David" w:hAnsi="David"/>
          <w:sz w:val="28"/>
          <w:sz w:val="28"/>
          <w:szCs w:val="28"/>
          <w:rtl w:val="true"/>
        </w:rPr>
        <w:t>לפני</w:t>
      </w:r>
      <w:r>
        <w:rPr>
          <w:rFonts w:cs="David" w:ascii="David" w:hAnsi="David"/>
          <w:sz w:val="28"/>
          <w:szCs w:val="28"/>
          <w:rtl w:val="true"/>
        </w:rPr>
        <w:t>:-</w:t>
      </w:r>
      <w:r>
        <w:rPr>
          <w:rFonts w:ascii="David" w:hAnsi="David"/>
          <w:sz w:val="28"/>
          <w:sz w:val="28"/>
          <w:szCs w:val="28"/>
          <w:rtl w:val="true"/>
        </w:rPr>
        <w:t>כבוד השופט נעם סולברג</w:t>
      </w:r>
      <w:r>
        <w:rPr>
          <w:rFonts w:cs="David" w:ascii="David" w:hAnsi="David"/>
          <w:sz w:val="28"/>
          <w:szCs w:val="28"/>
          <w:rtl w:val="true"/>
        </w:rPr>
        <w:br/>
      </w:r>
      <w:r>
        <w:rPr>
          <w:rFonts w:ascii="David" w:hAnsi="David"/>
          <w:sz w:val="28"/>
          <w:sz w:val="28"/>
          <w:szCs w:val="28"/>
          <w:rtl w:val="true"/>
        </w:rPr>
        <w:t>כבוד השופט יוסף אלרון</w:t>
      </w:r>
      <w:r>
        <w:rPr>
          <w:rFonts w:cs="David" w:ascii="David" w:hAnsi="David"/>
          <w:sz w:val="28"/>
          <w:szCs w:val="28"/>
          <w:rtl w:val="true"/>
        </w:rPr>
        <w:br/>
      </w:r>
      <w:r>
        <w:rPr>
          <w:rFonts w:ascii="David" w:hAnsi="David"/>
          <w:sz w:val="28"/>
          <w:sz w:val="28"/>
          <w:szCs w:val="28"/>
          <w:rtl w:val="true"/>
        </w:rPr>
        <w:t>כבוד השופט יחיאל כשר</w:t>
      </w:r>
    </w:p>
    <w:p>
      <w:pPr>
        <w:pStyle w:val="Normal"/>
        <w:suppressLineNumbers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ascii="David" w:hAnsi="David"/>
          <w:sz w:val="28"/>
          <w:sz w:val="28"/>
          <w:szCs w:val="28"/>
          <w:rtl w:val="true"/>
        </w:rPr>
        <w:t>ה</w:t>
      </w:r>
      <w:r>
        <w:rPr>
          <w:rFonts w:ascii="David" w:hAnsi="David"/>
          <w:sz w:val="28"/>
          <w:sz w:val="28"/>
          <w:szCs w:val="28"/>
          <w:rtl w:val="true"/>
        </w:rPr>
        <w:t>מערער</w:t>
      </w:r>
      <w:r>
        <w:rPr>
          <w:rFonts w:cs="David" w:ascii="David" w:hAnsi="David"/>
          <w:sz w:val="28"/>
          <w:szCs w:val="28"/>
          <w:rtl w:val="true"/>
        </w:rPr>
        <w:t>:</w:t>
        <w:tab/>
        <w:tab/>
      </w:r>
      <w:r>
        <w:rPr>
          <w:rFonts w:ascii="David" w:hAnsi="David"/>
          <w:sz w:val="28"/>
          <w:sz w:val="28"/>
          <w:szCs w:val="28"/>
          <w:rtl w:val="true"/>
        </w:rPr>
        <w:t>אליאס חורי</w:t>
      </w:r>
    </w:p>
    <w:p>
      <w:pPr>
        <w:pStyle w:val="Normal"/>
        <w:suppressLineNumbers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uppressLineNumbers/>
        <w:ind w:start="2880" w:end="0"/>
        <w:jc w:val="start"/>
        <w:rPr>
          <w:rFonts w:ascii="David" w:hAnsi="David" w:cs="David"/>
          <w:spacing w:val="40"/>
          <w:sz w:val="28"/>
          <w:szCs w:val="28"/>
        </w:rPr>
      </w:pPr>
      <w:bookmarkStart w:id="2" w:name="FirstAppellant"/>
      <w:bookmarkEnd w:id="2"/>
      <w:r>
        <w:rPr>
          <w:rFonts w:ascii="David" w:hAnsi="David"/>
          <w:spacing w:val="40"/>
          <w:sz w:val="28"/>
          <w:sz w:val="28"/>
          <w:szCs w:val="28"/>
          <w:rtl w:val="true"/>
        </w:rPr>
        <w:t>נגד</w:t>
      </w:r>
    </w:p>
    <w:p>
      <w:pPr>
        <w:pStyle w:val="Normal"/>
        <w:suppressLineNumbers/>
        <w:ind w:end="0"/>
        <w:jc w:val="start"/>
        <w:rPr>
          <w:rFonts w:ascii="David" w:hAnsi="David" w:cs="David"/>
          <w:spacing w:val="40"/>
          <w:sz w:val="28"/>
          <w:szCs w:val="28"/>
        </w:rPr>
      </w:pPr>
      <w:r>
        <w:rPr>
          <w:rFonts w:cs="David" w:ascii="David" w:hAnsi="David"/>
          <w:spacing w:val="40"/>
          <w:sz w:val="28"/>
          <w:szCs w:val="28"/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Fonts w:ascii="David" w:hAnsi="David"/>
          <w:sz w:val="28"/>
          <w:sz w:val="28"/>
          <w:szCs w:val="28"/>
          <w:rtl w:val="true"/>
        </w:rPr>
        <w:t>ה</w:t>
      </w:r>
      <w:r>
        <w:rPr>
          <w:rFonts w:ascii="David" w:hAnsi="David"/>
          <w:sz w:val="28"/>
          <w:sz w:val="28"/>
          <w:szCs w:val="28"/>
          <w:rtl w:val="true"/>
        </w:rPr>
        <w:t>משיב</w:t>
      </w:r>
      <w:r>
        <w:rPr>
          <w:rFonts w:ascii="David" w:hAnsi="David"/>
          <w:sz w:val="28"/>
          <w:sz w:val="28"/>
          <w:szCs w:val="28"/>
          <w:rtl w:val="true"/>
        </w:rPr>
        <w:t>ה</w:t>
      </w:r>
      <w:r>
        <w:rPr>
          <w:rFonts w:cs="David" w:ascii="David" w:hAnsi="David"/>
          <w:sz w:val="28"/>
          <w:szCs w:val="28"/>
          <w:rtl w:val="true"/>
        </w:rPr>
        <w:t>:</w:t>
        <w:tab/>
        <w:tab/>
      </w:r>
      <w:r>
        <w:rPr>
          <w:rFonts w:ascii="David" w:hAnsi="David"/>
          <w:sz w:val="28"/>
          <w:sz w:val="28"/>
          <w:szCs w:val="28"/>
          <w:rtl w:val="true"/>
        </w:rPr>
        <w:t>מדינת ישראל</w:t>
      </w:r>
    </w:p>
    <w:p>
      <w:pPr>
        <w:pStyle w:val="Normal"/>
        <w:suppressLineNumbers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30.1.2022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51831-08-18</w:t>
        </w:r>
      </w:hyperlink>
      <w:r>
        <w:rPr>
          <w:rtl w:val="true"/>
        </w:rPr>
        <w:t>, 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קוטון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באומגרט</w:t>
      </w:r>
      <w:r>
        <w:rPr>
          <w:rFonts w:ascii="Miriam" w:hAnsi="Miriam" w:cs="Miriam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uppressLineNumbers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תאריך</w:t>
      </w:r>
      <w:r>
        <w:rPr>
          <w:rFonts w:ascii="Miriam" w:hAnsi="Miriam" w:cs="Miriam"/>
          <w:rtl w:val="true"/>
        </w:rPr>
        <w:t xml:space="preserve"> </w:t>
      </w:r>
      <w:r>
        <w:rPr>
          <w:rFonts w:ascii="David" w:hAnsi="David"/>
          <w:rtl w:val="true"/>
        </w:rPr>
        <w:t>הישיבה</w:t>
      </w:r>
      <w:r>
        <w:rPr>
          <w:rFonts w:cs="Miriam" w:ascii="Miriam" w:hAnsi="Miriam"/>
          <w:rtl w:val="true"/>
        </w:rPr>
        <w:t xml:space="preserve">: </w:t>
      </w:r>
      <w:r>
        <w:rPr>
          <w:rFonts w:cs="Miriam" w:ascii="Miriam" w:hAnsi="Miriam"/>
          <w:rtl w:val="true"/>
        </w:rPr>
        <w:t>-</w:t>
      </w:r>
      <w:r>
        <w:rPr>
          <w:rFonts w:ascii="David" w:hAnsi="David"/>
          <w:rtl w:val="true"/>
        </w:rPr>
        <w:t>כ״א בכסלו התשפ״ד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4.12.2023</w:t>
      </w:r>
      <w:r>
        <w:rPr>
          <w:rFonts w:cs="David" w:ascii="David" w:hAnsi="David"/>
          <w:rtl w:val="true"/>
        </w:rPr>
        <w:t>)</w:t>
      </w:r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ascii="David" w:hAnsi="David"/>
          <w:sz w:val="28"/>
          <w:sz w:val="28"/>
          <w:szCs w:val="28"/>
          <w:rtl w:val="true"/>
        </w:rPr>
        <w:t>בשם ה</w:t>
      </w:r>
      <w:r>
        <w:rPr>
          <w:rFonts w:ascii="David" w:hAnsi="David"/>
          <w:sz w:val="28"/>
          <w:sz w:val="28"/>
          <w:szCs w:val="28"/>
          <w:rtl w:val="true"/>
        </w:rPr>
        <w:t>מערער</w:t>
      </w:r>
      <w:r>
        <w:rPr>
          <w:rFonts w:cs="David" w:ascii="David" w:hAnsi="David"/>
          <w:sz w:val="28"/>
          <w:szCs w:val="28"/>
          <w:rtl w:val="true"/>
        </w:rPr>
        <w:t>:</w:t>
      </w:r>
    </w:p>
    <w:p>
      <w:pPr>
        <w:pStyle w:val="Normal"/>
        <w:suppressLineNumbers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ascii="David" w:hAnsi="David"/>
          <w:sz w:val="28"/>
          <w:sz w:val="28"/>
          <w:szCs w:val="28"/>
          <w:rtl w:val="true"/>
        </w:rPr>
        <w:t>עו</w:t>
      </w:r>
      <w:r>
        <w:rPr>
          <w:rFonts w:cs="David" w:ascii="David" w:hAnsi="David"/>
          <w:sz w:val="28"/>
          <w:szCs w:val="28"/>
          <w:rtl w:val="true"/>
        </w:rPr>
        <w:t>"</w:t>
      </w:r>
      <w:r>
        <w:rPr>
          <w:rFonts w:ascii="David" w:hAnsi="David"/>
          <w:sz w:val="28"/>
          <w:sz w:val="28"/>
          <w:szCs w:val="28"/>
          <w:rtl w:val="true"/>
        </w:rPr>
        <w:t xml:space="preserve">ד </w:t>
      </w:r>
      <w:r>
        <w:rPr>
          <w:rFonts w:ascii="David" w:hAnsi="David"/>
          <w:sz w:val="28"/>
          <w:sz w:val="28"/>
          <w:szCs w:val="28"/>
          <w:rtl w:val="true"/>
        </w:rPr>
        <w:t>אביגדור פלדמן</w:t>
      </w:r>
      <w:r>
        <w:rPr>
          <w:rFonts w:cs="David" w:ascii="David" w:hAnsi="David"/>
          <w:sz w:val="28"/>
          <w:szCs w:val="28"/>
          <w:rtl w:val="true"/>
        </w:rPr>
        <w:t xml:space="preserve">; </w:t>
      </w:r>
      <w:r>
        <w:rPr>
          <w:rFonts w:ascii="David" w:hAnsi="David"/>
          <w:sz w:val="28"/>
          <w:sz w:val="28"/>
          <w:szCs w:val="28"/>
          <w:rtl w:val="true"/>
        </w:rPr>
        <w:t>עו</w:t>
      </w:r>
      <w:r>
        <w:rPr>
          <w:rFonts w:cs="David" w:ascii="David" w:hAnsi="David"/>
          <w:sz w:val="28"/>
          <w:szCs w:val="28"/>
          <w:rtl w:val="true"/>
        </w:rPr>
        <w:t>"</w:t>
      </w:r>
      <w:r>
        <w:rPr>
          <w:rFonts w:ascii="David" w:hAnsi="David"/>
          <w:sz w:val="28"/>
          <w:sz w:val="28"/>
          <w:szCs w:val="28"/>
          <w:rtl w:val="true"/>
        </w:rPr>
        <w:t>ד יפעה בקר</w:t>
      </w:r>
      <w:r>
        <w:rPr>
          <w:rFonts w:cs="David" w:ascii="David" w:hAnsi="David"/>
          <w:sz w:val="28"/>
          <w:szCs w:val="28"/>
          <w:rtl w:val="true"/>
        </w:rPr>
        <w:t>-</w:t>
      </w:r>
      <w:r>
        <w:rPr>
          <w:rFonts w:ascii="David" w:hAnsi="David"/>
          <w:sz w:val="28"/>
          <w:sz w:val="28"/>
          <w:szCs w:val="28"/>
          <w:rtl w:val="true"/>
        </w:rPr>
        <w:t>מימרן</w:t>
      </w:r>
    </w:p>
    <w:p>
      <w:pPr>
        <w:pStyle w:val="Normal"/>
        <w:suppressLineNumbers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ascii="David" w:hAnsi="David"/>
          <w:sz w:val="28"/>
          <w:sz w:val="28"/>
          <w:szCs w:val="28"/>
          <w:rtl w:val="true"/>
        </w:rPr>
        <w:t>בשם ה</w:t>
      </w:r>
      <w:r>
        <w:rPr>
          <w:rFonts w:ascii="David" w:hAnsi="David"/>
          <w:sz w:val="28"/>
          <w:sz w:val="28"/>
          <w:szCs w:val="28"/>
          <w:rtl w:val="true"/>
        </w:rPr>
        <w:t>משיב</w:t>
      </w:r>
      <w:r>
        <w:rPr>
          <w:rFonts w:ascii="David" w:hAnsi="David"/>
          <w:sz w:val="28"/>
          <w:sz w:val="28"/>
          <w:szCs w:val="28"/>
          <w:rtl w:val="true"/>
        </w:rPr>
        <w:t>ה</w:t>
      </w:r>
      <w:r>
        <w:rPr>
          <w:rFonts w:cs="David" w:ascii="David" w:hAnsi="David"/>
          <w:sz w:val="28"/>
          <w:szCs w:val="28"/>
          <w:rtl w:val="true"/>
        </w:rPr>
        <w:t>:</w:t>
      </w:r>
      <w:r>
        <w:rPr>
          <w:rFonts w:cs="David" w:ascii="David" w:hAnsi="David"/>
          <w:sz w:val="28"/>
          <w:szCs w:val="28"/>
          <w:rtl w:val="true"/>
        </w:rPr>
        <w:t>-</w:t>
      </w:r>
      <w:r>
        <w:rPr>
          <w:rFonts w:ascii="David" w:hAnsi="David"/>
          <w:sz w:val="28"/>
          <w:sz w:val="28"/>
          <w:szCs w:val="28"/>
          <w:rtl w:val="true"/>
        </w:rPr>
        <w:t>עו</w:t>
      </w:r>
      <w:r>
        <w:rPr>
          <w:rFonts w:cs="David" w:ascii="David" w:hAnsi="David"/>
          <w:sz w:val="28"/>
          <w:szCs w:val="28"/>
          <w:rtl w:val="true"/>
        </w:rPr>
        <w:t>"</w:t>
      </w:r>
      <w:r>
        <w:rPr>
          <w:rFonts w:ascii="David" w:hAnsi="David"/>
          <w:sz w:val="28"/>
          <w:sz w:val="28"/>
          <w:szCs w:val="28"/>
          <w:rtl w:val="true"/>
        </w:rPr>
        <w:t xml:space="preserve">ד נועה עזרא רחמני </w:t>
      </w:r>
    </w:p>
    <w:p>
      <w:pPr>
        <w:pStyle w:val="Normal"/>
        <w:suppressLineNumbers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rtl w:val="true"/>
        </w:rPr>
        <w:t>כתבי עת</w:t>
      </w:r>
      <w:hyperlink r:id="rId3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קריטריונים לקביעת ממצאים עובדתיים והתערבות ערכאת ערעור בממצאים המתייחסים למהימנות של עדים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לה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407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שרה זלצברג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מאפיינים של קשרים מיניים פוגעניים בקרב בנים חרדים ניתוחם ומשמעותם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קרימינולוגיה ישראלית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אפריל </w:t>
        </w:r>
        <w:r>
          <w:rPr>
            <w:rStyle w:val="Hyperlink"/>
            <w:rFonts w:cs="FrankRuehl" w:ascii="FrankRuehl" w:hAnsi="FrankRuehl"/>
            <w:u w:val="none"/>
          </w:rPr>
          <w:t>2015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73</w:t>
        </w:r>
      </w:hyperlink>
    </w:p>
    <w:p>
      <w:pPr>
        <w:pStyle w:val="Normal"/>
        <w:suppressLineNumbers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inks_Kitvei_End"/>
      <w:bookmarkStart w:id="4" w:name="Links_Kitvei_End"/>
      <w:bookmarkEnd w:id="4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5" w:name="Links_Start"/>
      <w:bookmarkEnd w:id="5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דיני עונשין 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8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348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u w:val="none"/>
          </w:rPr>
          <w:t>354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5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6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9">
        <w:r>
          <w:rPr>
            <w:rStyle w:val="Hyperlink"/>
            <w:rFonts w:ascii="FrankRuehl" w:hAnsi="FrankRuehl" w:cs="FrankRuehl"/>
            <w:u w:val="non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1998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6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u w:val="none"/>
          </w:rPr>
          <w:t>3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5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23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1971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u w:val="none"/>
          </w:rPr>
          <w:t>53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u w:val="none"/>
          </w:rPr>
          <w:t>54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6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חקירת חשודים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2002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  <w:u w:val="none"/>
          </w:rPr>
          <w:t>7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להתערב בהרשעת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רופא גניקולוג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עבירות מין בשתי נשים בהן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אינוס במרמה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אצבעותיו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במסווה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בדיקה </w:t>
      </w:r>
      <w:r>
        <w:rPr>
          <w:rFonts w:ascii="Times New Roman" w:hAnsi="Times New Roman" w:cs="Times New Roman"/>
          <w:spacing w:val="0"/>
          <w:szCs w:val="26"/>
          <w:rtl w:val="true"/>
        </w:rPr>
        <w:t>גניקולוגית פנימית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מצא להפחית שנה מעונש המאסר בפועל שנגזר עליו ולהעמידו על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יצוין כי במסגרת הדיון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מוצא להבהיר לעניין </w:t>
      </w:r>
      <w:r>
        <w:rPr>
          <w:rFonts w:ascii="Times New Roman" w:hAnsi="Times New Roman" w:cs="Times New Roman"/>
          <w:spacing w:val="0"/>
          <w:szCs w:val="26"/>
          <w:rtl w:val="true"/>
        </w:rPr>
        <w:t>צורת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הניתוח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עבירת האינוס במרמה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בהקשר הנדון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רופא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אצבעותיו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במסווה של בדיקה רפואית גנקולוגית פנימית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אינוס במירמה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חקירה במשטרה – מחדלי חקירה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על הכרעת דין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גזר 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רופא גניקולוג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עבירות 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בשתי נשים שפנו אליו לצורך בדיקה גניקולוגית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אינוס במרמה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אצבעותיו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במסווה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בדיקה </w:t>
      </w:r>
      <w:r>
        <w:rPr>
          <w:rFonts w:ascii="Times New Roman" w:hAnsi="Times New Roman" w:cs="Times New Roman"/>
          <w:spacing w:val="0"/>
          <w:szCs w:val="26"/>
          <w:rtl w:val="true"/>
        </w:rPr>
        <w:t>גניקולוגית פנימית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 לשתי הנשים וביחס לנפגעת 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</w:t>
      </w:r>
      <w:r>
        <w:rPr>
          <w:rFonts w:ascii="Times New Roman" w:hAnsi="Times New Roman" w:cs="Times New Roman"/>
          <w:spacing w:val="0"/>
          <w:szCs w:val="26"/>
          <w:rtl w:val="true"/>
        </w:rPr>
        <w:t>בשתי עבירות של מעשים מגונים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ובשלוש עבירות של הטרדה מינית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הושתו על המערער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מאסר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תשלום פיצוי כספי בסך של </w:t>
      </w:r>
      <w:r>
        <w:rPr>
          <w:rFonts w:cs="Times New Roman" w:ascii="Times New Roman" w:hAnsi="Times New Roman"/>
          <w:spacing w:val="0"/>
          <w:szCs w:val="26"/>
        </w:rPr>
        <w:t>120,000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לנפגעת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ובסך של </w:t>
      </w:r>
      <w:r>
        <w:rPr>
          <w:rFonts w:cs="Times New Roman" w:ascii="Times New Roman" w:hAnsi="Times New Roman"/>
          <w:spacing w:val="0"/>
          <w:szCs w:val="26"/>
        </w:rPr>
        <w:t>180,000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לנפגעת 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סולברג 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על הכרעת הדין אך מצא להפחית בשנה את עונש 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</w:t>
      </w:r>
      <w:r>
        <w:rPr>
          <w:rFonts w:ascii="Times New Roman" w:hAnsi="Times New Roman" w:cs="Times New Roman"/>
          <w:spacing w:val="0"/>
          <w:szCs w:val="26"/>
          <w:rtl w:val="true"/>
        </w:rPr>
        <w:t>ענות המערער נסובות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ברובן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נגד ממצאי מהימנות מפורשים שנקבעו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הערכאה הדיונית אשר אין דרכה של ערכאת הערעור להתערב בהן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בכל הנוגע לעבירות מין 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רוב מבוצעות בסתר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ללא עדי ראיה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 כך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נדרש להכריע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בעיקרו של 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גרסת הנפגעת לגרסת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 מהימנות זו מתבססת על עדות קרבן עבירת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מטבעה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עוסקת בנושא אינטימי וטראומטי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מבט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חיצוני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ציפייה לעדות קוהרנטית וסדורה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 לספק תמונה חלקית ובלתי מדויקת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 דעתה של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הכולל התרשמות בלתי אמצעית מהנפשות המעורבות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והערכת העדויות לפי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התנהגותם של העדים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הענין ואותות האמת המתגלים במשך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מקבל משנה חשיבות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מובן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אין מדובר בקביעה שיש בה כדי להקנות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חסינות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לממצאי הערכאה הדיונית בעבירות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לבחון כל מקרה על נסיבותיו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הנטל להראות כי מתקיים בנדון החריג לכלל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ההתערבות – לא הורם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לנפגעת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ובניגוד 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שרטוט נסיבות ביצוע העבירה לא נעשה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יסוד תחושותיה של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לבדן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נשען על שלל ממצאים עובדתיים שנמסרו בעדותה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נמצאה אמינה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מלמדים על מעשים שרב המרחק בינם לבין טיפול גניקולוגי מקובל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כמפורט בפסקה </w:t>
      </w:r>
      <w:r>
        <w:rPr>
          <w:rFonts w:cs="Times New Roman" w:ascii="Times New Roman" w:hAnsi="Times New Roman"/>
          <w:spacing w:val="0"/>
          <w:szCs w:val="26"/>
        </w:rPr>
        <w:t>50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</w:t>
      </w:r>
      <w:r>
        <w:rPr>
          <w:rFonts w:ascii="Times New Roman" w:hAnsi="Times New Roman" w:cs="Times New Roman"/>
          <w:spacing w:val="0"/>
          <w:szCs w:val="26"/>
          <w:rtl w:val="true"/>
        </w:rPr>
        <w:t>הסתירות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כביכול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עליהן מצביע המערער בין עדויותיה השונות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ובמשטרה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 עומדות באמות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המידה שנקבעו בפסיקה לקיומו של ה</w:t>
      </w:r>
      <w:r>
        <w:rPr>
          <w:rFonts w:ascii="Times New Roman" w:hAnsi="Times New Roman" w:cs="Times New Roman"/>
          <w:spacing w:val="0"/>
          <w:szCs w:val="26"/>
          <w:rtl w:val="true"/>
        </w:rPr>
        <w:t>חריג לכלל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משלא נמצא בהם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 ממשי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שיש בו כדי לפגוע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ביציבותו של המבנה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 מושתתת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רחוק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לנפגעת 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משליך יהבו על טענתו כי 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רקמה נגדו עלילת שווא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דא עקא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שטענה 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שנטענה בפני חוקרי ה</w:t>
      </w:r>
      <w:r>
        <w:rPr>
          <w:rFonts w:ascii="Times New Roman" w:hAnsi="Times New Roman" w:cs="Times New Roman"/>
          <w:spacing w:val="0"/>
          <w:szCs w:val="26"/>
          <w:rtl w:val="true"/>
        </w:rPr>
        <w:t>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בעדותו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Cs w:val="26"/>
          <w:rtl w:val="true"/>
        </w:rPr>
        <w:t>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אינה משכנעת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בהיעדר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קצה חוט ראייתי 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>לבד מן הקביעה בדבר מהימנותה של 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נמצאו שורה של ראיות מסייעות ומחזקות לגרסתה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עיקר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עדותו של המערער הותירה רושם כֹּה רע – בהתחשב בסתירות המרובות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חוסר ההיגיון הפנימי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 עמידתה בקנה אחד עם ראיות אמינות אחרות בתיק – עד שדברי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עדותו היוו חיזוק משמעותי לאמינות גרסתה של ב</w:t>
      </w:r>
      <w:r>
        <w:rPr>
          <w:rFonts w:cs="Times New Roman" w:ascii="Times New Roman" w:hAnsi="Times New Roman"/>
          <w:spacing w:val="0"/>
          <w:szCs w:val="26"/>
          <w:rtl w:val="true"/>
        </w:rPr>
        <w:t>'.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באובדן ה</w:t>
      </w:r>
      <w:r>
        <w:rPr>
          <w:rFonts w:ascii="Times New Roman" w:hAnsi="Times New Roman" w:cs="Times New Roman"/>
          <w:spacing w:val="0"/>
          <w:szCs w:val="26"/>
          <w:rtl w:val="true"/>
        </w:rPr>
        <w:t>חלק הארי 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קלטות החקירה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שהינו </w:t>
      </w:r>
      <w:r>
        <w:rPr>
          <w:rFonts w:ascii="Times New Roman" w:hAnsi="Times New Roman" w:cs="Times New Roman"/>
          <w:spacing w:val="0"/>
          <w:szCs w:val="26"/>
          <w:rtl w:val="true"/>
        </w:rPr>
        <w:t>מחדל חקירה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 הכירה בו וש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להקל בו ראש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להביא לזיכויו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זאת משלא נמצא שמחדל זה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פגעו ביכולתו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להתמודד כראוי עם חומר הראיות שלחובתו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המעורר חשש ממשי כי הגנתו קופחה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כי נפגעה זכותו להליך הוגן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הוזכר 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אין במחדלי 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להביא לזיכויו של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שקיימת תשתית ראייתית מספקת להוכחת 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העדר הקלטות של חקירות נאשם המכחיש את המיוחס 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תהא מטבעה חמורה פחות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ניתן היה למזער את השפעת החסר הראייתי שנוצר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ניהול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דנא נמצא כי </w:t>
      </w:r>
      <w:r>
        <w:rPr>
          <w:rFonts w:ascii="Times New Roman" w:hAnsi="Times New Roman" w:cs="Times New Roman"/>
          <w:spacing w:val="0"/>
          <w:szCs w:val="26"/>
          <w:rtl w:val="true"/>
        </w:rPr>
        <w:t>מה שהוחסר בחקירת המשטרה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הושלם בדיעבד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שיש בו כדי להניח את הדעת כי אף אם הגנת המערער קופחה במידה מסוימת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שלא היה בכך כדי למנוע ממנו להתמודד כנדרש עם חומר הראיות נגדו וכי אין במחדל האמור כדי לעורר ספק סביר בדבר 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גם בטענת השיהוי שהעלה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בנוגע להליכי חקירתו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 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לא שוכנע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הימשכות ההליכים מקימה בענייננו פגיעה בתחושת הצדק וההגינות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המצדיקה </w:t>
      </w:r>
      <w:r>
        <w:rPr>
          <w:rFonts w:ascii="Times New Roman" w:hAnsi="Times New Roman" w:cs="Times New Roman"/>
          <w:spacing w:val="0"/>
          <w:szCs w:val="26"/>
          <w:rtl w:val="true"/>
        </w:rPr>
        <w:t>את ביטול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מוצא להוסיף </w:t>
      </w:r>
      <w:r>
        <w:rPr>
          <w:rFonts w:ascii="Times New Roman" w:hAnsi="Times New Roman" w:cs="Times New Roman"/>
          <w:spacing w:val="0"/>
          <w:szCs w:val="26"/>
          <w:rtl w:val="true"/>
        </w:rPr>
        <w:t>הערות מספר באשר לניתוח עבירת האינוס במרמה בהקשר הנדון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שעה שמדובר במקרה ראשון שהובא לפתחו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שענייננו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עבירת אינוס במרמה באמצעות אצבעו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מעשה שנחזה כבדיקה גניקולוגית פנימית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שבו חלק מרכיביה העובדתיים של העבירה הם חלק מ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שגרת העבודה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של מבצע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 שימת לב מיוחדת להתקיימות יתר יסודות ורכיבי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מעיר א</w:t>
      </w:r>
      <w:r>
        <w:rPr>
          <w:rFonts w:ascii="Times New Roman" w:hAnsi="Times New Roman" w:cs="Times New Roman"/>
          <w:spacing w:val="0"/>
          <w:szCs w:val="26"/>
          <w:rtl w:val="true"/>
        </w:rPr>
        <w:t>פוא כמה הערות קצרות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ממצות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לגבי צורת הניתוח הנדרשת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כגון דא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בעבירת אינוס במרמה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345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)(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שאלת התקיימותם של רכיביה הראשונים של העבירה במקרה הנדון אינה מעוררת קושי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בדיקה רפואית גניקולוגית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במסגרתה מכניס הרופא המטפל את אצבעותיו לתוך איבר מינה של אשה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נופלת להגדרה של בעילה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המחדיר איבר מאיברי הגוף או חפץ לאיבר המין של האישה</w:t>
      </w:r>
      <w:r>
        <w:rPr>
          <w:rFonts w:cs="Times New Roman" w:ascii="Times New Roman" w:hAnsi="Times New Roman"/>
          <w:spacing w:val="0"/>
          <w:szCs w:val="26"/>
          <w:rtl w:val="true"/>
        </w:rPr>
        <w:t>"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Cs w:val="26"/>
        </w:rPr>
        <w:t>354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מן ההיבט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ברי כי המערער היה מודע למעשיו הפיזיים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ולכך שנעשו בשתי 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לא נטען אחרת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השאלה המתעוררת היא אפוא לגבי הסכמת האשה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שהושגה במרמה לגבי מהות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בפסיקת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נקבע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במקרה בו הסכמת האשה ניתנה לגבי מעשה שקיימת בו תכונה יסודית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שונה מזו של המעשה שהתרחש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אזי הסכמת האשה מתאיינת מעיקרא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כאילו כלל לא ניתנה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לעניין זה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לבחון את המעשה הנחזה כטיפול רפואי בשני היבטים – האובייקטיבי והסובייקטיבי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במישור האובייקטיבי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תיבחן השאלה אם מבחינה פיסית בוצעה בדיקה רפואית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שמא מעשה שנחזה ככזה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מענה לכך ינתן בהתבסס על הנורמות המקצועיות המקובלות בתחום העיסוק הנדון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למשל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בהתבסס על עדותה המקצועית של מומחית ברפואת 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משך הבדיקות מושא ההליך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ואופן ביצוען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חרגו מן הפרוטוקול הרפואי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שאין לראות את המעשים שבוצעו כ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 רפואי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מוסיף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במידה ונמצא כי המעשה חרג בבירור מן הפרוטוקול הרפואי – כבנדון דנן – אזי אין נפקא מינה לשאלה אם תחילתו של המעשה היתה בטיפול לגיטימי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עבירת האינוס היא 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רגעית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המושלמת מיד עם התגבשות יסודותיה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במישור הסובייקטיבי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יִבָּחֵן הלך רוחו של המטפל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שהשתקף במעשים שבוצעו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בגדרי בחינה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לבדוק אם חריגתו של המטפל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 מן הסטנדרטים המקובלים בתחום עיסוקו נעשתה באופן מודע – מכוון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אף מתוכנן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מענה חיובי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ילמדנו כי עמדתו הנפשית כלפי המעשה היתה שונה מזו המאפיינת בדיקה שגרתית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המבוצעת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מטפלים מסוגו דבר יום ביומו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יש כדי להקנות למעשה את אופיו הסובייקטיבי כ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היסוד הסובייקטיבי מאפשר אפוא להבטיח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הניתן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לא כל מעידה רשלנית במסגרת בדיקה אינטימית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תחשוף את הרופא המטפל לאחריות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רק כזו שבגדרה מודע המטפל לכך שאינו מצוי עוד ב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מגרש הטיפולי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לשמו ניתנה לו הרשות – ובוחר בכל זאת להמשיך 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כאן יש להעיר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בשונה מעבירת 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הרשעה בעבירת אינוס במרמה נדרש להוכיח אך יסוד נפשי של מודעות לרכיב ההתנהגותי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לנסיבות 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צורך להוכיח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כוונה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להשגת סיפוק או גירוי בעת ביצוע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לא מן הנמנע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לעתים לא תהא 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הדעת נותנת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ככל שחומר הראיות יצביע על כך שהמעשה שנעשה – אשר כזכור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מבחינת טיבו האובייקטיבי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 מגדרי הטיפול הרפואי המקובל – הולבש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עושהו באופי מיני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יהיה בכך כדי ללמד גם על טיבו הסובייקטיבי – דהיינו מודעותו של העושה לחריגה מן המעשה הטיפולי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לדוגמא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קיימות אינדיקציות המלמדות כי הלך רוחו של המערער נשא אופי מיני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הלך רוח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הטביע אפוא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הוא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חותמו במעשה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שהפך אותו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במובהק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נוכח כל המקובץ דין הערעור נגד הכרעת הדין –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</w:t>
      </w:r>
      <w:r>
        <w:rPr>
          <w:rFonts w:ascii="Times New Roman" w:hAnsi="Times New Roman" w:cs="Times New Roman"/>
          <w:spacing w:val="0"/>
          <w:szCs w:val="26"/>
          <w:rtl w:val="true"/>
        </w:rPr>
        <w:t>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נמצא בטענותיו בעניין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התנהלות גורמי החקירה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בנסיבותיו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חריגה ממתחם הענישה המקובל בעבירות 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בצדק ציין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חומרת המעשים המתוארים בהכרעת הדין כמעט בלתי נתפסת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בכגון דא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הנסיבות האישיות של העבריין אינן יכולות לזכות במקום של בכורה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[...]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 יהיו אלו אשר יקבעו את מתחם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זהותו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מעשיו הטובים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לא עברו הנקי ולא תרומתו לחברה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טעמים נכונים שמעלה המערער להקלה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כבר נדרש אליהם בגזר 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שקיימים בענייננו גם טעמים כבדי משקל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שיש בהם כדי להטות את הכף דווקא לכיוון השני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ראש לכל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הפגיעה האנושה של המערער בערכים המוגנים שבבסיס העבירות בהן 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אוטונומיית הרצון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הכבוד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זכות האשה על גופה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 הקשים בהם הורשע המערער בוצעו תוך ניצול לרעה של מעמדו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ונגישותו הלגיטימית לאיברי מין של 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זוהי נסיבה הנזקפת לחובתו בעת קביעת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תובנה זו מתחזקת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מסכת האירועים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שבגדרה ניצל המערער לטובתו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הידע שבו הוא אוחז לגבי דרך ההתנהלות התקינה בבדיקה רפואית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את סמכותו כגורם המנווט את המפגש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מנת לבסס את מצג השווא שהציג לנפגעות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למרבה הצער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מסכת עבירות מין כמו זו שלפנינו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פוגעת קשות באמון היסודי שניתן ברופאים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וברופאים שתחום עיסוקם כרוך באופן אינהרנטי במגע באיברי גוף מוצנעים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אף מביאה לפגיעה בתחושת הביטחון של 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ביושבן על כִּסא הבדיקה הגניקולוגית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rtl w:val="true"/>
        </w:rPr>
        <w:t>להתייחס לעבירות אלו בחומרה 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ולהבטיח מתן עונשים חמורים ומרתיעים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 נוסף נוגע לפגיעה בנפשן של הנפגעות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לשיקולים שבתוך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ולאחר בחינת </w:t>
      </w:r>
      <w:r>
        <w:rPr>
          <w:rFonts w:ascii="Times New Roman" w:hAnsi="Times New Roman" w:cs="Times New Roman"/>
          <w:spacing w:val="0"/>
          <w:szCs w:val="26"/>
          <w:rtl w:val="true"/>
        </w:rPr>
        <w:t>כלל 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סבור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יש מקום להקל מעט בעונשו של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להפחית שנה מעונש המאסר שהוטל על</w:t>
      </w:r>
      <w:r>
        <w:rPr>
          <w:rFonts w:ascii="Times New Roman" w:hAnsi="Times New Roman" w:cs="Times New Roman"/>
          <w:spacing w:val="0"/>
          <w:szCs w:val="26"/>
          <w:rtl w:val="true"/>
        </w:rPr>
        <w:t>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ולהעמידו על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לאחר ש</w:t>
      </w:r>
      <w:r>
        <w:rPr>
          <w:rFonts w:ascii="Times New Roman" w:hAnsi="Times New Roman" w:cs="Times New Roman"/>
          <w:spacing w:val="0"/>
          <w:szCs w:val="26"/>
          <w:rtl w:val="true"/>
        </w:rPr>
        <w:t>עיון בפסיקת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במקרים שנסיבותיהם דומות למקרה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שעניינם אינוס באמצעות החדרת אצבעות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ומעשים מגונים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של טיפול רגשי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גופני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עיסוי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או רפואי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נגזרו על נאשמים עונשים הנעים בטווח שבין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אינוס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לעתים בצירוף 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לבין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שנים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במקרים שבהם מדובר היה בשני מעשי אינוס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או מעשה סדום בנסיבות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הושתו עונשי מאסר לתקופות שבין </w:t>
      </w:r>
      <w:r>
        <w:rPr>
          <w:rFonts w:cs="Times New Roman" w:ascii="Times New Roman" w:hAnsi="Times New Roman"/>
          <w:spacing w:val="0"/>
          <w:szCs w:val="26"/>
        </w:rPr>
        <w:t>40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לחמש 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שעומד על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 במידה ניכרת מעונשים שניתנו 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חומרת המעשים שבהם עסקינן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והצטברות העבירות בנדון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הצדקה לחריגה ניכרת שכזו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David" w:hAnsi="David" w:cs="David"/>
          <w:spacing w:val="0"/>
          <w:szCs w:val="26"/>
        </w:rPr>
      </w:pPr>
      <w:r>
        <w:rPr>
          <w:rFonts w:cs="David" w:ascii="David" w:hAnsi="David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bidi w:val="0"/>
        <w:jc w:val="center"/>
        <w:rPr>
          <w:rFonts w:ascii="David" w:hAnsi="David" w:cs="David"/>
          <w:b/>
          <w:bCs/>
          <w:spacing w:val="40"/>
          <w:sz w:val="28"/>
          <w:szCs w:val="28"/>
        </w:rPr>
      </w:pPr>
      <w:bookmarkStart w:id="15" w:name="PsakDin"/>
      <w:r>
        <w:rPr>
          <w:rFonts w:ascii="David" w:hAnsi="David"/>
          <w:b/>
          <w:b/>
          <w:bCs/>
          <w:spacing w:val="40"/>
          <w:sz w:val="28"/>
          <w:sz w:val="28"/>
          <w:szCs w:val="28"/>
          <w:rtl w:val="true"/>
        </w:rPr>
        <w:t>פסק</w:t>
      </w:r>
      <w:r>
        <w:rPr>
          <w:rFonts w:cs="David" w:ascii="David" w:hAnsi="David"/>
          <w:b/>
          <w:bCs/>
          <w:spacing w:val="40"/>
          <w:sz w:val="28"/>
          <w:szCs w:val="28"/>
          <w:rtl w:val="true"/>
        </w:rPr>
        <w:t>-</w:t>
      </w:r>
      <w:r>
        <w:rPr>
          <w:rFonts w:ascii="David" w:hAnsi="David"/>
          <w:b/>
          <w:b/>
          <w:bCs/>
          <w:spacing w:val="40"/>
          <w:sz w:val="28"/>
          <w:sz w:val="28"/>
          <w:szCs w:val="28"/>
          <w:rtl w:val="true"/>
        </w:rPr>
        <w:t>דין</w:t>
      </w:r>
      <w:bookmarkEnd w:id="15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pacing w:val="10"/>
          <w:sz w:val="28"/>
          <w:szCs w:val="28"/>
        </w:rPr>
      </w:pPr>
      <w:r>
        <w:rPr>
          <w:rFonts w:cs="FrankRuehl" w:ascii="FrankRuehl" w:hAnsi="FrankRuehl"/>
          <w:b/>
          <w:bCs/>
          <w:spacing w:val="10"/>
          <w:sz w:val="28"/>
          <w:szCs w:val="28"/>
          <w:rtl w:val="true"/>
        </w:rPr>
      </w:r>
      <w:bookmarkStart w:id="16" w:name="FirstLawyer"/>
      <w:bookmarkStart w:id="17" w:name="LastJudge"/>
      <w:bookmarkStart w:id="18" w:name="NGCSBookmark"/>
      <w:bookmarkStart w:id="19" w:name="FirstLawyer"/>
      <w:bookmarkStart w:id="20" w:name="LastJudge"/>
      <w:bookmarkStart w:id="21" w:name="NGCSBookmark"/>
      <w:bookmarkEnd w:id="19"/>
      <w:bookmarkEnd w:id="20"/>
      <w:bookmarkEnd w:id="21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סולברג</w:t>
      </w:r>
      <w:r>
        <w:rPr>
          <w:rFonts w:cs="Miriam" w:ascii="Century" w:hAnsi="Century"/>
          <w:b/>
          <w:sz w:val="22"/>
          <w:rtl w:val="true"/>
        </w:rPr>
        <w:t>:</w:t>
      </w:r>
      <w:bookmarkStart w:id="22" w:name="Writer_Name"/>
      <w:bookmarkEnd w:id="22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ערעור על הכרעת הדין מיום </w:t>
      </w:r>
      <w:r>
        <w:rPr/>
        <w:t>20.12.2021</w:t>
      </w:r>
      <w:r>
        <w:rPr>
          <w:rtl w:val="true"/>
        </w:rPr>
        <w:t xml:space="preserve">, </w:t>
      </w:r>
      <w:r>
        <w:rPr>
          <w:rtl w:val="true"/>
        </w:rPr>
        <w:t xml:space="preserve">ועל גזר הדין מיום </w:t>
      </w:r>
      <w:r>
        <w:rPr/>
        <w:t>30.10.2022</w:t>
      </w:r>
      <w:r>
        <w:rPr>
          <w:rtl w:val="true"/>
        </w:rPr>
        <w:t xml:space="preserve">, </w:t>
      </w:r>
      <w:r>
        <w:rPr>
          <w:rtl w:val="true"/>
        </w:rPr>
        <w:t>של בית המשפט המחוזי בחיפה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51831-08-18</w:t>
        </w:r>
      </w:hyperlink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 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באומגרט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במסגרתם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>אליאס חורי</w:t>
      </w:r>
      <w:r>
        <w:rPr>
          <w:rtl w:val="true"/>
        </w:rPr>
        <w:t xml:space="preserve">, </w:t>
      </w:r>
      <w:r>
        <w:rPr>
          <w:rtl w:val="true"/>
        </w:rPr>
        <w:t>רופא גניקולוג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>בביצוע עבירות מין בשתי נשים שפנו אליו לצורך בדיקה גניקולוגית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הרשעתו כללה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אינוס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במרמה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הן</w:t>
      </w:r>
      <w:r>
        <w:rPr>
          <w:sz w:val="22"/>
          <w:sz w:val="22"/>
          <w:rtl w:val="true"/>
        </w:rPr>
        <w:t xml:space="preserve"> </w:t>
      </w:r>
      <w:r>
        <w:rPr>
          <w:rtl w:val="true"/>
        </w:rPr>
        <w:t>בנפגעת העבירה א</w:t>
      </w:r>
      <w:r>
        <w:rPr>
          <w:rtl w:val="true"/>
        </w:rPr>
        <w:t xml:space="preserve">', </w:t>
      </w:r>
      <w:r>
        <w:rPr>
          <w:rtl w:val="true"/>
        </w:rPr>
        <w:t>הן בנפגעת העבירה ב</w:t>
      </w:r>
      <w:r>
        <w:rPr>
          <w:rtl w:val="true"/>
        </w:rPr>
        <w:t xml:space="preserve">'; </w:t>
      </w:r>
      <w:r>
        <w:rPr>
          <w:rtl w:val="true"/>
        </w:rPr>
        <w:t>וכן עבירות נוספות שבוצעו בנפגעת העבירה ב</w:t>
      </w:r>
      <w:r>
        <w:rPr>
          <w:rtl w:val="true"/>
        </w:rPr>
        <w:t xml:space="preserve">': </w:t>
      </w:r>
      <w:r>
        <w:rPr>
          <w:rFonts w:ascii="Century" w:hAnsi="Century" w:cs="Century"/>
          <w:sz w:val="22"/>
          <w:sz w:val="22"/>
          <w:rtl w:val="true"/>
        </w:rPr>
        <w:t>עבירה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מגונה</w:t>
      </w:r>
      <w:r>
        <w:rPr>
          <w:rtl w:val="true"/>
        </w:rPr>
        <w:t xml:space="preserve"> 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עבירה של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מגונה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וכן שלוש עבירות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הטרדה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7"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 xml:space="preserve">בגין מעשיו הושתו על המערער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</w:t>
      </w:r>
      <w:r>
        <w:rPr>
          <w:rtl w:val="true"/>
        </w:rPr>
        <w:t>(</w:t>
      </w:r>
      <w:r>
        <w:rPr>
          <w:rtl w:val="true"/>
        </w:rPr>
        <w:t>לצרכי חקירה</w:t>
      </w:r>
      <w:r>
        <w:rPr>
          <w:rtl w:val="true"/>
        </w:rPr>
        <w:t xml:space="preserve">);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עבירת מין מסוג פשע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עבירת מין מסוג עוון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חויב המערער בתשלום פיצוי כספי בסך של </w:t>
      </w:r>
      <w:r>
        <w:rPr/>
        <w:t>120,000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לנפגעת א</w:t>
      </w:r>
      <w:r>
        <w:rPr>
          <w:rtl w:val="true"/>
        </w:rPr>
        <w:t xml:space="preserve">', </w:t>
      </w:r>
      <w:r>
        <w:rPr>
          <w:rtl w:val="true"/>
        </w:rPr>
        <w:t xml:space="preserve">ובסך של </w:t>
      </w:r>
      <w:r>
        <w:rPr/>
        <w:t>180,000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לנפגעת ב</w:t>
      </w:r>
      <w:r>
        <w:rPr>
          <w:rtl w:val="true"/>
        </w:rPr>
        <w:t>'.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על פי המפורט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 xml:space="preserve">בשעות הערב של יום </w:t>
      </w:r>
      <w:r>
        <w:rPr/>
        <w:t>8.8.2015</w:t>
      </w:r>
      <w:r>
        <w:rPr>
          <w:rtl w:val="true"/>
        </w:rPr>
        <w:t xml:space="preserve">, </w:t>
      </w:r>
      <w:r>
        <w:rPr>
          <w:rtl w:val="true"/>
        </w:rPr>
        <w:t>הגיעה א</w:t>
      </w:r>
      <w:r>
        <w:rPr>
          <w:rtl w:val="true"/>
        </w:rPr>
        <w:t xml:space="preserve">', </w:t>
      </w:r>
      <w:r>
        <w:rPr>
          <w:rtl w:val="true"/>
        </w:rPr>
        <w:t xml:space="preserve">ילידת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למרפאת המערער</w:t>
      </w:r>
      <w:r>
        <w:rPr>
          <w:rtl w:val="true"/>
        </w:rPr>
        <w:t xml:space="preserve">, </w:t>
      </w:r>
      <w:r>
        <w:rPr>
          <w:rtl w:val="true"/>
        </w:rPr>
        <w:t>לצורך בדיקה בשל כאבים מהם סבלה</w:t>
      </w:r>
      <w:r>
        <w:rPr>
          <w:rtl w:val="true"/>
        </w:rPr>
        <w:t xml:space="preserve">. </w:t>
      </w:r>
      <w:r>
        <w:rPr>
          <w:rtl w:val="true"/>
        </w:rPr>
        <w:t>המערער הורה לה לשכב במיטה</w:t>
      </w:r>
      <w:r>
        <w:rPr>
          <w:rtl w:val="true"/>
        </w:rPr>
        <w:t xml:space="preserve">, </w:t>
      </w:r>
      <w:r>
        <w:rPr>
          <w:rtl w:val="true"/>
        </w:rPr>
        <w:t>שאינה מיטת הטיפולים הייעודית לבדיקה גניקולוגית</w:t>
      </w:r>
      <w:r>
        <w:rPr>
          <w:rtl w:val="true"/>
        </w:rPr>
        <w:t xml:space="preserve">, </w:t>
      </w:r>
      <w:r>
        <w:rPr>
          <w:rtl w:val="true"/>
        </w:rPr>
        <w:t>וביצע בדיקת אולטרסאונד בנרתיקהּ</w:t>
      </w:r>
      <w:r>
        <w:rPr>
          <w:rtl w:val="true"/>
        </w:rPr>
        <w:t xml:space="preserve">, </w:t>
      </w:r>
      <w:r>
        <w:rPr>
          <w:rtl w:val="true"/>
        </w:rPr>
        <w:t>כשפלג גופה התחתון נותר חשוף</w:t>
      </w:r>
      <w:r>
        <w:rPr>
          <w:rtl w:val="true"/>
        </w:rPr>
        <w:t xml:space="preserve">, </w:t>
      </w:r>
      <w:r>
        <w:rPr>
          <w:rtl w:val="true"/>
        </w:rPr>
        <w:t>ללא כיסוי</w:t>
      </w:r>
      <w:r>
        <w:rPr>
          <w:rtl w:val="true"/>
        </w:rPr>
        <w:t xml:space="preserve">. </w:t>
      </w:r>
      <w:r>
        <w:rPr>
          <w:rtl w:val="true"/>
        </w:rPr>
        <w:t>במהלך הבדיקה</w:t>
      </w:r>
      <w:r>
        <w:rPr>
          <w:rtl w:val="true"/>
        </w:rPr>
        <w:t xml:space="preserve">, </w:t>
      </w:r>
      <w:r>
        <w:rPr>
          <w:rtl w:val="true"/>
        </w:rPr>
        <w:t>שאל המערער את א</w:t>
      </w:r>
      <w:r>
        <w:rPr>
          <w:rtl w:val="true"/>
        </w:rPr>
        <w:t xml:space="preserve">' </w:t>
      </w:r>
      <w:r>
        <w:rPr>
          <w:rtl w:val="true"/>
        </w:rPr>
        <w:t>על חיי המין שלה עם בן</w:t>
      </w:r>
      <w:r>
        <w:rPr>
          <w:rtl w:val="true"/>
        </w:rPr>
        <w:t>-</w:t>
      </w:r>
      <w:r>
        <w:rPr>
          <w:rtl w:val="true"/>
        </w:rPr>
        <w:t>זוגה</w:t>
      </w:r>
      <w:r>
        <w:rPr>
          <w:rtl w:val="true"/>
        </w:rPr>
        <w:t xml:space="preserve">, </w:t>
      </w:r>
      <w:r>
        <w:rPr>
          <w:rtl w:val="true"/>
        </w:rPr>
        <w:t>ודיווח לה כי זיהה שהיא סובלת מדלקת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ביצע המערער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>' '</w:t>
      </w:r>
      <w:r>
        <w:rPr>
          <w:rtl w:val="true"/>
        </w:rPr>
        <w:t>בדיקה פנימית</w:t>
      </w:r>
      <w:r>
        <w:rPr>
          <w:rtl w:val="true"/>
        </w:rPr>
        <w:t xml:space="preserve">', </w:t>
      </w:r>
      <w:r>
        <w:rPr>
          <w:rtl w:val="true"/>
        </w:rPr>
        <w:t>שבה החדיר את אצבעותיו מספר רב של פעמים לנרתיקהּ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הגיעה א</w:t>
      </w:r>
      <w:r>
        <w:rPr>
          <w:rtl w:val="true"/>
        </w:rPr>
        <w:t xml:space="preserve">' </w:t>
      </w:r>
      <w:r>
        <w:rPr>
          <w:rtl w:val="true"/>
        </w:rPr>
        <w:t>לסיפוק מיני</w:t>
      </w:r>
      <w:r>
        <w:rPr>
          <w:rtl w:val="true"/>
        </w:rPr>
        <w:t xml:space="preserve">, </w:t>
      </w:r>
      <w:r>
        <w:rPr>
          <w:rtl w:val="true"/>
        </w:rPr>
        <w:t>ופרצה בבכי</w:t>
      </w:r>
      <w:r>
        <w:rPr>
          <w:rtl w:val="true"/>
        </w:rPr>
        <w:t xml:space="preserve">;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תפס המערער את ידהּ</w:t>
      </w:r>
      <w:r>
        <w:rPr>
          <w:rtl w:val="true"/>
        </w:rPr>
        <w:t xml:space="preserve">, </w:t>
      </w:r>
      <w:r>
        <w:rPr>
          <w:rtl w:val="true"/>
        </w:rPr>
        <w:t>ואמר לה שלא תבכה</w:t>
      </w:r>
      <w:r>
        <w:rPr>
          <w:rtl w:val="true"/>
        </w:rPr>
        <w:t xml:space="preserve">, </w:t>
      </w:r>
      <w:r>
        <w:rPr>
          <w:rtl w:val="true"/>
        </w:rPr>
        <w:t>שכן מדובר בבדיקה רגילה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הורה המערער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להסתובב</w:t>
      </w:r>
      <w:r>
        <w:rPr>
          <w:rtl w:val="true"/>
        </w:rPr>
        <w:t xml:space="preserve">, </w:t>
      </w:r>
      <w:r>
        <w:rPr>
          <w:rtl w:val="true"/>
        </w:rPr>
        <w:t>כך שגבהּ יופנה אליו</w:t>
      </w:r>
      <w:r>
        <w:rPr>
          <w:rtl w:val="true"/>
        </w:rPr>
        <w:t xml:space="preserve">; </w:t>
      </w:r>
      <w:r>
        <w:rPr>
          <w:rtl w:val="true"/>
        </w:rPr>
        <w:t xml:space="preserve">כאשר רצתה לחזור לתנוחה המקורית </w:t>
      </w:r>
      <w:r>
        <w:rPr>
          <w:rtl w:val="true"/>
        </w:rPr>
        <w:t>–</w:t>
      </w:r>
      <w:r>
        <w:rPr>
          <w:rtl w:val="true"/>
        </w:rPr>
        <w:t xml:space="preserve"> החזיק בגבהּ ומנע זאת ממנה</w:t>
      </w:r>
      <w:r>
        <w:rPr>
          <w:rtl w:val="true"/>
        </w:rPr>
        <w:t xml:space="preserve">, </w:t>
      </w:r>
      <w:r>
        <w:rPr>
          <w:rtl w:val="true"/>
        </w:rPr>
        <w:t>תוך שהוא ממשיך להחדיר ולהוציא את אצבעותיו מנרתיקהּ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הורה המערער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לעבור למיטת הטיפולים הייעודית</w:t>
      </w:r>
      <w:r>
        <w:rPr>
          <w:rtl w:val="true"/>
        </w:rPr>
        <w:t xml:space="preserve">, </w:t>
      </w:r>
      <w:r>
        <w:rPr>
          <w:rtl w:val="true"/>
        </w:rPr>
        <w:t>שם קיצר את חוט ההתקן התוך</w:t>
      </w:r>
      <w:r>
        <w:rPr>
          <w:rtl w:val="true"/>
        </w:rPr>
        <w:t>-</w:t>
      </w:r>
      <w:r>
        <w:rPr>
          <w:rtl w:val="true"/>
        </w:rPr>
        <w:t>רחמי שהיה בגופה</w:t>
      </w:r>
      <w:r>
        <w:rPr>
          <w:rtl w:val="true"/>
        </w:rPr>
        <w:t xml:space="preserve">. </w:t>
      </w: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>הואשם המערער בעבירת אינוס במרמה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על פי המפורט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9.4.2016</w:t>
      </w:r>
      <w:r>
        <w:rPr>
          <w:rtl w:val="true"/>
        </w:rPr>
        <w:t xml:space="preserve">, </w:t>
      </w:r>
      <w:r>
        <w:rPr>
          <w:rtl w:val="true"/>
        </w:rPr>
        <w:t>הגיעה ב</w:t>
      </w:r>
      <w:r>
        <w:rPr>
          <w:rtl w:val="true"/>
        </w:rPr>
        <w:t xml:space="preserve">', </w:t>
      </w:r>
      <w:r>
        <w:rPr>
          <w:rtl w:val="true"/>
        </w:rPr>
        <w:t xml:space="preserve">ילידת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למרפאת המערער</w:t>
      </w:r>
      <w:r>
        <w:rPr>
          <w:rtl w:val="true"/>
        </w:rPr>
        <w:t xml:space="preserve">, </w:t>
      </w:r>
      <w:r>
        <w:rPr>
          <w:rtl w:val="true"/>
        </w:rPr>
        <w:t>לצורך יעוץ ובדיקה לקראת ניתוח אותו ביקשה לעבור</w:t>
      </w:r>
      <w:r>
        <w:rPr>
          <w:rtl w:val="true"/>
        </w:rPr>
        <w:t xml:space="preserve">. </w:t>
      </w:r>
      <w:r>
        <w:rPr>
          <w:rtl w:val="true"/>
        </w:rPr>
        <w:t>המערער הורה לה לפשוט את מכנסיה</w:t>
      </w:r>
      <w:r>
        <w:rPr>
          <w:rtl w:val="true"/>
        </w:rPr>
        <w:t xml:space="preserve">, </w:t>
      </w:r>
      <w:r>
        <w:rPr>
          <w:rtl w:val="true"/>
        </w:rPr>
        <w:t>ולשבת על מיטת הטיפולים</w:t>
      </w:r>
      <w:r>
        <w:rPr>
          <w:rtl w:val="true"/>
        </w:rPr>
        <w:t xml:space="preserve">, </w:t>
      </w:r>
      <w:r>
        <w:rPr>
          <w:rtl w:val="true"/>
        </w:rPr>
        <w:t>בעוד שפלג גופה התחתון נותר חשוף</w:t>
      </w:r>
      <w:r>
        <w:rPr>
          <w:rtl w:val="true"/>
        </w:rPr>
        <w:t xml:space="preserve">, </w:t>
      </w:r>
      <w:r>
        <w:rPr>
          <w:rtl w:val="true"/>
        </w:rPr>
        <w:t>ללא כיסוי</w:t>
      </w:r>
      <w:r>
        <w:rPr>
          <w:rtl w:val="true"/>
        </w:rPr>
        <w:t xml:space="preserve">. </w:t>
      </w:r>
      <w:r>
        <w:rPr>
          <w:rtl w:val="true"/>
        </w:rPr>
        <w:t>המערער בחן את איבר מינהּ של ב</w:t>
      </w:r>
      <w:r>
        <w:rPr>
          <w:rtl w:val="true"/>
        </w:rPr>
        <w:t xml:space="preserve">', </w:t>
      </w:r>
      <w:r>
        <w:rPr>
          <w:rtl w:val="true"/>
        </w:rPr>
        <w:t>ואמר לה שהוא מהסוג המועדף עליו</w:t>
      </w:r>
      <w:r>
        <w:rPr>
          <w:rtl w:val="true"/>
        </w:rPr>
        <w:t xml:space="preserve">;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החדיר המערער את אצבעו לנרתיקהּ של ב</w:t>
      </w:r>
      <w:r>
        <w:rPr>
          <w:rtl w:val="true"/>
        </w:rPr>
        <w:t xml:space="preserve">', </w:t>
      </w:r>
      <w:r>
        <w:rPr>
          <w:rtl w:val="true"/>
        </w:rPr>
        <w:t>הריחהּ</w:t>
      </w:r>
      <w:r>
        <w:rPr>
          <w:rtl w:val="true"/>
        </w:rPr>
        <w:t xml:space="preserve">, </w:t>
      </w:r>
      <w:r>
        <w:rPr>
          <w:rtl w:val="true"/>
        </w:rPr>
        <w:t>וקבע שאינה סובלת מדלקת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אמר המערער ל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שבכוונתו לבצע בדיקה עמוקה יותר</w:t>
      </w:r>
      <w:r>
        <w:rPr>
          <w:rtl w:val="true"/>
        </w:rPr>
        <w:t xml:space="preserve">, </w:t>
      </w:r>
      <w:r>
        <w:rPr>
          <w:rtl w:val="true"/>
        </w:rPr>
        <w:t>והחל להחדיר ולהוציא את אצבעותיו לנרתיקהּ</w:t>
      </w:r>
      <w:r>
        <w:rPr>
          <w:rtl w:val="true"/>
        </w:rPr>
        <w:t xml:space="preserve">, </w:t>
      </w:r>
      <w:r>
        <w:rPr>
          <w:rtl w:val="true"/>
        </w:rPr>
        <w:t>מספר רב של פעמים</w:t>
      </w:r>
      <w:r>
        <w:rPr>
          <w:rtl w:val="true"/>
        </w:rPr>
        <w:t xml:space="preserve">.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>עיסה המערער עם אגודלו את איבר מינה של ב</w:t>
      </w:r>
      <w:r>
        <w:rPr>
          <w:rtl w:val="true"/>
        </w:rPr>
        <w:t xml:space="preserve">', </w:t>
      </w:r>
      <w:r>
        <w:rPr>
          <w:rtl w:val="true"/>
        </w:rPr>
        <w:t>וליטף את מותניה</w:t>
      </w:r>
      <w:r>
        <w:rPr>
          <w:rtl w:val="true"/>
        </w:rPr>
        <w:t xml:space="preserve">, </w:t>
      </w:r>
      <w:r>
        <w:rPr>
          <w:rtl w:val="true"/>
        </w:rPr>
        <w:t>ירכיה ובטנה</w:t>
      </w:r>
      <w:r>
        <w:rPr>
          <w:rtl w:val="true"/>
        </w:rPr>
        <w:t xml:space="preserve">;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שאל אותה המערער אם כואב לה</w:t>
      </w:r>
      <w:r>
        <w:rPr>
          <w:rtl w:val="true"/>
        </w:rPr>
        <w:t xml:space="preserve">, </w:t>
      </w:r>
      <w:r>
        <w:rPr>
          <w:rtl w:val="true"/>
        </w:rPr>
        <w:t>מה היא מרגישה</w:t>
      </w:r>
      <w:r>
        <w:rPr>
          <w:rtl w:val="true"/>
        </w:rPr>
        <w:t xml:space="preserve">, </w:t>
      </w:r>
      <w:r>
        <w:rPr>
          <w:rtl w:val="true"/>
        </w:rPr>
        <w:t xml:space="preserve">ואם היא </w:t>
      </w:r>
      <w:r>
        <w:rPr>
          <w:rtl w:val="true"/>
        </w:rPr>
        <w:t>'</w:t>
      </w:r>
      <w:r>
        <w:rPr>
          <w:rtl w:val="true"/>
        </w:rPr>
        <w:t>מתחרמנת</w:t>
      </w:r>
      <w:r>
        <w:rPr>
          <w:rtl w:val="true"/>
        </w:rPr>
        <w:t xml:space="preserve">'.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אמרה למערער שהיא לא מרגישה בנוח</w:t>
      </w:r>
      <w:r>
        <w:rPr>
          <w:rtl w:val="true"/>
        </w:rPr>
        <w:t xml:space="preserve">, </w:t>
      </w:r>
      <w:r>
        <w:rPr>
          <w:rtl w:val="true"/>
        </w:rPr>
        <w:t>ושכואב לה</w:t>
      </w:r>
      <w:r>
        <w:rPr>
          <w:rtl w:val="true"/>
        </w:rPr>
        <w:t xml:space="preserve">;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אמר לה המערער שאולי היא צריכה ללכת לשירותים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המשיך המערער וליטף את ב</w:t>
      </w:r>
      <w:r>
        <w:rPr>
          <w:rtl w:val="true"/>
        </w:rPr>
        <w:t xml:space="preserve">' </w:t>
      </w:r>
      <w:r>
        <w:rPr>
          <w:rtl w:val="true"/>
        </w:rPr>
        <w:t>באזור הבטן</w:t>
      </w:r>
      <w:r>
        <w:rPr>
          <w:rtl w:val="true"/>
        </w:rPr>
        <w:t xml:space="preserve">, </w:t>
      </w:r>
      <w:r>
        <w:rPr>
          <w:rtl w:val="true"/>
        </w:rPr>
        <w:t>עד שהגיע עם ידו סמוך מתחת לחזה שלה</w:t>
      </w:r>
      <w:r>
        <w:rPr>
          <w:rtl w:val="true"/>
        </w:rPr>
        <w:t xml:space="preserve">. </w:t>
      </w:r>
      <w:r>
        <w:rPr>
          <w:rtl w:val="true"/>
        </w:rPr>
        <w:t>אז נבהלה ב</w:t>
      </w:r>
      <w:r>
        <w:rPr>
          <w:rtl w:val="true"/>
        </w:rPr>
        <w:t xml:space="preserve">', </w:t>
      </w:r>
      <w:r>
        <w:rPr>
          <w:rtl w:val="true"/>
        </w:rPr>
        <w:t>ואמרה שהיא צריכה ללכת לשירותים</w:t>
      </w:r>
      <w:r>
        <w:rPr>
          <w:rtl w:val="true"/>
        </w:rPr>
        <w:t xml:space="preserve">; </w:t>
      </w:r>
      <w:r>
        <w:rPr>
          <w:rtl w:val="true"/>
        </w:rPr>
        <w:t>בטרם יצאה לשירותים</w:t>
      </w:r>
      <w:r>
        <w:rPr>
          <w:rtl w:val="true"/>
        </w:rPr>
        <w:t xml:space="preserve">, </w:t>
      </w:r>
      <w:r>
        <w:rPr>
          <w:rtl w:val="true"/>
        </w:rPr>
        <w:t>ביצע בה המערער בדיקת אולטרסאונד</w:t>
      </w:r>
      <w:r>
        <w:rPr>
          <w:rtl w:val="true"/>
        </w:rPr>
        <w:t xml:space="preserve">. </w:t>
      </w:r>
      <w:r>
        <w:rPr>
          <w:rtl w:val="true"/>
        </w:rPr>
        <w:t>כשחזרה לחדר הטיפולים</w:t>
      </w:r>
      <w:r>
        <w:rPr>
          <w:rtl w:val="true"/>
        </w:rPr>
        <w:t xml:space="preserve">, </w:t>
      </w:r>
      <w:r>
        <w:rPr>
          <w:rtl w:val="true"/>
        </w:rPr>
        <w:t xml:space="preserve">אמר לה המערער שיבצע את הניתוח תמורת סכום של </w:t>
      </w:r>
      <w:r>
        <w:rPr/>
        <w:t>2,000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4,000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 xml:space="preserve">משום שהיא </w:t>
      </w:r>
      <w:r>
        <w:rPr>
          <w:rtl w:val="true"/>
        </w:rPr>
        <w:t>'</w:t>
      </w:r>
      <w:r>
        <w:rPr>
          <w:rtl w:val="true"/>
        </w:rPr>
        <w:t>מיוחדת</w:t>
      </w:r>
      <w:r>
        <w:rPr>
          <w:rtl w:val="true"/>
        </w:rPr>
        <w:t xml:space="preserve">';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שאל המערער את ב</w:t>
      </w:r>
      <w:r>
        <w:rPr>
          <w:rtl w:val="true"/>
        </w:rPr>
        <w:t xml:space="preserve">',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על מה היא </w:t>
      </w:r>
      <w:r>
        <w:rPr>
          <w:rtl w:val="true"/>
        </w:rPr>
        <w:t>'</w:t>
      </w:r>
      <w:r>
        <w:rPr>
          <w:rtl w:val="true"/>
        </w:rPr>
        <w:t>מפנטזת</w:t>
      </w:r>
      <w:r>
        <w:rPr>
          <w:rtl w:val="true"/>
        </w:rPr>
        <w:t xml:space="preserve">', </w:t>
      </w:r>
      <w:r>
        <w:rPr>
          <w:rtl w:val="true"/>
        </w:rPr>
        <w:t>מה היא אוהבת בגבר</w:t>
      </w:r>
      <w:r>
        <w:rPr>
          <w:rtl w:val="true"/>
        </w:rPr>
        <w:t xml:space="preserve">, </w:t>
      </w:r>
      <w:r>
        <w:rPr>
          <w:rtl w:val="true"/>
        </w:rPr>
        <w:t>ואמר לה שהיא יפה</w:t>
      </w:r>
      <w:r>
        <w:rPr>
          <w:rtl w:val="true"/>
        </w:rPr>
        <w:t xml:space="preserve">. </w:t>
      </w:r>
      <w:r>
        <w:rPr>
          <w:rtl w:val="true"/>
        </w:rPr>
        <w:t xml:space="preserve">בתום </w:t>
      </w:r>
      <w:r>
        <w:rPr>
          <w:rtl w:val="true"/>
        </w:rPr>
        <w:t>'</w:t>
      </w:r>
      <w:r>
        <w:rPr>
          <w:rtl w:val="true"/>
        </w:rPr>
        <w:t>הטיפול</w:t>
      </w:r>
      <w:r>
        <w:rPr>
          <w:rtl w:val="true"/>
        </w:rPr>
        <w:t xml:space="preserve">', </w:t>
      </w:r>
      <w:r>
        <w:rPr>
          <w:rtl w:val="true"/>
        </w:rPr>
        <w:t>כאשר קרבה ב</w:t>
      </w:r>
      <w:r>
        <w:rPr>
          <w:rtl w:val="true"/>
        </w:rPr>
        <w:t xml:space="preserve">' </w:t>
      </w:r>
      <w:r>
        <w:rPr>
          <w:rtl w:val="true"/>
        </w:rPr>
        <w:t>לעבר דלת המרפאה</w:t>
      </w:r>
      <w:r>
        <w:rPr>
          <w:rtl w:val="true"/>
        </w:rPr>
        <w:t xml:space="preserve">, </w:t>
      </w:r>
      <w:r>
        <w:rPr>
          <w:rtl w:val="true"/>
        </w:rPr>
        <w:t>נשק המערער על לחיהּ</w:t>
      </w:r>
      <w:r>
        <w:rPr>
          <w:rtl w:val="true"/>
        </w:rPr>
        <w:t xml:space="preserve">, </w:t>
      </w:r>
      <w:r>
        <w:rPr>
          <w:rtl w:val="true"/>
        </w:rPr>
        <w:t>ללא הסכמתה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בחלוף כחודשיים</w:t>
      </w:r>
      <w:r>
        <w:rPr>
          <w:rtl w:val="true"/>
        </w:rPr>
        <w:t xml:space="preserve">, </w:t>
      </w:r>
      <w:r>
        <w:rPr>
          <w:rtl w:val="true"/>
        </w:rPr>
        <w:t>הגיעה ב</w:t>
      </w:r>
      <w:r>
        <w:rPr>
          <w:rtl w:val="true"/>
        </w:rPr>
        <w:t xml:space="preserve">' </w:t>
      </w:r>
      <w:r>
        <w:rPr>
          <w:rtl w:val="true"/>
        </w:rPr>
        <w:t>למרפאתו של המערער בשנית</w:t>
      </w:r>
      <w:r>
        <w:rPr>
          <w:rtl w:val="true"/>
        </w:rPr>
        <w:t xml:space="preserve">; </w:t>
      </w:r>
      <w:r>
        <w:rPr>
          <w:rtl w:val="true"/>
        </w:rPr>
        <w:t>המערער שאל אותה אם היא רוצה לשתות משהו חריף</w:t>
      </w:r>
      <w:r>
        <w:rPr>
          <w:rtl w:val="true"/>
        </w:rPr>
        <w:t xml:space="preserve">, </w:t>
      </w:r>
      <w:r>
        <w:rPr>
          <w:rtl w:val="true"/>
        </w:rPr>
        <w:t>ומזג לשניהם בירה</w:t>
      </w:r>
      <w:r>
        <w:rPr>
          <w:rtl w:val="true"/>
        </w:rPr>
        <w:t xml:space="preserve">. </w:t>
      </w:r>
      <w:r>
        <w:rPr>
          <w:rtl w:val="true"/>
        </w:rPr>
        <w:t>הוא ביקש לבדוק אותה</w:t>
      </w:r>
      <w:r>
        <w:rPr>
          <w:rtl w:val="true"/>
        </w:rPr>
        <w:t xml:space="preserve">, </w:t>
      </w:r>
      <w:r>
        <w:rPr>
          <w:rtl w:val="true"/>
        </w:rPr>
        <w:t>אך ב</w:t>
      </w:r>
      <w:r>
        <w:rPr>
          <w:rtl w:val="true"/>
        </w:rPr>
        <w:t xml:space="preserve">' </w:t>
      </w:r>
      <w:r>
        <w:rPr>
          <w:rtl w:val="true"/>
        </w:rPr>
        <w:t>סרבה</w:t>
      </w:r>
      <w:r>
        <w:rPr>
          <w:rtl w:val="true"/>
        </w:rPr>
        <w:t xml:space="preserve">. </w:t>
      </w:r>
      <w:r>
        <w:rPr>
          <w:rtl w:val="true"/>
        </w:rPr>
        <w:t>המערער אמר ל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 xml:space="preserve">כי </w:t>
      </w:r>
      <w:r>
        <w:rPr>
          <w:rtl w:val="true"/>
        </w:rPr>
        <w:t>'</w:t>
      </w:r>
      <w:r>
        <w:rPr>
          <w:rtl w:val="true"/>
        </w:rPr>
        <w:t>פינטז</w:t>
      </w:r>
      <w:r>
        <w:rPr>
          <w:rtl w:val="true"/>
        </w:rPr>
        <w:t xml:space="preserve">' </w:t>
      </w:r>
      <w:r>
        <w:rPr>
          <w:rtl w:val="true"/>
        </w:rPr>
        <w:t>עליה מאז הפעם האחרונה בה נבדקה אצלו</w:t>
      </w:r>
      <w:r>
        <w:rPr>
          <w:rtl w:val="true"/>
        </w:rPr>
        <w:t xml:space="preserve">. </w:t>
      </w:r>
      <w:r>
        <w:rPr>
          <w:rtl w:val="true"/>
        </w:rPr>
        <w:t>אחר הדברים הללו</w:t>
      </w:r>
      <w:r>
        <w:rPr>
          <w:rtl w:val="true"/>
        </w:rPr>
        <w:t xml:space="preserve">, </w:t>
      </w:r>
      <w:r>
        <w:rPr>
          <w:rtl w:val="true"/>
        </w:rPr>
        <w:t>עזבה ב</w:t>
      </w:r>
      <w:r>
        <w:rPr>
          <w:rtl w:val="true"/>
        </w:rPr>
        <w:t xml:space="preserve">' </w:t>
      </w:r>
      <w:r>
        <w:rPr>
          <w:rtl w:val="true"/>
        </w:rPr>
        <w:t>את המרפאה</w:t>
      </w:r>
      <w:r>
        <w:rPr>
          <w:rtl w:val="true"/>
        </w:rPr>
        <w:t xml:space="preserve">. </w:t>
      </w:r>
      <w:r>
        <w:rPr>
          <w:rtl w:val="true"/>
        </w:rPr>
        <w:t>בחלוף חודשיים נוספים</w:t>
      </w:r>
      <w:r>
        <w:rPr>
          <w:rtl w:val="true"/>
        </w:rPr>
        <w:t xml:space="preserve">, </w:t>
      </w:r>
      <w:r>
        <w:rPr>
          <w:rtl w:val="true"/>
        </w:rPr>
        <w:t>הגיעה ב</w:t>
      </w:r>
      <w:r>
        <w:rPr>
          <w:rtl w:val="true"/>
        </w:rPr>
        <w:t xml:space="preserve">' </w:t>
      </w:r>
      <w:r>
        <w:rPr>
          <w:rtl w:val="true"/>
        </w:rPr>
        <w:t>לבית החולים שבו עבד המערער</w:t>
      </w:r>
      <w:r>
        <w:rPr>
          <w:rtl w:val="true"/>
        </w:rPr>
        <w:t xml:space="preserve">, </w:t>
      </w:r>
      <w:r>
        <w:rPr>
          <w:rtl w:val="true"/>
        </w:rPr>
        <w:t>וביקשה ממנו מרשם לגלולות למניעת הריון</w:t>
      </w:r>
      <w:r>
        <w:rPr>
          <w:rtl w:val="true"/>
        </w:rPr>
        <w:t xml:space="preserve">. </w:t>
      </w:r>
      <w:r>
        <w:rPr>
          <w:rtl w:val="true"/>
        </w:rPr>
        <w:t>במהלך הפגישה</w:t>
      </w:r>
      <w:r>
        <w:rPr>
          <w:rtl w:val="true"/>
        </w:rPr>
        <w:t xml:space="preserve">, </w:t>
      </w:r>
      <w:r>
        <w:rPr>
          <w:rtl w:val="true"/>
        </w:rPr>
        <w:t>אמר לה המערער שהיא יפה</w:t>
      </w:r>
      <w:r>
        <w:rPr>
          <w:rtl w:val="true"/>
        </w:rPr>
        <w:t xml:space="preserve">, </w:t>
      </w:r>
      <w:r>
        <w:rPr>
          <w:rtl w:val="true"/>
        </w:rPr>
        <w:t>שהוא נמשך אליה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רופא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הלחי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לדוגמא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שתקחי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מישהו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בגין מסכת זו</w:t>
      </w:r>
      <w:r>
        <w:rPr>
          <w:rtl w:val="true"/>
        </w:rPr>
        <w:t xml:space="preserve">, </w:t>
      </w:r>
      <w:r>
        <w:rPr>
          <w:rtl w:val="true"/>
        </w:rPr>
        <w:t>הואשם המערער בעבירת אינוס במרמה</w:t>
      </w:r>
      <w:r>
        <w:rPr>
          <w:rtl w:val="true"/>
        </w:rPr>
        <w:t xml:space="preserve">, </w:t>
      </w:r>
      <w:r>
        <w:rPr>
          <w:rtl w:val="true"/>
        </w:rPr>
        <w:t>בשתי עבירות של מעשים מגונים</w:t>
      </w:r>
      <w:r>
        <w:rPr>
          <w:rtl w:val="true"/>
        </w:rPr>
        <w:t xml:space="preserve">, </w:t>
      </w:r>
      <w:r>
        <w:rPr>
          <w:rtl w:val="true"/>
        </w:rPr>
        <w:t>ובשלוש עבירות של הטרדה מינית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תשובת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המערער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כפר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בביצוע המעשים שיוחסו לו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באשר לאישום הראשון</w:t>
      </w:r>
      <w:r>
        <w:rPr>
          <w:rtl w:val="true"/>
        </w:rPr>
        <w:t xml:space="preserve">, </w:t>
      </w:r>
      <w:r>
        <w:rPr>
          <w:rtl w:val="true"/>
        </w:rPr>
        <w:t>טען כי הוא זוכר את האירוע רק באופן כללי</w:t>
      </w:r>
      <w:r>
        <w:rPr>
          <w:rtl w:val="true"/>
        </w:rPr>
        <w:t xml:space="preserve">, </w:t>
      </w:r>
      <w:r>
        <w:rPr>
          <w:rtl w:val="true"/>
        </w:rPr>
        <w:t>וכי אינו זוכר שאירע במסגרתו דבר חריג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הוא ביצע ב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בדיקה גניקולוגית תקינה</w:t>
      </w:r>
      <w:r>
        <w:rPr>
          <w:rtl w:val="true"/>
        </w:rPr>
        <w:t xml:space="preserve">, </w:t>
      </w:r>
      <w:r>
        <w:rPr>
          <w:rtl w:val="true"/>
        </w:rPr>
        <w:t>בהתאם לנוהג הטיפולי המקובל</w:t>
      </w:r>
      <w:r>
        <w:rPr>
          <w:rtl w:val="true"/>
        </w:rPr>
        <w:t xml:space="preserve">, </w:t>
      </w:r>
      <w:r>
        <w:rPr>
          <w:rtl w:val="true"/>
        </w:rPr>
        <w:t>באמצעות החדרת שתי אצבעות לאיבר מינה פעם אחת בלבד</w:t>
      </w:r>
      <w:r>
        <w:rPr>
          <w:rtl w:val="true"/>
        </w:rPr>
        <w:t xml:space="preserve">. </w:t>
      </w:r>
      <w:r>
        <w:rPr>
          <w:rtl w:val="true"/>
        </w:rPr>
        <w:t>המערער כפר בטענה 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הגיעה לסיפוק מיני בעת הבדיקה שביצע</w:t>
      </w:r>
      <w:r>
        <w:rPr>
          <w:rtl w:val="true"/>
        </w:rPr>
        <w:t xml:space="preserve">, </w:t>
      </w:r>
      <w:r>
        <w:rPr>
          <w:rtl w:val="true"/>
        </w:rPr>
        <w:t>והדגיש כי הוא נוהג לכסות את המטופלות במהלך הבדיקה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start"/>
        <w:rPr/>
      </w:pPr>
      <w:r>
        <w:rPr>
          <w:b/>
          <w:b/>
          <w:rtl w:val="true"/>
        </w:rPr>
        <w:t>למגע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הנוסף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שיוחס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לו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טען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יתכן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שהניח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ידו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בטנה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בחלק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מזמן</w:t>
      </w:r>
      <w:r>
        <w:rPr>
          <w:b/>
          <w:b/>
          <w:rtl w:val="true"/>
        </w:rPr>
        <w:t xml:space="preserve"> </w:t>
      </w:r>
      <w:r>
        <w:rPr>
          <w:b/>
          <w:b/>
          <w:rtl w:val="true"/>
        </w:rPr>
        <w:t>הבדיקה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לצורך</w:t>
      </w:r>
      <w:r>
        <w:rPr>
          <w:bCs/>
          <w:rtl w:val="true"/>
        </w:rPr>
        <w:t xml:space="preserve"> </w:t>
      </w:r>
      <w:r>
        <w:rPr>
          <w:rtl w:val="true"/>
        </w:rPr>
        <w:t>אבחון דלקת</w:t>
      </w:r>
      <w:r>
        <w:rPr>
          <w:rtl w:val="true"/>
        </w:rPr>
        <w:t xml:space="preserve">. </w:t>
      </w:r>
      <w:r>
        <w:rPr>
          <w:rtl w:val="true"/>
        </w:rPr>
        <w:t>עוד טען</w:t>
      </w:r>
      <w:r>
        <w:rPr>
          <w:rtl w:val="true"/>
        </w:rPr>
        <w:t xml:space="preserve">, </w:t>
      </w:r>
      <w:r>
        <w:rPr>
          <w:rtl w:val="true"/>
        </w:rPr>
        <w:t>כי כלל לא ביצע בדיקת אולטרסאונד</w:t>
      </w:r>
      <w:r>
        <w:rPr>
          <w:rtl w:val="true"/>
        </w:rPr>
        <w:t xml:space="preserve">. </w:t>
      </w:r>
      <w:r>
        <w:rPr>
          <w:rtl w:val="true"/>
        </w:rPr>
        <w:t>לגבי הניתוח אותו ביקשה ב</w:t>
      </w:r>
      <w:r>
        <w:rPr>
          <w:rtl w:val="true"/>
        </w:rPr>
        <w:t xml:space="preserve">'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ציין המערער</w:t>
      </w:r>
      <w:r>
        <w:rPr>
          <w:rtl w:val="true"/>
        </w:rPr>
        <w:t xml:space="preserve">, </w:t>
      </w:r>
      <w:r>
        <w:rPr>
          <w:rtl w:val="true"/>
        </w:rPr>
        <w:t>כי הצעתו להנחה במחיר ניתנה בעקבות בקשתה</w:t>
      </w:r>
      <w:r>
        <w:rPr>
          <w:rtl w:val="true"/>
        </w:rPr>
        <w:t xml:space="preserve">, </w:t>
      </w:r>
      <w:r>
        <w:rPr>
          <w:rtl w:val="true"/>
        </w:rPr>
        <w:t>וכי רצה לעזור לה</w:t>
      </w:r>
      <w:r>
        <w:rPr>
          <w:rtl w:val="true"/>
        </w:rPr>
        <w:t xml:space="preserve">. </w:t>
      </w:r>
      <w:r>
        <w:rPr>
          <w:rtl w:val="true"/>
        </w:rPr>
        <w:t>בכל הנוגע לפגישתם השנייה</w:t>
      </w:r>
      <w:r>
        <w:rPr>
          <w:rtl w:val="true"/>
        </w:rPr>
        <w:t xml:space="preserve">, </w:t>
      </w:r>
      <w:r>
        <w:rPr>
          <w:rtl w:val="true"/>
        </w:rPr>
        <w:t>אישר המערער כי הציע ל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לשתות</w:t>
      </w:r>
      <w:r>
        <w:rPr>
          <w:rtl w:val="true"/>
        </w:rPr>
        <w:t xml:space="preserve">, </w:t>
      </w:r>
      <w:r>
        <w:rPr>
          <w:rtl w:val="true"/>
        </w:rPr>
        <w:t>וכאשר נענה בחיוב</w:t>
      </w:r>
      <w:r>
        <w:rPr>
          <w:rtl w:val="true"/>
        </w:rPr>
        <w:t xml:space="preserve">, </w:t>
      </w:r>
      <w:r>
        <w:rPr>
          <w:rtl w:val="true"/>
        </w:rPr>
        <w:t>מזג לשניהם כוס בירה</w:t>
      </w:r>
      <w:r>
        <w:rPr>
          <w:rtl w:val="true"/>
        </w:rPr>
        <w:t xml:space="preserve">; </w:t>
      </w:r>
      <w:r>
        <w:rPr>
          <w:rtl w:val="true"/>
        </w:rPr>
        <w:t>אך הכחיש כי רצה לבדוק אותה</w:t>
      </w:r>
      <w:r>
        <w:rPr>
          <w:rtl w:val="true"/>
        </w:rPr>
        <w:t xml:space="preserve">, </w:t>
      </w:r>
      <w:r>
        <w:rPr>
          <w:rtl w:val="true"/>
        </w:rPr>
        <w:t>ואמר כי מטרת הפגישה היתה לסכם פרטים ביחס לניתוח</w:t>
      </w:r>
      <w:r>
        <w:rPr>
          <w:rtl w:val="true"/>
        </w:rPr>
        <w:t xml:space="preserve">, </w:t>
      </w:r>
      <w:r>
        <w:rPr>
          <w:rtl w:val="true"/>
        </w:rPr>
        <w:t>וממילא לא תוכננה במהלכה כל בדיקה</w:t>
      </w:r>
      <w:r>
        <w:rPr>
          <w:rtl w:val="true"/>
        </w:rPr>
        <w:t xml:space="preserve">. </w:t>
      </w:r>
      <w:r>
        <w:rPr>
          <w:rtl w:val="true"/>
        </w:rPr>
        <w:t>באשר לפגישתם השלישית בבית החולים</w:t>
      </w:r>
      <w:r>
        <w:rPr>
          <w:rtl w:val="true"/>
        </w:rPr>
        <w:t xml:space="preserve">, </w:t>
      </w:r>
      <w:r>
        <w:rPr>
          <w:rtl w:val="true"/>
        </w:rPr>
        <w:t>ולדברים שיוחסו לו באותו מפגש</w:t>
      </w:r>
      <w:r>
        <w:rPr>
          <w:rtl w:val="true"/>
        </w:rPr>
        <w:t xml:space="preserve">, </w:t>
      </w:r>
      <w:r>
        <w:rPr>
          <w:rtl w:val="true"/>
        </w:rPr>
        <w:t>טען המערער כי שלא כמתואר בכתב האישום</w:t>
      </w:r>
      <w:r>
        <w:rPr>
          <w:rtl w:val="true"/>
        </w:rPr>
        <w:t xml:space="preserve">, </w:t>
      </w:r>
      <w:r>
        <w:rPr>
          <w:rtl w:val="true"/>
        </w:rPr>
        <w:t>דיבר אל ב</w:t>
      </w:r>
      <w:r>
        <w:rPr>
          <w:rtl w:val="true"/>
        </w:rPr>
        <w:t xml:space="preserve">' </w:t>
      </w:r>
      <w:r>
        <w:rPr>
          <w:rtl w:val="true"/>
        </w:rPr>
        <w:t>מתוך רגש חיבה שחש כלפיה</w:t>
      </w:r>
      <w:r>
        <w:rPr>
          <w:rtl w:val="true"/>
        </w:rPr>
        <w:t xml:space="preserve">. </w:t>
      </w:r>
      <w:r>
        <w:rPr>
          <w:rtl w:val="true"/>
        </w:rPr>
        <w:t>עוד תיאר המערער</w:t>
      </w:r>
      <w:r>
        <w:rPr>
          <w:rtl w:val="true"/>
        </w:rPr>
        <w:t xml:space="preserve">, </w:t>
      </w:r>
      <w:r>
        <w:rPr>
          <w:rtl w:val="true"/>
        </w:rPr>
        <w:t>כי עובר להגשת תלונתה של ב</w:t>
      </w:r>
      <w:r>
        <w:rPr>
          <w:rtl w:val="true"/>
        </w:rPr>
        <w:t xml:space="preserve">'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ניסה עו</w:t>
      </w:r>
      <w:r>
        <w:rPr>
          <w:rtl w:val="true"/>
        </w:rPr>
        <w:t>"</w:t>
      </w:r>
      <w:r>
        <w:rPr>
          <w:rtl w:val="true"/>
        </w:rPr>
        <w:t>ד ניקולא ללחוץ עליו להגיע להסדר שיכלול פיצוי כספי עבור ב</w:t>
      </w:r>
      <w:r>
        <w:rPr>
          <w:rtl w:val="true"/>
        </w:rPr>
        <w:t xml:space="preserve">', </w:t>
      </w:r>
      <w:r>
        <w:rPr>
          <w:rtl w:val="true"/>
        </w:rPr>
        <w:t>תוך שהציג לפניו מצג שווא כי הוא פועל לטובתו</w:t>
      </w:r>
      <w:r>
        <w:rPr>
          <w:rtl w:val="true"/>
        </w:rPr>
        <w:t xml:space="preserve">, </w:t>
      </w:r>
      <w:r>
        <w:rPr>
          <w:rtl w:val="true"/>
        </w:rPr>
        <w:t>ומעוניין לחסוך ממנו את הגשת התלונה</w:t>
      </w:r>
      <w:r>
        <w:rPr>
          <w:rtl w:val="true"/>
        </w:rPr>
        <w:t xml:space="preserve">. </w:t>
      </w:r>
      <w:r>
        <w:rPr>
          <w:rtl w:val="true"/>
        </w:rPr>
        <w:t>הדברים הללו מלמדים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כי מדובר בניסיון מתוחכם מצדה של ב</w:t>
      </w:r>
      <w:r>
        <w:rPr>
          <w:rtl w:val="true"/>
        </w:rPr>
        <w:t xml:space="preserve">' </w:t>
      </w:r>
      <w:r>
        <w:rPr>
          <w:rtl w:val="true"/>
        </w:rPr>
        <w:t>להעליל עליו אמירות שלא אמר ומעשים שלא עשה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בהכרעת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מקיפה</w:t>
      </w:r>
      <w:r>
        <w:rPr>
          <w:rtl w:val="true"/>
        </w:rPr>
        <w:t xml:space="preserve"> </w:t>
      </w:r>
      <w:r>
        <w:rPr>
          <w:rtl w:val="true"/>
        </w:rPr>
        <w:t>ומנומקת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מבוססת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עדויותיהן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נפגעות העבירה</w:t>
      </w:r>
      <w:r>
        <w:rPr>
          <w:rtl w:val="true"/>
        </w:rPr>
        <w:t xml:space="preserve">, </w:t>
      </w:r>
      <w:r>
        <w:rPr>
          <w:rtl w:val="true"/>
        </w:rPr>
        <w:t>וכן על עדים נוספים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שיוחסו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 </w:t>
      </w:r>
      <w:r>
        <w:rPr>
          <w:rtl w:val="true"/>
        </w:rPr>
        <w:t>בעדויותיהן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הנפגעות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באשר 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א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נקבע כי תיאור הדברים כפי שנמסר על ידה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היטב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שחלף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וכי מסקנותיה משקפות נאמנה את שהתרחש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נשואה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הנידון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היטב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גניקולוגית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חשודה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 w:val="22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עמוד </w:t>
      </w:r>
      <w:r>
        <w:rPr/>
        <w:t>104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גם אם נמצאו פערים מסוימים בין עדותה בבית המשפט ל</w:t>
      </w:r>
      <w:r>
        <w:rPr>
          <w:rtl w:val="true"/>
        </w:rPr>
        <w:t>אמרותיה</w:t>
      </w:r>
      <w:r>
        <w:rPr>
          <w:rtl w:val="true"/>
        </w:rPr>
        <w:t xml:space="preserve"> במשטרה</w:t>
      </w:r>
      <w:r>
        <w:rPr>
          <w:rtl w:val="true"/>
        </w:rPr>
        <w:t xml:space="preserve">, </w:t>
      </w:r>
      <w:r>
        <w:rPr>
          <w:rtl w:val="true"/>
        </w:rPr>
        <w:t>הרי שיש לייחס אותם לקשייה לשתף בדברים כהווייתם</w:t>
      </w:r>
      <w:r>
        <w:rPr>
          <w:rtl w:val="true"/>
        </w:rPr>
        <w:t xml:space="preserve">, </w:t>
      </w:r>
      <w:r>
        <w:rPr>
          <w:rtl w:val="true"/>
        </w:rPr>
        <w:t>ולקשיים מסוימים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בתקשורת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חוקריה</w:t>
      </w:r>
      <w:r>
        <w:rPr>
          <w:rtl w:val="true"/>
        </w:rPr>
        <w:t xml:space="preserve">. </w:t>
      </w:r>
      <w:r>
        <w:rPr>
          <w:rtl w:val="true"/>
        </w:rPr>
        <w:t>בית המשפט המחוזי דחה מכל וכל את התמיהות עליהן הצביעה ההגנה ביחס להעדר סימנים של עוררות מינית אצל המערער</w:t>
      </w:r>
      <w:r>
        <w:rPr>
          <w:rtl w:val="true"/>
        </w:rPr>
        <w:t xml:space="preserve">; </w:t>
      </w:r>
      <w:r>
        <w:rPr>
          <w:rtl w:val="true"/>
        </w:rPr>
        <w:t>באשר לנוכחות בן זוגה מחוץ למרפאה</w:t>
      </w:r>
      <w:r>
        <w:rPr>
          <w:rtl w:val="true"/>
        </w:rPr>
        <w:t xml:space="preserve">; </w:t>
      </w:r>
      <w:r>
        <w:rPr>
          <w:rtl w:val="true"/>
        </w:rPr>
        <w:t xml:space="preserve">ולגבי השלב </w:t>
      </w:r>
      <w:r>
        <w:rPr>
          <w:rtl w:val="true"/>
        </w:rPr>
        <w:t>(</w:t>
      </w:r>
      <w:r>
        <w:rPr>
          <w:rtl w:val="true"/>
        </w:rPr>
        <w:t>המאוחר</w:t>
      </w:r>
      <w:r>
        <w:rPr>
          <w:rtl w:val="true"/>
        </w:rPr>
        <w:t xml:space="preserve">) </w:t>
      </w:r>
      <w:r>
        <w:rPr>
          <w:rtl w:val="true"/>
        </w:rPr>
        <w:t>שבו הבינה א</w:t>
      </w:r>
      <w:r>
        <w:rPr>
          <w:rtl w:val="true"/>
        </w:rPr>
        <w:t xml:space="preserve">' </w:t>
      </w:r>
      <w:r>
        <w:rPr>
          <w:rtl w:val="true"/>
        </w:rPr>
        <w:t>שמצב הדברים אינו כשורה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מצא בית המשפט המחוזי חיזוק לעדותה של א</w:t>
      </w:r>
      <w:r>
        <w:rPr>
          <w:rtl w:val="true"/>
        </w:rPr>
        <w:t xml:space="preserve">' </w:t>
      </w:r>
      <w:r>
        <w:rPr>
          <w:rtl w:val="true"/>
        </w:rPr>
        <w:t>בעדות בן זוגה</w:t>
      </w:r>
      <w:r>
        <w:rPr>
          <w:rtl w:val="true"/>
        </w:rPr>
        <w:t xml:space="preserve">, </w:t>
      </w:r>
      <w:r>
        <w:rPr>
          <w:rtl w:val="true"/>
        </w:rPr>
        <w:t>וכן בעדויות רופאי המשפחה והפסיכיאטרית עמם נפגשה א</w:t>
      </w:r>
      <w:r>
        <w:rPr>
          <w:rtl w:val="true"/>
        </w:rPr>
        <w:t xml:space="preserve">' </w:t>
      </w:r>
      <w:r>
        <w:rPr>
          <w:rtl w:val="true"/>
        </w:rPr>
        <w:t>לאחר האירוע</w:t>
      </w:r>
      <w:r>
        <w:rPr>
          <w:rtl w:val="true"/>
        </w:rPr>
        <w:t xml:space="preserve">, </w:t>
      </w:r>
      <w:r>
        <w:rPr>
          <w:rtl w:val="true"/>
        </w:rPr>
        <w:t>אשר דיווחו על מצבה הנפשי הקשה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>באשר לעדותה של ב</w:t>
      </w:r>
      <w:r>
        <w:rPr>
          <w:rtl w:val="true"/>
        </w:rPr>
        <w:t xml:space="preserve">', </w:t>
      </w:r>
      <w:r>
        <w:rPr>
          <w:rtl w:val="true"/>
        </w:rPr>
        <w:t>קבע בית המשפט המחוזי כי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תשובותיה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בוודאות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לאמיתה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בביטחון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התרשמותנו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אמצעית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מהשוואתה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להודעותיה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המשטרתית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תלונתה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מליבה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141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באשר לספקות ולתהיות שהועלו על</w:t>
      </w:r>
      <w:r>
        <w:rPr>
          <w:rtl w:val="true"/>
        </w:rPr>
        <w:t>-</w:t>
      </w:r>
      <w:r>
        <w:rPr>
          <w:rtl w:val="true"/>
        </w:rPr>
        <w:t>ידי ההגנה לגבי מהימנות עדותה של ב</w:t>
      </w:r>
      <w:r>
        <w:rPr>
          <w:rtl w:val="true"/>
        </w:rPr>
        <w:t xml:space="preserve">', </w:t>
      </w:r>
      <w:r>
        <w:rPr>
          <w:rtl w:val="true"/>
        </w:rPr>
        <w:t>סבר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הן באות על פתרונן באמצעות הבנת </w:t>
      </w:r>
      <w:r>
        <w:rPr>
          <w:rFonts w:ascii="Century" w:hAnsi="Century" w:cs="Century"/>
          <w:sz w:val="22"/>
          <w:sz w:val="22"/>
          <w:rtl w:val="true"/>
        </w:rPr>
        <w:t>נסיבות חייה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צוין כי בהיותה בת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נאנסה ב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קרוב משפחתה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>הוריה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נמנעו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מלדווח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המקרה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חרף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>תקיפה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הוסיפה ב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בהיותה ילדה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entury" w:hAnsi="Century" w:cs="Century"/>
          <w:sz w:val="22"/>
          <w:sz w:val="22"/>
          <w:rtl w:val="true"/>
        </w:rPr>
        <w:t>יתן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אמון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באותו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קרוב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משפחה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הוזהרה על ידי אחותה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לבל</w:t>
      </w:r>
      <w:r>
        <w:rPr>
          <w:rFonts w:ascii="Century" w:hAnsi="Century" w:cs="Century"/>
          <w:sz w:val="22"/>
          <w:sz w:val="22"/>
          <w:rtl w:val="true"/>
        </w:rPr>
        <w:t xml:space="preserve"> תוסיף לה</w:t>
      </w:r>
      <w:r>
        <w:rPr>
          <w:rFonts w:ascii="Century" w:hAnsi="Century" w:cs="Century"/>
          <w:sz w:val="22"/>
          <w:sz w:val="22"/>
          <w:rtl w:val="true"/>
        </w:rPr>
        <w:t>תקרב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אליו</w:t>
      </w:r>
      <w:r>
        <w:rPr>
          <w:rFonts w:ascii="Century" w:hAnsi="Century" w:cs="Century"/>
          <w:sz w:val="22"/>
          <w:sz w:val="22"/>
          <w:rtl w:val="true"/>
        </w:rPr>
        <w:t xml:space="preserve"> עוד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השפעות אירוע זה על נפשה של ב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כך לפי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מספקות הסבר לקושי שלה להאמין לאשר אירע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נאלצה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להתמודד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טראומה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משפחתה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שהפעם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רופא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חונכה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מוחלט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התקשתה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סירבה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להאמין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עמודים </w:t>
      </w:r>
      <w:r>
        <w:rPr>
          <w:rFonts w:cs="Century" w:ascii="Century" w:hAnsi="Century"/>
          <w:sz w:val="22"/>
        </w:rPr>
        <w:t>142-140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לקושי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מתווספות נסיבות הגעתה של 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אל המערער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רצונה לבצע ניתוח רגיש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עובר למועד חתונתהּ הקרב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בדיסקרטיות מלאה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מבלי ששיתפה בכך איש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היבטים אלה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לפי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שופכים אור על התנהגותה ועל עדותה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ומביאים לכלל מסקנה כי גרסתה אמת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נוסף על האמור</w:t>
      </w:r>
      <w:r>
        <w:rPr>
          <w:rtl w:val="true"/>
        </w:rPr>
        <w:t xml:space="preserve">, </w:t>
      </w:r>
      <w:r>
        <w:rPr>
          <w:rtl w:val="true"/>
        </w:rPr>
        <w:t>מצא בית המשפט המחוזי חיזוק לעדותה של ב</w:t>
      </w:r>
      <w:r>
        <w:rPr>
          <w:rtl w:val="true"/>
        </w:rPr>
        <w:t xml:space="preserve">' </w:t>
      </w:r>
      <w:r>
        <w:rPr>
          <w:rtl w:val="true"/>
        </w:rPr>
        <w:t>במצבה הנפשי הקשה לאחר קרות האירועים</w:t>
      </w:r>
      <w:r>
        <w:rPr>
          <w:rtl w:val="true"/>
        </w:rPr>
        <w:t xml:space="preserve">, </w:t>
      </w:r>
      <w:r>
        <w:rPr>
          <w:rtl w:val="true"/>
        </w:rPr>
        <w:t>שעליו העידו אחותה</w:t>
      </w:r>
      <w:r>
        <w:rPr>
          <w:rtl w:val="true"/>
        </w:rPr>
        <w:t xml:space="preserve">, </w:t>
      </w:r>
      <w:r>
        <w:rPr>
          <w:rtl w:val="true"/>
        </w:rPr>
        <w:t>הפסיכולוגית עִמה נפגשה</w:t>
      </w:r>
      <w:r>
        <w:rPr>
          <w:rtl w:val="true"/>
        </w:rPr>
        <w:t xml:space="preserve">, </w:t>
      </w:r>
      <w:r>
        <w:rPr>
          <w:rtl w:val="true"/>
        </w:rPr>
        <w:t>ופסיכולוגית נוספת</w:t>
      </w:r>
      <w:r>
        <w:rPr>
          <w:rtl w:val="true"/>
        </w:rPr>
        <w:t xml:space="preserve">, </w:t>
      </w:r>
      <w:r>
        <w:rPr>
          <w:rtl w:val="true"/>
        </w:rPr>
        <w:t>ידידת המשפחה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התרשמותו של בית המשפט המחוזי מהמערער היתה שלילית ביותר</w:t>
      </w:r>
      <w:r>
        <w:rPr>
          <w:rtl w:val="true"/>
        </w:rPr>
        <w:t xml:space="preserve">. </w:t>
      </w:r>
      <w:r>
        <w:rPr>
          <w:rtl w:val="true"/>
        </w:rPr>
        <w:t>גרסתו נדחתה מכל וכל</w:t>
      </w:r>
      <w:r>
        <w:rPr>
          <w:rtl w:val="true"/>
        </w:rPr>
        <w:t xml:space="preserve">, </w:t>
      </w:r>
      <w:r>
        <w:rPr>
          <w:rtl w:val="true"/>
        </w:rPr>
        <w:t>תוך שנקבע כי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בעדותו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לחזק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עוצמת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נגדו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להחלישן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התרשמותנו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אמצעית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;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להגיונם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הפנימי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לסבירותם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;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בוודאי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נכונים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להשתלבותם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במארג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הראייתי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הונח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לפנינו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נתגלעו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בקיעים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וסתירות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האבסורד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זעקה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והעמידו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ההתרשמות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מוכן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לטעון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לנסות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להרחיק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מעליו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ההאשמות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שהופנו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נגדו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אבסורדית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הגיונית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שתהא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188</w:t>
      </w:r>
      <w:r>
        <w:rPr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ההדגשות במקור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בית המשפט המחוזי עמד על שורה של סתירות וכשלים בעדותו של המערער</w:t>
      </w:r>
      <w:r>
        <w:rPr>
          <w:rtl w:val="true"/>
        </w:rPr>
        <w:t xml:space="preserve">. </w:t>
      </w:r>
      <w:r>
        <w:rPr>
          <w:rtl w:val="true"/>
        </w:rPr>
        <w:t>ביחס לאישום הראשון</w:t>
      </w:r>
      <w:r>
        <w:rPr>
          <w:rtl w:val="true"/>
        </w:rPr>
        <w:t xml:space="preserve">, </w:t>
      </w:r>
      <w:r>
        <w:rPr>
          <w:rtl w:val="true"/>
        </w:rPr>
        <w:t>דחה בית המשפט המחוזי את טענתו כי אינו זוכר את ביקורה של א</w:t>
      </w:r>
      <w:r>
        <w:rPr>
          <w:rtl w:val="true"/>
        </w:rPr>
        <w:t xml:space="preserve">' </w:t>
      </w:r>
      <w:r>
        <w:rPr>
          <w:rtl w:val="true"/>
        </w:rPr>
        <w:t>במרפאתו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 שנמצא כי זכר היטב</w:t>
      </w:r>
      <w:r>
        <w:rPr>
          <w:rtl w:val="true"/>
        </w:rPr>
        <w:t xml:space="preserve">, </w:t>
      </w:r>
      <w:r>
        <w:rPr>
          <w:rtl w:val="true"/>
        </w:rPr>
        <w:t>ומסר עדות ישירה</w:t>
      </w:r>
      <w:r>
        <w:rPr>
          <w:rtl w:val="true"/>
        </w:rPr>
        <w:t xml:space="preserve">, </w:t>
      </w:r>
      <w:r>
        <w:rPr>
          <w:rtl w:val="true"/>
        </w:rPr>
        <w:t>על שורה של עניינים הקשורים בביקור זה</w:t>
      </w:r>
      <w:r>
        <w:rPr>
          <w:rtl w:val="true"/>
        </w:rPr>
        <w:t xml:space="preserve">, </w:t>
      </w:r>
      <w:r>
        <w:rPr>
          <w:rtl w:val="true"/>
        </w:rPr>
        <w:t>לרבות פרטים שוליים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במהלך העימות בין א</w:t>
      </w:r>
      <w:r>
        <w:rPr>
          <w:rtl w:val="true"/>
        </w:rPr>
        <w:t xml:space="preserve">'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התברר כי זכר 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בכתה במהלך בדיקתה</w:t>
      </w:r>
      <w:r>
        <w:rPr>
          <w:rtl w:val="true"/>
        </w:rPr>
        <w:t xml:space="preserve">; </w:t>
      </w:r>
      <w:r>
        <w:rPr>
          <w:rtl w:val="true"/>
        </w:rPr>
        <w:t>על זו הדרך</w:t>
      </w:r>
      <w:r>
        <w:rPr>
          <w:rtl w:val="true"/>
        </w:rPr>
        <w:t xml:space="preserve">, </w:t>
      </w:r>
      <w:r>
        <w:rPr>
          <w:rtl w:val="true"/>
        </w:rPr>
        <w:t>בעדותו בבית המשפט</w:t>
      </w:r>
      <w:r>
        <w:rPr>
          <w:rtl w:val="true"/>
        </w:rPr>
        <w:t xml:space="preserve">, </w:t>
      </w:r>
      <w:r>
        <w:rPr>
          <w:rtl w:val="true"/>
        </w:rPr>
        <w:t>זכר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שלא ציין באוזני א</w:t>
      </w:r>
      <w:r>
        <w:rPr>
          <w:rtl w:val="true"/>
        </w:rPr>
        <w:t xml:space="preserve">' </w:t>
      </w:r>
      <w:r>
        <w:rPr>
          <w:rtl w:val="true"/>
        </w:rPr>
        <w:t>במהלך הטיפול כי היא יפה</w:t>
      </w:r>
      <w:r>
        <w:rPr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 לא מנע ממנה בידו להסתובב בחזרה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שביקש ממנה להפנות אליו את גבהּ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לא אמר לה שישמח לראות אותה שוב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מהמכלול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היטב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לשתף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זיכרון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עוד עמד בית המשפט המחוזי על טענות סותרות אותן השמיע המערער לגבי עניינים מקצועיים הקשורים בתלונתה של א</w:t>
      </w:r>
      <w:r>
        <w:rPr>
          <w:rtl w:val="true"/>
        </w:rPr>
        <w:t xml:space="preserve">', </w:t>
      </w:r>
      <w:r>
        <w:rPr>
          <w:rtl w:val="true"/>
        </w:rPr>
        <w:t>וקבע כי בלא קשר לשאלה איזו מהגרסאות נכונה</w:t>
      </w:r>
      <w:r>
        <w:rPr>
          <w:rtl w:val="true"/>
        </w:rPr>
        <w:t xml:space="preserve">, </w:t>
      </w:r>
      <w:r>
        <w:rPr>
          <w:rtl w:val="true"/>
        </w:rPr>
        <w:t xml:space="preserve">הרי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זגזג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אמינותו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189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>בכל הנוגע לאישום השני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עדות המערער הותירה רושם כּה רע</w:t>
      </w:r>
      <w:r>
        <w:rPr>
          <w:rtl w:val="true"/>
        </w:rPr>
        <w:t xml:space="preserve">, </w:t>
      </w:r>
      <w:r>
        <w:rPr>
          <w:rtl w:val="true"/>
        </w:rPr>
        <w:t xml:space="preserve">עד שיש בה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חיזוק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לאמינות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התלונה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220</w:t>
      </w:r>
      <w:r>
        <w:rPr>
          <w:rtl w:val="true"/>
        </w:rPr>
        <w:t xml:space="preserve">). </w:t>
      </w:r>
      <w:r>
        <w:rPr>
          <w:rtl w:val="true"/>
        </w:rPr>
        <w:t xml:space="preserve">טענת המערער לקיומו של סרטון מהפגישה הראשונה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הנעלם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המוכיח כי ב</w:t>
      </w:r>
      <w:r>
        <w:rPr>
          <w:rtl w:val="true"/>
        </w:rPr>
        <w:t xml:space="preserve">' </w:t>
      </w:r>
      <w:r>
        <w:rPr>
          <w:rtl w:val="true"/>
        </w:rPr>
        <w:t xml:space="preserve">הגיעה למרפאה מתוך כוונה להפלילו </w:t>
      </w:r>
      <w:r>
        <w:rPr>
          <w:rtl w:val="true"/>
        </w:rPr>
        <w:t>–</w:t>
      </w:r>
      <w:r>
        <w:rPr>
          <w:rtl w:val="true"/>
        </w:rPr>
        <w:t xml:space="preserve"> נדחתה מכל וכל</w:t>
      </w:r>
      <w:r>
        <w:rPr>
          <w:rtl w:val="true"/>
        </w:rPr>
        <w:t xml:space="preserve">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שלפיה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מרפאתו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במגמה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להפלילו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במפגש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תהליך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בדיקתה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אבסורדית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ואיננה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להתייחסות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רצינית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ועיקר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; 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גניקולוגית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רוטינית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פשוטה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בתוכנית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הסחיטה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בדומה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נקבע 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גרסת המערער</w:t>
      </w:r>
      <w:r>
        <w:rPr>
          <w:rtl w:val="true"/>
        </w:rPr>
        <w:t xml:space="preserve">, </w:t>
      </w:r>
      <w:r>
        <w:rPr>
          <w:rtl w:val="true"/>
        </w:rPr>
        <w:t>שלפיה עשרות הודעות שהוחלפו בינו לבין ב</w:t>
      </w:r>
      <w:r>
        <w:rPr>
          <w:rtl w:val="true"/>
        </w:rPr>
        <w:t xml:space="preserve">' </w:t>
      </w:r>
      <w:r>
        <w:rPr>
          <w:rtl w:val="true"/>
        </w:rPr>
        <w:t xml:space="preserve">נעלמו כתוצאה מפיצוץ שאירע במכשירו הסלולרי </w:t>
      </w:r>
      <w:r>
        <w:rPr>
          <w:rtl w:val="true"/>
        </w:rPr>
        <w:t>–</w:t>
      </w:r>
      <w:r>
        <w:rPr>
          <w:rtl w:val="true"/>
        </w:rPr>
        <w:t xml:space="preserve"> מופרכת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בהחלט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נמצא כי מכלול התנהלותו של המערער מול עו</w:t>
      </w:r>
      <w:r>
        <w:rPr>
          <w:rtl w:val="true"/>
        </w:rPr>
        <w:t>"</w:t>
      </w:r>
      <w:r>
        <w:rPr>
          <w:rtl w:val="true"/>
        </w:rPr>
        <w:t>ד ניקולא</w:t>
      </w:r>
      <w:r>
        <w:rPr>
          <w:rtl w:val="true"/>
        </w:rPr>
        <w:t xml:space="preserve">, </w:t>
      </w:r>
      <w:r>
        <w:rPr>
          <w:rtl w:val="true"/>
        </w:rPr>
        <w:t>ונכונותו לשלם סכום כסף משמעותי תמורת סיום הפרשה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לחפותו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165-160</w:t>
      </w:r>
      <w:r>
        <w:rPr>
          <w:rtl w:val="true"/>
        </w:rPr>
        <w:t xml:space="preserve">, </w:t>
      </w:r>
      <w:r>
        <w:rPr/>
        <w:t>192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  <w:highlight w:val="yellow"/>
        </w:rPr>
      </w:pPr>
      <w:r>
        <w:rPr>
          <w:rFonts w:cs="Miriam" w:ascii="Century" w:hAnsi="Century"/>
          <w:b/>
          <w:spacing w:val="0"/>
          <w:sz w:val="22"/>
          <w:szCs w:val="24"/>
          <w:highlight w:val="yellow"/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 xml:space="preserve">הוסיף ובחן בכובד ראש את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 xml:space="preserve">לקיומם של </w:t>
      </w:r>
      <w:r>
        <w:rPr>
          <w:rtl w:val="true"/>
        </w:rPr>
        <w:t>מחדלי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המקימים לו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עילה של הגנה מן הצדק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tl w:val="true"/>
        </w:rPr>
        <w:t xml:space="preserve">, </w:t>
      </w:r>
      <w:r>
        <w:rPr>
          <w:rtl w:val="true"/>
        </w:rPr>
        <w:t xml:space="preserve">כי אכן חלק ניכר מקלטות התיעוד של החקירות שבוצעו בתיק </w:t>
      </w:r>
      <w:r>
        <w:rPr>
          <w:rtl w:val="true"/>
        </w:rPr>
        <w:t>–</w:t>
      </w:r>
      <w:r>
        <w:rPr>
          <w:rtl w:val="true"/>
        </w:rPr>
        <w:t xml:space="preserve"> אינן</w:t>
      </w:r>
      <w:r>
        <w:rPr>
          <w:rtl w:val="true"/>
        </w:rPr>
        <w:t xml:space="preserve">; </w:t>
      </w:r>
      <w:r>
        <w:rPr>
          <w:rtl w:val="true"/>
        </w:rPr>
        <w:t>וכי ללא ספק מדובר במחדל חקירה משמעותי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משקלו של המחדל </w:t>
      </w:r>
      <w:r>
        <w:rPr>
          <w:rtl w:val="true"/>
        </w:rPr>
        <w:t>–</w:t>
      </w:r>
      <w:r>
        <w:rPr>
          <w:rtl w:val="true"/>
        </w:rPr>
        <w:t xml:space="preserve"> שולי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בהתבסס על התרשמותו הבלתי</w:t>
      </w:r>
      <w:r>
        <w:rPr>
          <w:rtl w:val="true"/>
        </w:rPr>
        <w:t>-</w:t>
      </w:r>
      <w:r>
        <w:rPr>
          <w:rtl w:val="true"/>
        </w:rPr>
        <w:t>אמצעית מהעדויות השונות</w:t>
      </w:r>
      <w:r>
        <w:rPr>
          <w:rtl w:val="true"/>
        </w:rPr>
        <w:t xml:space="preserve">, </w:t>
      </w:r>
      <w:r>
        <w:rPr>
          <w:rtl w:val="true"/>
        </w:rPr>
        <w:t>ובשים לב לכך ש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טען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בשום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שלב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שאבדן החומר הוריד לטמיון תיעוד של </w:t>
      </w:r>
      <w:r>
        <w:rPr>
          <w:rFonts w:ascii="Century" w:hAnsi="Century" w:cs="Century"/>
          <w:sz w:val="22"/>
          <w:sz w:val="22"/>
          <w:rtl w:val="true"/>
        </w:rPr>
        <w:t>דברים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חשובים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שאמר</w:t>
      </w:r>
      <w:r>
        <w:rPr>
          <w:rFonts w:ascii="Century" w:hAnsi="Century" w:cs="Century"/>
          <w:sz w:val="22"/>
          <w:sz w:val="22"/>
          <w:rtl w:val="true"/>
        </w:rPr>
        <w:t xml:space="preserve"> ב</w:t>
      </w:r>
      <w:r>
        <w:rPr>
          <w:rFonts w:ascii="Century" w:hAnsi="Century" w:cs="Century"/>
          <w:sz w:val="22"/>
          <w:sz w:val="22"/>
          <w:rtl w:val="true"/>
        </w:rPr>
        <w:t>חקירותיו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ש</w:t>
      </w:r>
      <w:r>
        <w:rPr>
          <w:rtl w:val="true"/>
        </w:rPr>
        <w:t>ממילא לא הוכח שנגרם נזק למערער</w:t>
      </w:r>
      <w:r>
        <w:rPr>
          <w:rtl w:val="true"/>
        </w:rPr>
        <w:t xml:space="preserve">, </w:t>
      </w:r>
      <w:r>
        <w:rPr>
          <w:rtl w:val="true"/>
        </w:rPr>
        <w:t>וליכולתו לטעון להגנתו</w:t>
      </w:r>
      <w:r>
        <w:rPr>
          <w:rtl w:val="true"/>
        </w:rPr>
        <w:t xml:space="preserve">. </w:t>
      </w:r>
      <w:r>
        <w:rPr>
          <w:rtl w:val="true"/>
        </w:rPr>
        <w:t>גם לגבי אמרותיהן של נפגעות העבירה בעדויותיהן במשטרה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לנוכח העובדה שהנפגעות מסרו את גרסותיהן באוזני צדדים שלישיים</w:t>
      </w:r>
      <w:r>
        <w:rPr>
          <w:rtl w:val="true"/>
        </w:rPr>
        <w:t xml:space="preserve">, </w:t>
      </w:r>
      <w:r>
        <w:rPr>
          <w:rtl w:val="true"/>
        </w:rPr>
        <w:t>עוד לפני שהתלוננו במשטרה</w:t>
      </w:r>
      <w:r>
        <w:rPr>
          <w:rtl w:val="true"/>
        </w:rPr>
        <w:t xml:space="preserve">, </w:t>
      </w:r>
      <w:r>
        <w:rPr>
          <w:rtl w:val="true"/>
        </w:rPr>
        <w:t>הרי שלא ניתן לומר שנגרם למערער נזק מאובדן הקלטות</w:t>
      </w:r>
      <w:r>
        <w:rPr>
          <w:rtl w:val="true"/>
        </w:rPr>
        <w:t xml:space="preserve">. </w:t>
      </w:r>
      <w:r>
        <w:rPr>
          <w:rtl w:val="true"/>
        </w:rPr>
        <w:t>לבסוף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גם טעמים של צדק</w:t>
      </w:r>
      <w:r>
        <w:rPr>
          <w:rtl w:val="true"/>
        </w:rPr>
        <w:t xml:space="preserve">, </w:t>
      </w:r>
      <w:r>
        <w:rPr>
          <w:rtl w:val="true"/>
        </w:rPr>
        <w:t xml:space="preserve">שיש בהם כדי לחייב את ביטול אישומו של המערער </w:t>
      </w:r>
      <w:r>
        <w:rPr>
          <w:rtl w:val="true"/>
        </w:rPr>
        <w:t>–</w:t>
      </w:r>
      <w:r>
        <w:rPr>
          <w:rtl w:val="true"/>
        </w:rPr>
        <w:t xml:space="preserve"> אין בנמצא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באשר לטענת המערער כי חל שיהוי בחקירת תלונתה של א</w:t>
      </w:r>
      <w:r>
        <w:rPr>
          <w:rtl w:val="true"/>
        </w:rPr>
        <w:t xml:space="preserve">', </w:t>
      </w:r>
      <w:r>
        <w:rPr>
          <w:rtl w:val="true"/>
        </w:rPr>
        <w:t>קבע בית המשפט המחוזי כי אמנם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הובאו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ומושלם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ארוכה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נקרא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המצטיירת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מעדויות החוקרים בתחנה לפני בית המשפט המחוזי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שנמנעו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מלהזמין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רשלניים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דווקא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שבתחנה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שראוי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בתלונה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ולהטריח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הרופא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להיחקר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עמודים </w:t>
      </w:r>
      <w:r>
        <w:rPr>
          <w:rFonts w:cs="Century" w:ascii="Century" w:hAnsi="Century"/>
        </w:rPr>
        <w:t>211-207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בלאו הכי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משנקבע כי המערער זכר היטב את בדיקתה של 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אזי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קבע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נגרם לו נזק של ממש כתוצאה מחקירתו באיחור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ממילא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כל מקום</w:t>
      </w:r>
      <w:r>
        <w:rPr>
          <w:rFonts w:ascii="Century" w:hAnsi="Century" w:cs="Century"/>
          <w:rtl w:val="true"/>
        </w:rPr>
        <w:t xml:space="preserve"> לבטל את אישומו </w:t>
      </w:r>
      <w:r>
        <w:rPr>
          <w:rFonts w:ascii="Century" w:hAnsi="Century" w:cs="Century"/>
          <w:sz w:val="22"/>
          <w:sz w:val="22"/>
          <w:rtl w:val="true"/>
        </w:rPr>
        <w:t>מפאת הגנה מן הצדק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בהתבסס על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 xml:space="preserve">בא בית המשפט המחוזי </w:t>
      </w:r>
      <w:r>
        <w:rPr>
          <w:rFonts w:ascii="Century" w:hAnsi="Century" w:cs="Century"/>
          <w:sz w:val="22"/>
          <w:sz w:val="22"/>
          <w:rtl w:val="true"/>
        </w:rPr>
        <w:t>לכלל מסקנה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>הוכח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ומעבר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לכל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ספק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סביר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שה</w:t>
      </w:r>
      <w:r>
        <w:rPr>
          <w:rFonts w:ascii="Century" w:hAnsi="Century" w:cs="Century"/>
          <w:sz w:val="22"/>
          <w:sz w:val="22"/>
          <w:rtl w:val="true"/>
        </w:rPr>
        <w:t>מערער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שימוש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לרעה </w:t>
      </w:r>
      <w:r>
        <w:rPr>
          <w:rFonts w:ascii="Century" w:hAnsi="Century" w:cs="Century"/>
          <w:sz w:val="22"/>
          <w:sz w:val="22"/>
          <w:rtl w:val="true"/>
        </w:rPr>
        <w:t>ברשות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שניתנה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>נפגעות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להחדיר</w:t>
      </w:r>
      <w:r>
        <w:rPr>
          <w:rFonts w:ascii="Century" w:hAnsi="Century" w:cs="Century"/>
          <w:sz w:val="22"/>
          <w:sz w:val="22"/>
          <w:rtl w:val="true"/>
        </w:rPr>
        <w:t xml:space="preserve"> 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אצבעותיו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לאיברי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שלהן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בשעה שביצע בהן בדיקות גניקולוגיות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ascii="Century" w:hAnsi="Century" w:cs="Century"/>
          <w:sz w:val="22"/>
          <w:sz w:val="22"/>
          <w:rtl w:val="true"/>
        </w:rPr>
        <w:t xml:space="preserve">שלב מסוים של הטיפול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לצורך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רפואי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כל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עוד קבע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הוכח </w:t>
      </w:r>
      <w:r>
        <w:rPr>
          <w:rFonts w:ascii="Century" w:hAnsi="Century" w:cs="Century"/>
          <w:sz w:val="22"/>
          <w:sz w:val="22"/>
          <w:rtl w:val="true"/>
        </w:rPr>
        <w:t>מעל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ומעבר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לכל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ספק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סביר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במהלך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המפגש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הראשון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עם ב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ליטף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המערער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איבר מינה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גופה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העירום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לצורך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רפואי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ושלא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בהסכמתה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>בהמשך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נשק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לה על </w:t>
      </w:r>
      <w:r>
        <w:rPr>
          <w:rFonts w:ascii="Century" w:hAnsi="Century" w:cs="Century"/>
          <w:sz w:val="22"/>
          <w:sz w:val="22"/>
          <w:rtl w:val="true"/>
        </w:rPr>
        <w:t>לחי</w:t>
      </w:r>
      <w:r>
        <w:rPr>
          <w:rtl w:val="true"/>
        </w:rPr>
        <w:t>הּ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בהסכמתה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בנוסף 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המערער </w:t>
      </w:r>
      <w:r>
        <w:rPr>
          <w:rFonts w:ascii="Century" w:hAnsi="Century" w:cs="Century"/>
          <w:sz w:val="22"/>
          <w:sz w:val="22"/>
          <w:rtl w:val="true"/>
        </w:rPr>
        <w:t>השמיע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כלפי</w:t>
      </w:r>
      <w:r>
        <w:rPr>
          <w:rFonts w:ascii="Century" w:hAnsi="Century" w:cs="Century"/>
          <w:sz w:val="22"/>
          <w:sz w:val="22"/>
          <w:rtl w:val="true"/>
        </w:rPr>
        <w:t xml:space="preserve"> 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הצעות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מיניות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חוזרות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ונשנות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והערות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בעלות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אופי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מובהק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במהלך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אחת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ascii="Century" w:hAnsi="Century" w:cs="Century"/>
          <w:sz w:val="22"/>
          <w:sz w:val="22"/>
          <w:rtl w:val="true"/>
        </w:rPr>
        <w:t>שלוש פגישותיהם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משכך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החליט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 xml:space="preserve">כלל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שיוחסו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בבוא בית המשפט המחוזי לגזור את עונשו של המערער</w:t>
      </w:r>
      <w:r>
        <w:rPr>
          <w:rtl w:val="true"/>
        </w:rPr>
        <w:t xml:space="preserve">, </w:t>
      </w:r>
      <w:r>
        <w:rPr>
          <w:rtl w:val="true"/>
        </w:rPr>
        <w:t>צוין האינטרס הציבורי בהרתעת ציבור הרופאים והמטפלים מפני ניצול מעמדם</w:t>
      </w:r>
      <w:r>
        <w:rPr>
          <w:rtl w:val="true"/>
        </w:rPr>
        <w:t xml:space="preserve">, </w:t>
      </w:r>
      <w:r>
        <w:rPr>
          <w:rtl w:val="true"/>
        </w:rPr>
        <w:t>והאמון המוחלט שניתן בהם</w:t>
      </w:r>
      <w:r>
        <w:rPr>
          <w:rtl w:val="true"/>
        </w:rPr>
        <w:t xml:space="preserve">. </w:t>
      </w:r>
      <w:r>
        <w:rPr>
          <w:rtl w:val="true"/>
        </w:rPr>
        <w:t>באשר למתחם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גיסא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שהאינוס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אצבעותיו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וחלילה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ומאידך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גיסא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לעובדה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והתמסרות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מתוקף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הוא יעמוד על</w:t>
      </w:r>
      <w:r>
        <w:rPr>
          <w:rtl w:val="true"/>
        </w:rPr>
        <w:t xml:space="preserve"> </w:t>
      </w:r>
      <w:r>
        <w:rPr/>
        <w:t>6-4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 ביחס לאישום הראשון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7-5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 ביחס לאישום השני</w:t>
      </w:r>
      <w:r>
        <w:rPr>
          <w:rtl w:val="true"/>
        </w:rPr>
        <w:t xml:space="preserve">. </w:t>
      </w:r>
      <w:r>
        <w:rPr>
          <w:rtl w:val="true"/>
        </w:rPr>
        <w:t>בגזירת העונש</w:t>
      </w:r>
      <w:r>
        <w:rPr>
          <w:rtl w:val="true"/>
        </w:rPr>
        <w:t xml:space="preserve">, </w:t>
      </w:r>
      <w:r>
        <w:rPr>
          <w:rtl w:val="true"/>
        </w:rPr>
        <w:t xml:space="preserve">התחשב בית המשפט המחוזי בפגיעה הקשה שצפויה להיגרם למערער כתוצאה מעונש המאסר </w:t>
      </w:r>
      <w:r>
        <w:rPr>
          <w:rtl w:val="true"/>
        </w:rPr>
        <w:t>–</w:t>
      </w:r>
      <w:r>
        <w:rPr>
          <w:rtl w:val="true"/>
        </w:rPr>
        <w:t xml:space="preserve"> גדיעת הקריירה המקצועית שלו ושיבוש יכולת התעסוקה העתידית שלו</w:t>
      </w:r>
      <w:r>
        <w:rPr>
          <w:rtl w:val="true"/>
        </w:rPr>
        <w:t xml:space="preserve">, </w:t>
      </w:r>
      <w:r>
        <w:rPr>
          <w:rtl w:val="true"/>
        </w:rPr>
        <w:t>כמו גם פגיעה בשמה הטוב של משפחתו</w:t>
      </w:r>
      <w:r>
        <w:rPr>
          <w:rtl w:val="true"/>
        </w:rPr>
        <w:t xml:space="preserve">. </w:t>
      </w:r>
      <w:r>
        <w:rPr>
          <w:rtl w:val="true"/>
        </w:rPr>
        <w:t>עוד נלקחו בחשבון תרומתו לחברה</w:t>
      </w:r>
      <w:r>
        <w:rPr>
          <w:rtl w:val="true"/>
        </w:rPr>
        <w:t xml:space="preserve">, </w:t>
      </w:r>
      <w:r>
        <w:rPr>
          <w:rtl w:val="true"/>
        </w:rPr>
        <w:t>העדר הרשעות קודמות לחובתו</w:t>
      </w:r>
      <w:r>
        <w:rPr>
          <w:rtl w:val="true"/>
        </w:rPr>
        <w:t xml:space="preserve">, </w:t>
      </w:r>
      <w:r>
        <w:rPr>
          <w:rtl w:val="true"/>
        </w:rPr>
        <w:t xml:space="preserve">ומנגד </w:t>
      </w:r>
      <w:r>
        <w:rPr>
          <w:rtl w:val="true"/>
        </w:rPr>
        <w:t>–</w:t>
      </w:r>
      <w:r>
        <w:rPr>
          <w:rtl w:val="true"/>
        </w:rPr>
        <w:t xml:space="preserve"> העדר כל נטילת אחריות על מעשיו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נלקחו בחשבון המחדלים השונים שנפלו בהתנהלות הרשויות</w:t>
      </w:r>
      <w:r>
        <w:rPr>
          <w:rtl w:val="true"/>
        </w:rPr>
        <w:t xml:space="preserve">, </w:t>
      </w:r>
      <w:r>
        <w:rPr>
          <w:rtl w:val="true"/>
        </w:rPr>
        <w:t>ובתוך כך</w:t>
      </w:r>
      <w:r>
        <w:rPr>
          <w:rtl w:val="true"/>
        </w:rPr>
        <w:t xml:space="preserve">, </w:t>
      </w:r>
      <w:r>
        <w:rPr>
          <w:rtl w:val="true"/>
        </w:rPr>
        <w:t>גם השנים הארוכות שחלפו ממועד ביצוע העבירות</w:t>
      </w:r>
      <w:r>
        <w:rPr>
          <w:rtl w:val="true"/>
        </w:rPr>
        <w:t xml:space="preserve">, </w:t>
      </w:r>
      <w:r>
        <w:rPr>
          <w:rtl w:val="true"/>
        </w:rPr>
        <w:t>אשר חלקן רובצות לחובת הרשויות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 עונשו של המערער באופן כולל</w:t>
      </w:r>
      <w:r>
        <w:rPr>
          <w:rtl w:val="true"/>
        </w:rPr>
        <w:t xml:space="preserve">, </w:t>
      </w:r>
      <w:r>
        <w:rPr>
          <w:rtl w:val="true"/>
        </w:rPr>
        <w:t>והועמד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ערעורו של המערער מופנה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הן נגד הכרעת הדין</w:t>
      </w:r>
      <w:r>
        <w:rPr>
          <w:rtl w:val="true"/>
        </w:rPr>
        <w:t xml:space="preserve">, </w:t>
      </w:r>
      <w:r>
        <w:rPr>
          <w:rtl w:val="true"/>
        </w:rPr>
        <w:t>הן נגד גזר הדין</w:t>
      </w:r>
      <w:r>
        <w:rPr>
          <w:rtl w:val="true"/>
        </w:rPr>
        <w:t>.</w:t>
      </w:r>
      <w:r>
        <w:rPr>
          <w:color w:val="FF0000"/>
          <w:rtl w:val="true"/>
        </w:rPr>
        <w:t xml:space="preserve"> </w:t>
      </w:r>
      <w:r>
        <w:rPr>
          <w:rtl w:val="true"/>
        </w:rPr>
        <w:t>אתייחס לטענותיו כסדרן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באשר לקביעותיו העובדתיות של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שב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בעיקרה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 הגרסה שמסר בבית המשפט המחוזי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לגבי נפגעת א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טוען המערער כי במהלך בדיקתה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שהתנהלה באופן תקין ורגיל לחלוטין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חוותה א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אותנטית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וסובייקטיבית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לחלוטין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ascii="Century" w:hAnsi="Century" w:cs="Century"/>
          <w:sz w:val="22"/>
          <w:sz w:val="22"/>
          <w:rtl w:val="true"/>
        </w:rPr>
        <w:t>של עוררות מינית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מצב עניינים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לבלבול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שנאלצה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ולהסבירו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לעצמה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להקצין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לעכל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התרחש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בגופה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חיזוק לטענתו מוצא המערער בכך 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לא הבחינה בכל אינדיקציה לעוררות מינית מצדו</w:t>
      </w:r>
      <w:r>
        <w:rPr>
          <w:rtl w:val="true"/>
        </w:rPr>
        <w:t xml:space="preserve">, </w:t>
      </w:r>
      <w:r>
        <w:rPr>
          <w:rtl w:val="true"/>
        </w:rPr>
        <w:t>כגון התנשפות</w:t>
      </w:r>
      <w:r>
        <w:rPr>
          <w:rtl w:val="true"/>
        </w:rPr>
        <w:t xml:space="preserve">, </w:t>
      </w:r>
      <w:r>
        <w:rPr>
          <w:rtl w:val="true"/>
        </w:rPr>
        <w:t>הסמקה</w:t>
      </w:r>
      <w:r>
        <w:rPr>
          <w:rtl w:val="true"/>
        </w:rPr>
        <w:t xml:space="preserve">, </w:t>
      </w:r>
      <w:r>
        <w:rPr>
          <w:rtl w:val="true"/>
        </w:rPr>
        <w:t>או שינוי בהתנהגותו הכללית</w:t>
      </w:r>
      <w:r>
        <w:rPr>
          <w:rtl w:val="true"/>
        </w:rPr>
        <w:t xml:space="preserve">; </w:t>
      </w:r>
      <w:r>
        <w:rPr>
          <w:rtl w:val="true"/>
        </w:rPr>
        <w:t>וכן בתמורות שחלו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בין הודעותיה ועדויותיה השונות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כי לנוכח העובדה שהביקור הרפואי כולו</w:t>
      </w:r>
      <w:r>
        <w:rPr>
          <w:rtl w:val="true"/>
        </w:rPr>
        <w:t xml:space="preserve">, </w:t>
      </w:r>
      <w:r>
        <w:rPr>
          <w:rtl w:val="true"/>
        </w:rPr>
        <w:t>אשר כלל כמה פעולות נוספות מלבד ה</w:t>
      </w:r>
      <w:r>
        <w:rPr>
          <w:rtl w:val="true"/>
        </w:rPr>
        <w:t>'</w:t>
      </w:r>
      <w:r>
        <w:rPr>
          <w:rtl w:val="true"/>
        </w:rPr>
        <w:t>בדיקה הפנימית</w:t>
      </w:r>
      <w:r>
        <w:rPr>
          <w:rtl w:val="true"/>
        </w:rPr>
        <w:t xml:space="preserve">', </w:t>
      </w:r>
      <w:r>
        <w:rPr>
          <w:rtl w:val="true"/>
        </w:rPr>
        <w:t xml:space="preserve">ארך </w:t>
      </w:r>
      <w:r>
        <w:rPr/>
        <w:t>30-20</w:t>
      </w:r>
      <w:r>
        <w:rPr>
          <w:rtl w:val="true"/>
        </w:rPr>
        <w:t xml:space="preserve"> </w:t>
      </w:r>
      <w:r>
        <w:rPr>
          <w:rtl w:val="true"/>
        </w:rPr>
        <w:t xml:space="preserve">דקות </w:t>
      </w:r>
      <w:r>
        <w:rPr>
          <w:rtl w:val="true"/>
        </w:rPr>
        <w:t>–</w:t>
      </w:r>
      <w:r>
        <w:rPr>
          <w:rtl w:val="true"/>
        </w:rPr>
        <w:t xml:space="preserve"> כך לפי עדות בן זוגה</w:t>
      </w:r>
      <w:r>
        <w:rPr>
          <w:rtl w:val="true"/>
        </w:rPr>
        <w:t xml:space="preserve">, </w:t>
      </w:r>
      <w:r>
        <w:rPr>
          <w:rtl w:val="true"/>
        </w:rPr>
        <w:t xml:space="preserve">שהמתין ברכב עם ילדיהם בסמוך למרפאה </w:t>
      </w:r>
      <w:r>
        <w:rPr>
          <w:rtl w:val="true"/>
        </w:rPr>
        <w:t>–</w:t>
      </w:r>
      <w:r>
        <w:rPr>
          <w:rtl w:val="true"/>
        </w:rPr>
        <w:t xml:space="preserve"> לא יתכן שהספיק לבצע את הבדיקה האמורה משך 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כפי שטוענת א</w:t>
      </w:r>
      <w:r>
        <w:rPr>
          <w:rtl w:val="true"/>
        </w:rPr>
        <w:t xml:space="preserve">', </w:t>
      </w:r>
      <w:r>
        <w:rPr>
          <w:rtl w:val="true"/>
        </w:rPr>
        <w:t>וכפי שנקבע בהכרעת הדין של בית המשפט המחוזי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בנוגע לנפגעת ב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שב המערער וטוען כי הגיעה למרפאתו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כבר מן המפגש הראשון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במגמה להפלילו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לסחוט ממנו כספים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לשם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לדידו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ניצלה את הקשר ההדדי שנוצר ביניהם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מלין המערער על כך שבית המשפט המחוזי התעלם מן הסתירות הרבות בעדויותיה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משקריה המפורשים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ומההתנהגויות התמוהות שלה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חזרתה למרפאתו לאחר שלכאורה אנס אותה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ניהול קשר רציף עמו למשך חודשים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ופנייתה לעו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שיפעל כשלוחהּ במגעים מולו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חלף הגשת תלונה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לבסוף טוען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tl w:val="true"/>
        </w:rPr>
        <w:t xml:space="preserve">בית המשפט המחוזי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פרשנויות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למעשיה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שמקורם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שמסרה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ובנסותו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למזער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ממעשיה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ומדבריה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 אלו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ניתן לקבוע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לשיטתו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אשמתו הוכחה מעבר לספק סביר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בנוסף על כך</w:t>
      </w:r>
      <w:r>
        <w:rPr>
          <w:rtl w:val="true"/>
        </w:rPr>
        <w:t xml:space="preserve">, </w:t>
      </w:r>
      <w:r>
        <w:rPr>
          <w:rtl w:val="true"/>
        </w:rPr>
        <w:t>טוען המערער</w:t>
      </w:r>
      <w:r>
        <w:rPr>
          <w:rtl w:val="true"/>
        </w:rPr>
        <w:t xml:space="preserve">, </w:t>
      </w:r>
      <w:r>
        <w:rPr>
          <w:rtl w:val="true"/>
        </w:rPr>
        <w:t>כי המחדלים שנפלו בהליכי החקירה מחייבים את זיכויו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העובדה שנעלמו קלטות רבות כל כך מחומר החקירה</w:t>
      </w:r>
      <w:r>
        <w:rPr>
          <w:rtl w:val="true"/>
        </w:rPr>
        <w:t xml:space="preserve">, </w:t>
      </w:r>
      <w:r>
        <w:rPr>
          <w:rtl w:val="true"/>
        </w:rPr>
        <w:t>אשר מתעדות חקירות שנעשו במועדים שונים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באובדן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באובדן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בהעלמה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קלטות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צפייה בקלטות</w:t>
      </w:r>
      <w:r>
        <w:rPr>
          <w:rtl w:val="true"/>
        </w:rPr>
        <w:t xml:space="preserve">, </w:t>
      </w:r>
      <w:r>
        <w:rPr>
          <w:rtl w:val="true"/>
        </w:rPr>
        <w:t>טוען המערער</w:t>
      </w:r>
      <w:r>
        <w:rPr>
          <w:rtl w:val="true"/>
        </w:rPr>
        <w:t xml:space="preserve">, </w:t>
      </w:r>
      <w:r>
        <w:rPr>
          <w:rtl w:val="true"/>
        </w:rPr>
        <w:t>היתה מאפשרת לבית המשפט להתרשם מתגובתו האותנטית לטענות שהועלו נגדו</w:t>
      </w:r>
      <w:r>
        <w:rPr>
          <w:rtl w:val="true"/>
        </w:rPr>
        <w:t xml:space="preserve">, </w:t>
      </w:r>
      <w:r>
        <w:rPr>
          <w:rtl w:val="true"/>
        </w:rPr>
        <w:t>ולחזק את אמינותו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היעלמות תיעודי החקירות </w:t>
      </w:r>
      <w:r>
        <w:rPr>
          <w:rtl w:val="true"/>
        </w:rPr>
        <w:t>–</w:t>
      </w:r>
      <w:r>
        <w:rPr>
          <w:rtl w:val="true"/>
        </w:rPr>
        <w:t xml:space="preserve"> בין אם בשוגג</w:t>
      </w:r>
      <w:r>
        <w:rPr>
          <w:rtl w:val="true"/>
        </w:rPr>
        <w:t xml:space="preserve">, </w:t>
      </w:r>
      <w:r>
        <w:rPr>
          <w:rtl w:val="true"/>
        </w:rPr>
        <w:t xml:space="preserve">בין אם במכוון </w:t>
      </w:r>
      <w:r>
        <w:rPr>
          <w:rtl w:val="true"/>
        </w:rPr>
        <w:t>–</w:t>
      </w:r>
      <w:r>
        <w:rPr>
          <w:rtl w:val="true"/>
        </w:rPr>
        <w:t xml:space="preserve"> עולה כדי נזק ראייתי</w:t>
      </w:r>
      <w:r>
        <w:rPr>
          <w:rtl w:val="true"/>
        </w:rPr>
        <w:t xml:space="preserve">, </w:t>
      </w:r>
      <w:r>
        <w:rPr>
          <w:rtl w:val="true"/>
        </w:rPr>
        <w:t xml:space="preserve">המצדיק את זיכויו מחמת </w:t>
      </w:r>
      <w:r>
        <w:rPr>
          <w:rtl w:val="true"/>
        </w:rPr>
        <w:t>'</w:t>
      </w:r>
      <w:r>
        <w:rPr>
          <w:rtl w:val="true"/>
        </w:rPr>
        <w:t>הגנה מן הצדק</w:t>
      </w:r>
      <w:r>
        <w:rPr>
          <w:rtl w:val="true"/>
        </w:rPr>
        <w:t xml:space="preserve">'. </w:t>
      </w:r>
      <w:r>
        <w:rPr>
          <w:rtl w:val="true"/>
        </w:rPr>
        <w:t>המערער מוסיף ומצביע על שני עניינים שלגביהם ניזוקה הגנתו</w:t>
      </w:r>
      <w:r>
        <w:rPr>
          <w:rtl w:val="true"/>
        </w:rPr>
        <w:t xml:space="preserve">, </w:t>
      </w:r>
      <w:r>
        <w:rPr>
          <w:rtl w:val="true"/>
        </w:rPr>
        <w:t>עקב היעלמות הקלטות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באשר ל</w:t>
      </w:r>
      <w:r>
        <w:rPr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סרטון הנעלם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שלטענתו הוצג לו בחקירתו</w:t>
      </w:r>
      <w:r>
        <w:rPr>
          <w:rtl w:val="true"/>
        </w:rPr>
        <w:t xml:space="preserve">, </w:t>
      </w:r>
      <w:r>
        <w:rPr>
          <w:rtl w:val="true"/>
        </w:rPr>
        <w:t>ובו תיעוד ביקורה הראשון של ב</w:t>
      </w:r>
      <w:r>
        <w:rPr>
          <w:rtl w:val="true"/>
        </w:rPr>
        <w:t xml:space="preserve">' </w:t>
      </w:r>
      <w:r>
        <w:rPr>
          <w:rtl w:val="true"/>
        </w:rPr>
        <w:t>במרפאה</w:t>
      </w:r>
      <w:r>
        <w:rPr>
          <w:rtl w:val="true"/>
        </w:rPr>
        <w:t xml:space="preserve">, </w:t>
      </w:r>
      <w:r>
        <w:rPr>
          <w:rtl w:val="true"/>
        </w:rPr>
        <w:t>אומר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כי מדובר בראייה מזכה</w:t>
      </w:r>
      <w:r>
        <w:rPr>
          <w:rtl w:val="true"/>
        </w:rPr>
        <w:t xml:space="preserve">, </w:t>
      </w:r>
      <w:r>
        <w:rPr>
          <w:rtl w:val="true"/>
        </w:rPr>
        <w:t>שיש בה כדי להוכיח את גרסתו</w:t>
      </w:r>
      <w:r>
        <w:rPr>
          <w:rtl w:val="true"/>
        </w:rPr>
        <w:t xml:space="preserve">, </w:t>
      </w:r>
      <w:r>
        <w:rPr>
          <w:rtl w:val="true"/>
        </w:rPr>
        <w:t>שלפיה ב</w:t>
      </w:r>
      <w:r>
        <w:rPr>
          <w:rtl w:val="true"/>
        </w:rPr>
        <w:t xml:space="preserve">' </w:t>
      </w:r>
      <w:r>
        <w:rPr>
          <w:rtl w:val="true"/>
        </w:rPr>
        <w:t>הגיעה למרפאתו במטרה לסחוט ממנו כספים</w:t>
      </w:r>
      <w:r>
        <w:rPr>
          <w:rtl w:val="true"/>
        </w:rPr>
        <w:t xml:space="preserve">; </w:t>
      </w:r>
      <w:r>
        <w:rPr>
          <w:rtl w:val="true"/>
        </w:rPr>
        <w:t>אבדן ההקלטות</w:t>
      </w:r>
      <w:r>
        <w:rPr>
          <w:rtl w:val="true"/>
        </w:rPr>
        <w:t xml:space="preserve">, </w:t>
      </w:r>
      <w:r>
        <w:rPr>
          <w:rtl w:val="true"/>
        </w:rPr>
        <w:t>כך המערער</w:t>
      </w:r>
      <w:r>
        <w:rPr>
          <w:rtl w:val="true"/>
        </w:rPr>
        <w:t xml:space="preserve">, </w:t>
      </w:r>
      <w:r>
        <w:rPr>
          <w:rtl w:val="true"/>
        </w:rPr>
        <w:t>הוריד לטמיון ראיה זו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על רקע הדמיון בין התלונות של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גורס המערער כי באין קלטות</w:t>
      </w:r>
      <w:r>
        <w:rPr>
          <w:rtl w:val="true"/>
        </w:rPr>
        <w:t xml:space="preserve">, </w:t>
      </w:r>
      <w:r>
        <w:rPr>
          <w:rtl w:val="true"/>
        </w:rPr>
        <w:t>נשללה ממנו היכולת להוכיח קיומה של השפעה פסולה על העדויות</w:t>
      </w:r>
      <w:r>
        <w:rPr>
          <w:rtl w:val="true"/>
        </w:rPr>
        <w:t xml:space="preserve">. </w:t>
      </w:r>
      <w:r>
        <w:rPr>
          <w:rtl w:val="true"/>
        </w:rPr>
        <w:t>המערער מפנה לאמירתה של א</w:t>
      </w:r>
      <w:r>
        <w:rPr>
          <w:rtl w:val="true"/>
        </w:rPr>
        <w:t xml:space="preserve">' </w:t>
      </w:r>
      <w:r>
        <w:rPr>
          <w:rtl w:val="true"/>
        </w:rPr>
        <w:t>בבית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b/>
          <w:b/>
          <w:rtl w:val="true"/>
        </w:rPr>
        <w:t xml:space="preserve">נמסר לה כי קיימת תלונה </w:t>
      </w:r>
      <w:r>
        <w:rPr>
          <w:rFonts w:ascii="Century" w:hAnsi="Century" w:cs="Century"/>
          <w:sz w:val="22"/>
          <w:sz w:val="22"/>
          <w:rtl w:val="true"/>
        </w:rPr>
        <w:t>נוספת נגדו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בעת שזומנה </w:t>
      </w:r>
      <w:r>
        <w:rPr>
          <w:b/>
          <w:b/>
          <w:rtl w:val="true"/>
        </w:rPr>
        <w:t>לחקירה נוספת במשטרה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העדרו של תיעוד לשיחה זו</w:t>
      </w:r>
      <w:r>
        <w:rPr>
          <w:rtl w:val="true"/>
        </w:rPr>
        <w:t xml:space="preserve">, </w:t>
      </w:r>
      <w:r>
        <w:rPr>
          <w:rtl w:val="true"/>
        </w:rPr>
        <w:t>כתוצאה מאבדן הקלטות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מחזק לדעתו את החשש שמא החוקר סוויסה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שניהל את החקירה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 מילים בפיהן של הנפגעות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לתרום לדמיון בין שתי התלונות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שב המערער ומצביע על כך שחלפה כשנה ממועד בדיקתה של א</w:t>
      </w:r>
      <w:r>
        <w:rPr>
          <w:rtl w:val="true"/>
        </w:rPr>
        <w:t xml:space="preserve">', </w:t>
      </w:r>
      <w:r>
        <w:rPr>
          <w:rtl w:val="true"/>
        </w:rPr>
        <w:t>ועד למועד חקירתו במשטרה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נהיר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אילו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נחקר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זמן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קצר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לאחר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התלונה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ודאי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היה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בידו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לספק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הסברים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מפורטים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ומדויקים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יותר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ובביטחון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יותר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בעצמו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לאמור מצטרף</w:t>
      </w:r>
      <w:r>
        <w:rPr>
          <w:rtl w:val="true"/>
        </w:rPr>
        <w:t xml:space="preserve">, </w:t>
      </w:r>
      <w:r>
        <w:rPr>
          <w:rtl w:val="true"/>
        </w:rPr>
        <w:t>כך המערער</w:t>
      </w:r>
      <w:r>
        <w:rPr>
          <w:rtl w:val="true"/>
        </w:rPr>
        <w:t xml:space="preserve">, </w:t>
      </w:r>
      <w:r>
        <w:rPr>
          <w:rtl w:val="true"/>
        </w:rPr>
        <w:t>השיהוי בהגשת כתב האישום נגדו</w:t>
      </w:r>
      <w:r>
        <w:rPr>
          <w:rtl w:val="true"/>
        </w:rPr>
        <w:t xml:space="preserve">, </w:t>
      </w:r>
      <w:r>
        <w:rPr>
          <w:rtl w:val="true"/>
        </w:rPr>
        <w:t>בחלוף כשנתיים מתום חקירתו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השיהוי המצטבר בהליכים השונים</w:t>
      </w:r>
      <w:r>
        <w:rPr>
          <w:rtl w:val="true"/>
        </w:rPr>
        <w:t xml:space="preserve">, </w:t>
      </w:r>
      <w:r>
        <w:rPr>
          <w:rtl w:val="true"/>
        </w:rPr>
        <w:t>פגע בו פגיעה ניכרת</w:t>
      </w:r>
      <w:r>
        <w:rPr>
          <w:rtl w:val="true"/>
        </w:rPr>
        <w:t xml:space="preserve">, </w:t>
      </w:r>
      <w:r>
        <w:rPr>
          <w:rtl w:val="true"/>
        </w:rPr>
        <w:t xml:space="preserve">משום שהגנתו התבססה על זיכרונם של עדים שהעידו בחלוף כחמש </w:t>
      </w:r>
      <w:r>
        <w:rPr>
          <w:rFonts w:ascii="Century" w:hAnsi="Century" w:cs="Century"/>
          <w:sz w:val="22"/>
          <w:sz w:val="22"/>
          <w:rtl w:val="true"/>
        </w:rPr>
        <w:t>שנים מקרות האירועים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בחלוף פרק זמן שכזה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כך נטען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 זכרו העדים פרטים חשובים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ולחלופין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יכלו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להתחמק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ממתן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תשובות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בתואנה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אינם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זוכרים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 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מצידה</w:t>
      </w:r>
      <w:r>
        <w:rPr>
          <w:rtl w:val="true"/>
        </w:rPr>
        <w:t xml:space="preserve">, </w:t>
      </w:r>
      <w:r>
        <w:rPr>
          <w:rtl w:val="true"/>
        </w:rPr>
        <w:t>סומכת ידיה על הכרעת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על נימוקיה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לאחר עיון בערעור על נספחיו</w:t>
      </w:r>
      <w:r>
        <w:rPr>
          <w:rtl w:val="true"/>
        </w:rPr>
        <w:t xml:space="preserve">, </w:t>
      </w:r>
      <w:r>
        <w:rPr>
          <w:rtl w:val="true"/>
        </w:rPr>
        <w:t>בעיקרי הטיעון מטעם המשיבה</w:t>
      </w:r>
      <w:r>
        <w:rPr>
          <w:rtl w:val="true"/>
        </w:rPr>
        <w:t xml:space="preserve">, </w:t>
      </w:r>
      <w:r>
        <w:rPr>
          <w:rtl w:val="true"/>
        </w:rPr>
        <w:t>שמיעת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ושקילת נימוקיהם</w:t>
      </w:r>
      <w:r>
        <w:rPr>
          <w:rtl w:val="true"/>
        </w:rPr>
        <w:t xml:space="preserve">, </w:t>
      </w:r>
      <w:r>
        <w:rPr>
          <w:rtl w:val="true"/>
        </w:rPr>
        <w:t xml:space="preserve">באתי לכלל מסקנה כי דינו של הערעור על הכרעת הדין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לחברַי שנעשה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טענות המערער נסובות</w:t>
      </w:r>
      <w:r>
        <w:rPr>
          <w:rtl w:val="true"/>
        </w:rPr>
        <w:t xml:space="preserve">, </w:t>
      </w:r>
      <w:r>
        <w:rPr>
          <w:rtl w:val="true"/>
        </w:rPr>
        <w:t>ברובן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>ממצאי</w:t>
      </w:r>
      <w:r>
        <w:rPr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 מפורשים שנקבעו בהכרעת הדין של בי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ההלכה הנוהגת עמנו היא</w:t>
      </w:r>
      <w:r>
        <w:rPr>
          <w:rtl w:val="true"/>
        </w:rPr>
        <w:t xml:space="preserve">, </w:t>
      </w:r>
      <w:r>
        <w:rPr>
          <w:rtl w:val="true"/>
        </w:rPr>
        <w:t>כי אין זו דרכה של ערכאת הערעור להתערב בממצאי עובדה של הערכאה הדיונית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שמעה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 </w:t>
      </w:r>
      <w:r>
        <w:rPr>
          <w:rtl w:val="true"/>
        </w:rPr>
        <w:t>והתרשמה</w:t>
      </w:r>
      <w:r>
        <w:rPr>
          <w:rtl w:val="true"/>
        </w:rPr>
        <w:t xml:space="preserve"> </w:t>
      </w:r>
      <w:r>
        <w:rPr>
          <w:rtl w:val="true"/>
        </w:rPr>
        <w:t>מדבריהם</w:t>
      </w:r>
      <w:r>
        <w:rPr>
          <w:rtl w:val="true"/>
        </w:rPr>
        <w:t xml:space="preserve">, </w:t>
      </w:r>
      <w:r>
        <w:rPr>
          <w:rtl w:val="true"/>
        </w:rPr>
        <w:t>מהתנהגותם</w:t>
      </w:r>
      <w:r>
        <w:rPr>
          <w:rtl w:val="true"/>
        </w:rPr>
        <w:t xml:space="preserve"> </w:t>
      </w:r>
      <w:r>
        <w:rPr>
          <w:rtl w:val="true"/>
        </w:rPr>
        <w:t>וממהימנותם</w:t>
      </w:r>
      <w:r>
        <w:rPr>
          <w:rtl w:val="true"/>
        </w:rPr>
        <w:t xml:space="preserve"> –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פרוצדוראלי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טכני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גרידא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מנגנון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לסייע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ובבסיסו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התפישה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ההתרשמות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וממהימנותם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9216/03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 (</w:t>
      </w:r>
      <w:r>
        <w:rPr/>
        <w:t>16.1.2006</w:t>
      </w:r>
      <w:r>
        <w:rPr>
          <w:rtl w:val="true"/>
        </w:rPr>
        <w:t xml:space="preserve">); </w:t>
      </w:r>
      <w:r>
        <w:rPr>
          <w:rtl w:val="true"/>
        </w:rPr>
        <w:t>מ</w:t>
      </w:r>
      <w:r>
        <w:rPr>
          <w:rtl w:val="true"/>
        </w:rPr>
        <w:t xml:space="preserve">רדכי </w:t>
      </w:r>
      <w:hyperlink r:id="rId41">
        <w:r>
          <w:rPr>
            <w:rStyle w:val="Hyperlink"/>
            <w:color w:val="0000FF"/>
            <w:u w:val="single"/>
            <w:rtl w:val="true"/>
          </w:rPr>
          <w:t>קרמניצר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קריטריונים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לקביעת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ממצאים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עובדתיים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והתערבות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בממצאים</w:t>
      </w:r>
      <w:r>
        <w:rPr>
          <w:rtl w:val="true"/>
        </w:rPr>
        <w:t xml:space="preserve"> </w:t>
      </w:r>
      <w:r>
        <w:rPr>
          <w:rtl w:val="true"/>
        </w:rPr>
        <w:t>המתייחסים</w:t>
      </w:r>
      <w:r>
        <w:rPr>
          <w:rtl w:val="true"/>
        </w:rPr>
        <w:t xml:space="preserve"> </w:t>
      </w:r>
      <w:r>
        <w:rPr>
          <w:rtl w:val="true"/>
        </w:rPr>
        <w:t>למהימנות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/>
        <w:t>407</w:t>
      </w:r>
      <w:r>
        <w:rPr>
          <w:rtl w:val="true"/>
        </w:rPr>
        <w:t xml:space="preserve"> (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רדיאדה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29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29.1.2017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רדיאדה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טעמיה של הלכה זו </w:t>
      </w:r>
      <w:r>
        <w:rPr>
          <w:b/>
          <w:b/>
          <w:rtl w:val="true"/>
        </w:rPr>
        <w:t>יפים ביתר שאת</w:t>
      </w:r>
      <w:r>
        <w:rPr>
          <w:b/>
          <w:rtl w:val="true"/>
        </w:rPr>
        <w:t>,</w:t>
      </w:r>
      <w:r>
        <w:rPr>
          <w:rFonts w:cs="Miriam"/>
          <w:b/>
          <w:spacing w:val="0"/>
          <w:sz w:val="22"/>
          <w:szCs w:val="24"/>
          <w:rtl w:val="true"/>
        </w:rPr>
        <w:t xml:space="preserve"> </w:t>
      </w:r>
      <w:r>
        <w:rPr>
          <w:sz w:val="22"/>
          <w:sz w:val="22"/>
          <w:rtl w:val="true"/>
        </w:rPr>
        <w:t>מקום שבו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עסקינן ב</w:t>
      </w:r>
      <w:r>
        <w:rPr>
          <w:sz w:val="22"/>
          <w:sz w:val="22"/>
          <w:rtl w:val="true"/>
        </w:rPr>
        <w:t>עביר</w:t>
      </w:r>
      <w:r>
        <w:rPr>
          <w:sz w:val="22"/>
          <w:sz w:val="22"/>
          <w:rtl w:val="true"/>
        </w:rPr>
        <w:t>ו</w:t>
      </w:r>
      <w:r>
        <w:rPr>
          <w:sz w:val="22"/>
          <w:sz w:val="22"/>
          <w:rtl w:val="true"/>
        </w:rPr>
        <w:t>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בעבירות אלו</w:t>
      </w:r>
      <w:r>
        <w:rPr>
          <w:rtl w:val="true"/>
        </w:rPr>
        <w:t xml:space="preserve">, </w:t>
      </w:r>
      <w:r>
        <w:rPr>
          <w:rtl w:val="true"/>
        </w:rPr>
        <w:t>כובד משקלן של הכרעות המהימנות של הערכאה הדיונית גדול במיוחד</w:t>
      </w:r>
      <w:r>
        <w:rPr>
          <w:rtl w:val="true"/>
        </w:rPr>
        <w:t xml:space="preserve">, </w:t>
      </w:r>
      <w:r>
        <w:rPr>
          <w:rtl w:val="true"/>
        </w:rPr>
        <w:t>שכן על</w:t>
      </w:r>
      <w:r>
        <w:rPr>
          <w:rtl w:val="true"/>
        </w:rPr>
        <w:t>-</w:t>
      </w:r>
      <w:r>
        <w:rPr>
          <w:rtl w:val="true"/>
        </w:rPr>
        <w:t xml:space="preserve">פי רוב </w:t>
      </w:r>
      <w:r>
        <w:rPr>
          <w:color w:val="000000"/>
          <w:sz w:val="28"/>
          <w:sz w:val="28"/>
          <w:shd w:fill="FFFFFF" w:val="clear"/>
          <w:rtl w:val="true"/>
        </w:rPr>
        <w:t>מבוצעות</w:t>
      </w:r>
      <w:r>
        <w:rPr>
          <w:color w:val="000000"/>
          <w:sz w:val="28"/>
          <w:sz w:val="28"/>
          <w:shd w:fill="FFFFFF" w:val="clear"/>
          <w:rtl w:val="true"/>
        </w:rPr>
        <w:t xml:space="preserve"> העבירות הללו</w:t>
      </w:r>
      <w:r>
        <w:rPr>
          <w:color w:val="000000"/>
          <w:sz w:val="28"/>
          <w:sz w:val="28"/>
          <w:shd w:fill="FFFFFF" w:val="clear"/>
          <w:rtl w:val="true"/>
        </w:rPr>
        <w:t xml:space="preserve"> בסתר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ללא עדי</w:t>
      </w:r>
      <w:r>
        <w:rPr>
          <w:color w:val="000000"/>
          <w:sz w:val="28"/>
          <w:sz w:val="28"/>
          <w:shd w:fill="FFFFFF" w:val="clear"/>
          <w:rtl w:val="true"/>
        </w:rPr>
        <w:t xml:space="preserve"> ראיה </w:t>
      </w:r>
      <w:r>
        <w:rPr>
          <w:color w:val="000000"/>
          <w:sz w:val="28"/>
          <w:sz w:val="28"/>
          <w:shd w:fill="FFFFFF" w:val="clear"/>
          <w:rtl w:val="true"/>
        </w:rPr>
        <w:t>–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בשדה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מצאה</w:t>
      </w:r>
      <w:r>
        <w:rPr>
          <w:rFonts w:cs="Miriam"/>
          <w:b/>
          <w:spacing w:val="0"/>
          <w:sz w:val="22"/>
          <w:szCs w:val="24"/>
          <w:rtl w:val="true"/>
        </w:rPr>
        <w:t xml:space="preserve">;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צעקה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  <w:rtl w:val="true"/>
        </w:rPr>
        <w:t xml:space="preserve">[...]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מושיע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color w:val="000000"/>
          <w:sz w:val="28"/>
          <w:shd w:fill="FFFFFF" w:val="clear"/>
          <w:rtl w:val="true"/>
        </w:rPr>
        <w:t xml:space="preserve"> (</w:t>
      </w:r>
      <w:r>
        <w:rPr>
          <w:color w:val="000000"/>
          <w:sz w:val="28"/>
          <w:sz w:val="28"/>
          <w:shd w:fill="FFFFFF" w:val="clear"/>
          <w:rtl w:val="true"/>
        </w:rPr>
        <w:t>דברים</w:t>
      </w:r>
      <w:r>
        <w:rPr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כ</w:t>
      </w:r>
      <w:r>
        <w:rPr>
          <w:color w:val="000000"/>
          <w:sz w:val="28"/>
          <w:shd w:fill="FFFFFF" w:val="clear"/>
          <w:rtl w:val="true"/>
        </w:rPr>
        <w:t>"</w:t>
      </w:r>
      <w:r>
        <w:rPr>
          <w:color w:val="000000"/>
          <w:sz w:val="28"/>
          <w:sz w:val="28"/>
          <w:shd w:fill="FFFFFF" w:val="clear"/>
          <w:rtl w:val="true"/>
        </w:rPr>
        <w:t>ב</w:t>
      </w:r>
      <w:r>
        <w:rPr>
          <w:color w:val="000000"/>
          <w:sz w:val="28"/>
          <w:sz w:val="28"/>
          <w:shd w:fill="FFFFFF" w:val="clear"/>
          <w:rtl w:val="true"/>
        </w:rPr>
        <w:t xml:space="preserve"> כ</w:t>
      </w:r>
      <w:r>
        <w:rPr>
          <w:color w:val="000000"/>
          <w:sz w:val="28"/>
          <w:shd w:fill="FFFFFF" w:val="clear"/>
          <w:rtl w:val="true"/>
        </w:rPr>
        <w:t>"</w:t>
      </w:r>
      <w:r>
        <w:rPr>
          <w:color w:val="000000"/>
          <w:sz w:val="28"/>
          <w:sz w:val="28"/>
          <w:shd w:fill="FFFFFF" w:val="clear"/>
          <w:rtl w:val="true"/>
        </w:rPr>
        <w:t>ז</w:t>
      </w:r>
      <w:r>
        <w:rPr>
          <w:color w:val="000000"/>
          <w:sz w:val="28"/>
          <w:shd w:fill="FFFFFF" w:val="clear"/>
          <w:rtl w:val="true"/>
        </w:rPr>
        <w:t xml:space="preserve">) </w:t>
      </w:r>
      <w:r>
        <w:rPr>
          <w:color w:val="000000"/>
          <w:sz w:val="28"/>
          <w:shd w:fill="FFFFFF" w:val="clear"/>
          <w:rtl w:val="true"/>
        </w:rPr>
        <w:t>–</w:t>
      </w:r>
      <w:r>
        <w:rPr>
          <w:color w:val="000000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>כך ש</w:t>
      </w:r>
      <w:r>
        <w:rPr>
          <w:color w:val="000000"/>
          <w:sz w:val="28"/>
          <w:sz w:val="28"/>
          <w:shd w:fill="FFFFFF" w:val="clear"/>
          <w:rtl w:val="true"/>
        </w:rPr>
        <w:t xml:space="preserve">בית המשפט </w:t>
      </w:r>
      <w:r>
        <w:rPr>
          <w:color w:val="000000"/>
          <w:sz w:val="28"/>
          <w:sz w:val="28"/>
          <w:shd w:fill="FFFFFF" w:val="clear"/>
          <w:rtl w:val="true"/>
        </w:rPr>
        <w:t xml:space="preserve">נדרש </w:t>
      </w:r>
      <w:r>
        <w:rPr>
          <w:color w:val="000000"/>
          <w:sz w:val="28"/>
          <w:sz w:val="28"/>
          <w:shd w:fill="FFFFFF" w:val="clear"/>
          <w:rtl w:val="true"/>
        </w:rPr>
        <w:t>להכריע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בעיקרו של דבר</w:t>
      </w:r>
      <w:r>
        <w:rPr>
          <w:color w:val="000000"/>
          <w:sz w:val="28"/>
          <w:shd w:fill="FFFFFF" w:val="clear"/>
          <w:rtl w:val="true"/>
        </w:rPr>
        <w:t>,</w:t>
      </w:r>
      <w:r>
        <w:rPr>
          <w:color w:val="000000"/>
          <w:sz w:val="28"/>
          <w:shd w:fill="FFFFFF" w:val="clear"/>
          <w:rtl w:val="true"/>
        </w:rPr>
        <w:t xml:space="preserve"> </w:t>
      </w:r>
      <w:r>
        <w:rPr>
          <w:color w:val="000000"/>
          <w:sz w:val="28"/>
          <w:sz w:val="28"/>
          <w:shd w:fill="FFFFFF" w:val="clear"/>
          <w:rtl w:val="true"/>
        </w:rPr>
        <w:t xml:space="preserve">בין </w:t>
      </w:r>
      <w:r>
        <w:rPr>
          <w:color w:val="000000"/>
          <w:sz w:val="28"/>
          <w:sz w:val="28"/>
          <w:shd w:fill="FFFFFF" w:val="clear"/>
          <w:rtl w:val="true"/>
        </w:rPr>
        <w:t>גרסת הנפגעת לגרסת הנאשם</w:t>
      </w:r>
      <w:r>
        <w:rPr>
          <w:color w:val="000000"/>
          <w:sz w:val="28"/>
          <w:shd w:fill="FFFFFF" w:val="clear"/>
          <w:rtl w:val="true"/>
        </w:rPr>
        <w:t xml:space="preserve">. </w:t>
      </w:r>
      <w:r>
        <w:rPr>
          <w:color w:val="000000"/>
          <w:sz w:val="28"/>
          <w:sz w:val="28"/>
          <w:shd w:fill="FFFFFF" w:val="clear"/>
          <w:rtl w:val="true"/>
        </w:rPr>
        <w:t>בנוסף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 xml:space="preserve">הכרעת מהימנות זו מתבססת על </w:t>
      </w:r>
      <w:r>
        <w:rPr>
          <w:rtl w:val="true"/>
        </w:rPr>
        <w:t>עדות קרבן עבירת מין</w:t>
      </w:r>
      <w:r>
        <w:rPr>
          <w:rtl w:val="true"/>
        </w:rPr>
        <w:t xml:space="preserve">, </w:t>
      </w:r>
      <w:r>
        <w:rPr>
          <w:sz w:val="22"/>
          <w:sz w:val="22"/>
          <w:rtl w:val="true"/>
        </w:rPr>
        <w:t xml:space="preserve">אשר </w:t>
      </w:r>
      <w:r>
        <w:rPr>
          <w:sz w:val="22"/>
          <w:sz w:val="22"/>
          <w:rtl w:val="true"/>
        </w:rPr>
        <w:t>מטבעה</w:t>
      </w:r>
      <w:r>
        <w:rPr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עוסקת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בנושא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אינטימי</w:t>
      </w:r>
      <w:r>
        <w:rPr>
          <w:sz w:val="22"/>
          <w:sz w:val="22"/>
          <w:rtl w:val="true"/>
        </w:rPr>
        <w:t xml:space="preserve"> ו</w:t>
      </w:r>
      <w:r>
        <w:rPr>
          <w:sz w:val="22"/>
          <w:sz w:val="22"/>
          <w:rtl w:val="true"/>
        </w:rPr>
        <w:t>טראומטי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שבו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מבט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  <w:rtl w:val="true"/>
        </w:rPr>
        <w:t>'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חיצוני</w:t>
      </w:r>
      <w:r>
        <w:rPr>
          <w:rFonts w:cs="Miriam"/>
          <w:b/>
          <w:spacing w:val="0"/>
          <w:sz w:val="22"/>
          <w:szCs w:val="24"/>
          <w:rtl w:val="true"/>
        </w:rPr>
        <w:t xml:space="preserve">',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ציפייה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לעדות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קוהרנטית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וסדורה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לספק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תמונה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חלקית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ובלתי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מדויקת</w:t>
      </w:r>
      <w:r>
        <w:rPr>
          <w:b/>
          <w:rtl w:val="true"/>
        </w:rPr>
        <w:t xml:space="preserve">"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8978/18</w:t>
        </w:r>
      </w:hyperlink>
      <w:r>
        <w:rPr>
          <w:sz w:val="22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נבו</w:t>
      </w:r>
      <w:r>
        <w:rPr>
          <w:sz w:val="22"/>
          <w:rtl w:val="true"/>
        </w:rPr>
        <w:t xml:space="preserve">] </w:t>
      </w:r>
      <w:r>
        <w:rPr>
          <w:sz w:val="22"/>
          <w:rtl w:val="true"/>
        </w:rPr>
        <w:t>(</w:t>
      </w:r>
      <w:r>
        <w:rPr>
          <w:sz w:val="22"/>
        </w:rPr>
        <w:t>4.2.2020</w:t>
      </w:r>
      <w:r>
        <w:rPr>
          <w:sz w:val="22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44">
        <w:r>
          <w:rPr>
            <w:rStyle w:val="Hyperlink"/>
            <w:rFonts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eastAsia="Garamond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color w:val="0000FF"/>
            <w:spacing w:val="0"/>
            <w:szCs w:val="24"/>
            <w:u w:val="single"/>
          </w:rPr>
          <w:t>8978/18</w:t>
        </w:r>
      </w:hyperlink>
      <w:r>
        <w:rPr>
          <w:rtl w:val="true"/>
        </w:rPr>
        <w:t>)</w:t>
      </w:r>
      <w:r>
        <w:rPr>
          <w:shd w:fill="FFFFFF" w:val="clear"/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6375/02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בבקוב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419</w:t>
      </w:r>
      <w:r>
        <w:rPr>
          <w:rtl w:val="true"/>
        </w:rPr>
        <w:t xml:space="preserve">, </w:t>
      </w:r>
      <w:r>
        <w:rPr/>
        <w:t>426-425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שיקול דעתה של הערכאה הדיונית</w:t>
      </w:r>
      <w:r>
        <w:rPr>
          <w:rtl w:val="true"/>
        </w:rPr>
        <w:t xml:space="preserve">, </w:t>
      </w:r>
      <w:r>
        <w:rPr>
          <w:rtl w:val="true"/>
        </w:rPr>
        <w:t>הכולל התרשמות בלתי אמצעית מהנפשות המעורבות בפרשה</w:t>
      </w:r>
      <w:r>
        <w:rPr>
          <w:rtl w:val="true"/>
        </w:rPr>
        <w:t xml:space="preserve">, </w:t>
      </w:r>
      <w:r>
        <w:rPr>
          <w:rtl w:val="true"/>
        </w:rPr>
        <w:t xml:space="preserve">והערכת העדויות לפי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התנהגותם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העדים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הענין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ואותות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המתגלים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במשך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כאמור </w:t>
      </w:r>
      <w:hyperlink r:id="rId4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מקבל משנה חשיבות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כי אין מדובר ב</w:t>
      </w:r>
      <w:r>
        <w:rPr>
          <w:rtl w:val="true"/>
        </w:rPr>
        <w:t>קביעה</w:t>
      </w:r>
      <w:r>
        <w:rPr>
          <w:rtl w:val="true"/>
        </w:rPr>
        <w:t xml:space="preserve"> </w:t>
      </w:r>
      <w:r>
        <w:rPr>
          <w:rtl w:val="true"/>
        </w:rPr>
        <w:t xml:space="preserve">שיש בה כדי להקנות </w:t>
      </w:r>
      <w:r>
        <w:rPr>
          <w:rtl w:val="true"/>
        </w:rPr>
        <w:t>'</w:t>
      </w:r>
      <w:r>
        <w:rPr>
          <w:rtl w:val="true"/>
        </w:rPr>
        <w:t>חסינות</w:t>
      </w:r>
      <w:r>
        <w:rPr>
          <w:rtl w:val="true"/>
        </w:rPr>
        <w:t xml:space="preserve">' </w:t>
      </w:r>
      <w:r>
        <w:rPr>
          <w:rtl w:val="true"/>
        </w:rPr>
        <w:t>לממצאי הערכאה הדיונית בעבירות מין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שומה עלינו לבחון בדקדקנות את ההצדקה ליישום כלל 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; </w:t>
      </w:r>
      <w:r>
        <w:rPr>
          <w:rtl w:val="true"/>
        </w:rPr>
        <w:t xml:space="preserve">כל מקרה ונסיבותיו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אות</w:t>
      </w:r>
      <w:r>
        <w:rPr>
          <w:rtl w:val="true"/>
        </w:rPr>
        <w:t xml:space="preserve"> </w:t>
      </w:r>
      <w:r>
        <w:rPr/>
        <w:t>9-8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 xml:space="preserve">של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גרוניס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נבו</w:t>
      </w:r>
      <w:r>
        <w:rPr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12.1.</w:t>
      </w:r>
      <w:r>
        <w:rPr/>
        <w:t>2012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4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3250/10</w:t>
        </w:r>
      </w:hyperlink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שם הודגש כי ההקלה הראייתית שהוקנתה </w:t>
      </w:r>
      <w:hyperlink r:id="rId5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לבסס הרשעה בעבירות מין על סמך עדות הקורבן בכפוף לפירוט הנימוקים לכך</w:t>
      </w:r>
      <w:r>
        <w:rPr>
          <w:rtl w:val="true"/>
        </w:rPr>
        <w:t xml:space="preserve">, </w:t>
      </w:r>
      <w:r>
        <w:rPr>
          <w:rtl w:val="true"/>
        </w:rPr>
        <w:t xml:space="preserve">מחייבת בדיקה קפדנית אם בנסיבות העניין קמה הצדקה להחלת </w:t>
      </w:r>
      <w:r>
        <w:rPr>
          <w:rtl w:val="true"/>
        </w:rPr>
        <w:t xml:space="preserve">כלל </w:t>
      </w:r>
      <w:r>
        <w:rPr>
          <w:rtl w:val="true"/>
        </w:rPr>
        <w:t>'</w:t>
      </w:r>
      <w:r>
        <w:rPr>
          <w:rtl w:val="true"/>
        </w:rPr>
        <w:t>אי ההתערבות</w:t>
      </w:r>
      <w:r>
        <w:rPr>
          <w:rtl w:val="true"/>
        </w:rPr>
        <w:t>';</w:t>
      </w:r>
      <w:r>
        <w:rPr>
          <w:rtl w:val="true"/>
        </w:rPr>
        <w:t xml:space="preserve"> </w:t>
      </w:r>
      <w:r>
        <w:rPr>
          <w:rtl w:val="true"/>
        </w:rPr>
        <w:t>וראו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8794/20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נבו</w:t>
      </w:r>
      <w:r>
        <w:rPr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10.5.2022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בגדרי בדיקה זו</w:t>
      </w:r>
      <w:r>
        <w:rPr>
          <w:rtl w:val="true"/>
        </w:rPr>
        <w:t xml:space="preserve">, </w:t>
      </w:r>
      <w:r>
        <w:rPr>
          <w:rtl w:val="true"/>
        </w:rPr>
        <w:t>יבחנו ה</w:t>
      </w:r>
      <w:r>
        <w:rPr>
          <w:rtl w:val="true"/>
        </w:rPr>
        <w:t xml:space="preserve">חריגים </w:t>
      </w:r>
      <w:r>
        <w:rPr>
          <w:rtl w:val="true"/>
        </w:rPr>
        <w:t xml:space="preserve">שנקבעו לכלל </w:t>
      </w:r>
      <w:r>
        <w:rPr>
          <w:rtl w:val="true"/>
        </w:rPr>
        <w:t>'</w:t>
      </w:r>
      <w:r>
        <w:rPr>
          <w:rtl w:val="true"/>
        </w:rPr>
        <w:t>אי ההתערבות</w:t>
      </w:r>
      <w:r>
        <w:rPr>
          <w:rtl w:val="true"/>
        </w:rPr>
        <w:t xml:space="preserve">', </w:t>
      </w:r>
      <w:r>
        <w:rPr>
          <w:rtl w:val="true"/>
        </w:rPr>
        <w:t xml:space="preserve">אשר </w:t>
      </w:r>
      <w:r>
        <w:rPr>
          <w:rtl w:val="true"/>
        </w:rPr>
        <w:t>בהתקיימם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עשוי לקום צידוק להתערבות בממצאי מהימנות שנקבעו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. </w:t>
      </w:r>
      <w:r>
        <w:rPr>
          <w:rtl w:val="true"/>
        </w:rPr>
        <w:t>מבין חריגים אלו</w:t>
      </w:r>
      <w:r>
        <w:rPr>
          <w:rtl w:val="true"/>
        </w:rPr>
        <w:t xml:space="preserve">, </w:t>
      </w:r>
      <w:r>
        <w:rPr>
          <w:rtl w:val="true"/>
        </w:rPr>
        <w:t xml:space="preserve">ניתן למנות מקרים שבהם </w:t>
      </w:r>
      <w:r>
        <w:rPr>
          <w:rtl w:val="true"/>
        </w:rPr>
        <w:t xml:space="preserve">מבוססים ממצאיה של הערכאה הדיונית על שיקולים </w:t>
      </w:r>
      <w:r>
        <w:rPr>
          <w:rtl w:val="true"/>
        </w:rPr>
        <w:t>ש</w:t>
      </w:r>
      <w:r>
        <w:rPr>
          <w:rtl w:val="true"/>
        </w:rPr>
        <w:t xml:space="preserve">בהיגיון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הגיונה הפנימי של העדות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מקרים שבהם</w:t>
      </w:r>
      <w:r>
        <w:rPr>
          <w:rtl w:val="true"/>
        </w:rPr>
        <w:t xml:space="preserve"> נבחנת סבירות העדות ביחס לעדויות אחרות</w:t>
      </w:r>
      <w:r>
        <w:rPr>
          <w:rtl w:val="true"/>
        </w:rPr>
        <w:t xml:space="preserve">; </w:t>
      </w:r>
      <w:r>
        <w:rPr>
          <w:rtl w:val="true"/>
        </w:rPr>
        <w:t>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נקבעו</w:t>
      </w:r>
      <w:r>
        <w:rPr>
          <w:rtl w:val="true"/>
        </w:rPr>
        <w:t xml:space="preserve"> </w:t>
      </w:r>
      <w:r>
        <w:rPr>
          <w:rtl w:val="true"/>
        </w:rPr>
        <w:t>הממצאים</w:t>
      </w:r>
      <w:r>
        <w:rPr>
          <w:rtl w:val="true"/>
        </w:rPr>
        <w:t xml:space="preserve"> </w:t>
      </w:r>
      <w:r>
        <w:rPr>
          <w:rtl w:val="true"/>
        </w:rPr>
        <w:t>בהסתמך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שבכתב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tl w:val="true"/>
        </w:rPr>
        <w:t xml:space="preserve"> </w:t>
      </w:r>
      <w:r>
        <w:rPr>
          <w:rtl w:val="true"/>
        </w:rPr>
        <w:t>מאלו</w:t>
      </w:r>
      <w:r>
        <w:rPr>
          <w:rtl w:val="true"/>
        </w:rPr>
        <w:t xml:space="preserve"> </w:t>
      </w:r>
      <w:r>
        <w:rPr>
          <w:rtl w:val="true"/>
        </w:rPr>
        <w:t>המתבסס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דבריהם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; </w:t>
      </w:r>
      <w:r>
        <w:rPr>
          <w:rtl w:val="true"/>
        </w:rPr>
        <w:t>ומקרים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בהם שוכנעה ערכאת הערעור כי הערכאה המבררת לא יכולה היתה לקבוע את הממצאים שנקבעו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hyperlink r:id="rId5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3250/10</w:t>
        </w:r>
      </w:hyperlink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הנשיא</w:t>
      </w:r>
      <w:r>
        <w:rPr>
          <w:rtl w:val="true"/>
        </w:rPr>
        <w:t xml:space="preserve"> </w:t>
      </w:r>
      <w:r>
        <w:rPr>
          <w:rtl w:val="true"/>
        </w:rPr>
        <w:t>גרוניס</w:t>
      </w:r>
      <w:r>
        <w:rPr>
          <w:rtl w:val="true"/>
        </w:rPr>
        <w:t xml:space="preserve">; </w:t>
      </w:r>
      <w:hyperlink r:id="rId54">
        <w:r>
          <w:rPr>
            <w:rStyle w:val="Hyperlink"/>
            <w:rFonts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eastAsia="Garamond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color w:val="0000FF"/>
            <w:spacing w:val="0"/>
            <w:sz w:val="22"/>
            <w:szCs w:val="24"/>
            <w:u w:val="single"/>
          </w:rPr>
          <w:t>8978/18</w:t>
        </w:r>
      </w:hyperlink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23</w:t>
      </w:r>
      <w:r>
        <w:rPr>
          <w:sz w:val="22"/>
          <w:rtl w:val="true"/>
        </w:rPr>
        <w:t>)</w:t>
      </w:r>
      <w:r>
        <w:rPr>
          <w:rtl w:val="true"/>
        </w:rPr>
        <w:t>.</w:t>
        <w:tab/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טוען המערער כי בית המשפט המחוזי התעלם מסתירות מהותיות שנתגלו בעדויותיהן של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'; </w:t>
      </w:r>
      <w:r>
        <w:rPr>
          <w:rtl w:val="true"/>
        </w:rPr>
        <w:t>כי קביעות המהימנות בנדון מתבססות בעיקרן על שיקולים שבהגיון ובשכל ישר</w:t>
      </w:r>
      <w:r>
        <w:rPr>
          <w:rtl w:val="true"/>
        </w:rPr>
        <w:t xml:space="preserve">; </w:t>
      </w:r>
      <w:r>
        <w:rPr>
          <w:rtl w:val="true"/>
        </w:rPr>
        <w:t xml:space="preserve">וכי הרשעתו מתבססת על מסקנות </w:t>
      </w:r>
      <w:r>
        <w:rPr>
          <w:rtl w:val="true"/>
        </w:rPr>
        <w:t>–</w:t>
      </w:r>
      <w:r>
        <w:rPr>
          <w:rtl w:val="true"/>
        </w:rPr>
        <w:t xml:space="preserve"> לא על עובדות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נופלת הכרעתו של בית המשפט המחוזי בגדרי החריגים הנזכרים</w:t>
      </w:r>
      <w:r>
        <w:rPr>
          <w:rtl w:val="true"/>
        </w:rPr>
        <w:t xml:space="preserve">. </w:t>
      </w:r>
      <w:r>
        <w:rPr>
          <w:rtl w:val="true"/>
        </w:rPr>
        <w:t>נפנה אפוא לבחון את טענותיו</w:t>
      </w:r>
      <w:r>
        <w:rPr>
          <w:rtl w:val="true"/>
        </w:rPr>
        <w:t xml:space="preserve">, </w:t>
      </w:r>
      <w:r>
        <w:rPr>
          <w:rtl w:val="true"/>
        </w:rPr>
        <w:t>אם יש בהן ממש</w:t>
      </w:r>
      <w:r>
        <w:rPr>
          <w:rtl w:val="true"/>
        </w:rPr>
        <w:t xml:space="preserve">, </w:t>
      </w:r>
      <w:r>
        <w:rPr>
          <w:rtl w:val="true"/>
        </w:rPr>
        <w:t>אם לאו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הקביעות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 אינו חולק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על כך 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דוברת אמת</w:t>
      </w:r>
      <w:r>
        <w:rPr>
          <w:rtl w:val="true"/>
        </w:rPr>
        <w:t xml:space="preserve">, </w:t>
      </w:r>
      <w:r>
        <w:rPr>
          <w:rtl w:val="true"/>
        </w:rPr>
        <w:t>אלא שלדידו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כאשר קיבל את פרשנותה לאירוע</w:t>
      </w:r>
      <w:r>
        <w:rPr>
          <w:rtl w:val="true"/>
        </w:rPr>
        <w:t xml:space="preserve">, </w:t>
      </w:r>
      <w:r>
        <w:rPr>
          <w:rtl w:val="true"/>
        </w:rPr>
        <w:t>שמקורה</w:t>
      </w:r>
      <w:r>
        <w:rPr>
          <w:rtl w:val="true"/>
        </w:rPr>
        <w:t xml:space="preserve">, </w:t>
      </w:r>
      <w:r>
        <w:rPr>
          <w:rtl w:val="true"/>
        </w:rPr>
        <w:t>כך המערער</w:t>
      </w:r>
      <w:r>
        <w:rPr>
          <w:rtl w:val="true"/>
        </w:rPr>
        <w:t xml:space="preserve">, </w:t>
      </w:r>
      <w:r>
        <w:rPr>
          <w:rtl w:val="true"/>
        </w:rPr>
        <w:t>בחוויה מינית סובייקטיבית שחוותה</w:t>
      </w:r>
      <w:r>
        <w:rPr>
          <w:rtl w:val="true"/>
        </w:rPr>
        <w:t xml:space="preserve">, </w:t>
      </w:r>
      <w:r>
        <w:rPr>
          <w:rtl w:val="true"/>
        </w:rPr>
        <w:t>אשר כלל לא נבעה מאופן ביצוע הבדיקה 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החלוקה שמציג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בין תמונת העולם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הסובייקטיבית</w:t>
      </w:r>
      <w:r>
        <w:rPr>
          <w:rtl w:val="true"/>
        </w:rPr>
        <w:t xml:space="preserve"> של נפגעת העבירה</w:t>
      </w:r>
      <w:r>
        <w:rPr>
          <w:rtl w:val="true"/>
        </w:rPr>
        <w:t xml:space="preserve">, </w:t>
      </w:r>
      <w:r>
        <w:rPr>
          <w:rtl w:val="true"/>
        </w:rPr>
        <w:t>אותה אימץ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לבין זו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האובייקטיבית</w:t>
      </w:r>
      <w:r>
        <w:rPr>
          <w:rtl w:val="true"/>
        </w:rPr>
        <w:t xml:space="preserve">, </w:t>
      </w:r>
      <w:r>
        <w:rPr>
          <w:rtl w:val="true"/>
        </w:rPr>
        <w:t>שבה התנהלה בדיקה גניקולוגית רגילה ושגרתית</w:t>
      </w:r>
      <w:r>
        <w:rPr>
          <w:rtl w:val="true"/>
        </w:rPr>
        <w:t xml:space="preserve">, </w:t>
      </w:r>
      <w:r>
        <w:rPr>
          <w:rtl w:val="true"/>
        </w:rPr>
        <w:t>משרתת את טענותיו</w:t>
      </w:r>
      <w:r>
        <w:rPr>
          <w:rtl w:val="true"/>
        </w:rPr>
        <w:t xml:space="preserve">, </w:t>
      </w:r>
      <w:r>
        <w:rPr>
          <w:rtl w:val="true"/>
        </w:rPr>
        <w:t xml:space="preserve">ובמבט ראשון </w:t>
      </w:r>
      <w:r>
        <w:rPr>
          <w:rtl w:val="true"/>
        </w:rPr>
        <w:t>–</w:t>
      </w:r>
      <w:r>
        <w:rPr>
          <w:rtl w:val="true"/>
        </w:rPr>
        <w:t xml:space="preserve"> מעלה מחשבה ותהייה</w:t>
      </w:r>
      <w:r>
        <w:rPr>
          <w:rtl w:val="true"/>
        </w:rPr>
        <w:t xml:space="preserve">;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מבט נוסף ילמדנו כי אין זו אלא הבחנה מלאכותית</w:t>
      </w:r>
      <w:r>
        <w:rPr>
          <w:rtl w:val="true"/>
        </w:rPr>
        <w:t xml:space="preserve">, </w:t>
      </w:r>
      <w:r>
        <w:rPr>
          <w:rtl w:val="true"/>
        </w:rPr>
        <w:t>שאינה עולה בקנה אחד עם חומר הראיות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בית המשפט המחוזי קבע מפורשות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'</w:t>
      </w:r>
      <w:r>
        <w:rPr>
          <w:rtl w:val="true"/>
        </w:rPr>
        <w:t>הטיפול</w:t>
      </w:r>
      <w:r>
        <w:rPr>
          <w:rtl w:val="true"/>
        </w:rPr>
        <w:t xml:space="preserve">' </w:t>
      </w:r>
      <w:r>
        <w:rPr>
          <w:rtl w:val="true"/>
        </w:rPr>
        <w:t>של המערער ב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התנהל שלא בהתאם לפרוטוקול הרפואי המקובל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הצביע בית המשפט המחוזי על הותרתה של א</w:t>
      </w:r>
      <w:r>
        <w:rPr>
          <w:rtl w:val="true"/>
        </w:rPr>
        <w:t xml:space="preserve">' </w:t>
      </w:r>
      <w:r>
        <w:rPr>
          <w:rtl w:val="true"/>
        </w:rPr>
        <w:t>כשפלג גופה התחתון נותר חשוף</w:t>
      </w:r>
      <w:r>
        <w:rPr>
          <w:rtl w:val="true"/>
        </w:rPr>
        <w:t xml:space="preserve">, </w:t>
      </w:r>
      <w:r>
        <w:rPr>
          <w:rtl w:val="true"/>
        </w:rPr>
        <w:t>ללא כיסוי</w:t>
      </w:r>
      <w:r>
        <w:rPr>
          <w:rtl w:val="true"/>
        </w:rPr>
        <w:t xml:space="preserve">, </w:t>
      </w:r>
      <w:r>
        <w:rPr>
          <w:rtl w:val="true"/>
        </w:rPr>
        <w:t>בעת הבדיקה</w:t>
      </w:r>
      <w:r>
        <w:rPr>
          <w:rtl w:val="true"/>
        </w:rPr>
        <w:t xml:space="preserve">; </w:t>
      </w:r>
      <w:r>
        <w:rPr>
          <w:rtl w:val="true"/>
        </w:rPr>
        <w:t>על שאלותיו של המערער לגבי יחסי המין של א</w:t>
      </w:r>
      <w:r>
        <w:rPr>
          <w:rtl w:val="true"/>
        </w:rPr>
        <w:t xml:space="preserve">' </w:t>
      </w:r>
      <w:r>
        <w:rPr>
          <w:rtl w:val="true"/>
        </w:rPr>
        <w:t>עם בן זוגה</w:t>
      </w:r>
      <w:r>
        <w:rPr>
          <w:rtl w:val="true"/>
        </w:rPr>
        <w:t xml:space="preserve">, </w:t>
      </w:r>
      <w:r>
        <w:rPr>
          <w:rtl w:val="true"/>
        </w:rPr>
        <w:t>תוך כדי ביצוע הבדיקה הרפואית</w:t>
      </w:r>
      <w:r>
        <w:rPr>
          <w:rtl w:val="true"/>
        </w:rPr>
        <w:t xml:space="preserve">; </w:t>
      </w:r>
      <w:r>
        <w:rPr>
          <w:rtl w:val="true"/>
        </w:rPr>
        <w:t>על תפיסת המערער את ידה של א</w:t>
      </w:r>
      <w:r>
        <w:rPr>
          <w:rtl w:val="true"/>
        </w:rPr>
        <w:t xml:space="preserve">' </w:t>
      </w:r>
      <w:r>
        <w:rPr>
          <w:rtl w:val="true"/>
        </w:rPr>
        <w:t>לאחר שבכתה</w:t>
      </w:r>
      <w:r>
        <w:rPr>
          <w:rtl w:val="true"/>
        </w:rPr>
        <w:t xml:space="preserve">, </w:t>
      </w:r>
      <w:r>
        <w:rPr>
          <w:rtl w:val="true"/>
        </w:rPr>
        <w:t xml:space="preserve">בציינו כי </w:t>
      </w:r>
      <w:r>
        <w:rPr>
          <w:rtl w:val="true"/>
        </w:rPr>
        <w:t>'</w:t>
      </w:r>
      <w:r>
        <w:rPr>
          <w:rtl w:val="true"/>
        </w:rPr>
        <w:t>מדובר בבדיקה רגילה</w:t>
      </w:r>
      <w:r>
        <w:rPr>
          <w:rtl w:val="true"/>
        </w:rPr>
        <w:t xml:space="preserve">'; </w:t>
      </w:r>
      <w:r>
        <w:rPr>
          <w:rtl w:val="true"/>
        </w:rPr>
        <w:t xml:space="preserve">וחשוב מכל </w:t>
      </w:r>
      <w:r>
        <w:rPr>
          <w:rtl w:val="true"/>
        </w:rPr>
        <w:t>–</w:t>
      </w:r>
      <w:r>
        <w:rPr>
          <w:rtl w:val="true"/>
        </w:rPr>
        <w:t xml:space="preserve"> על אופן ביצוע הבדיקה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משך הזמן של הבדיקה</w:t>
      </w:r>
      <w:r>
        <w:rPr>
          <w:rtl w:val="true"/>
        </w:rPr>
        <w:t xml:space="preserve">, </w:t>
      </w:r>
      <w:r>
        <w:rPr>
          <w:rtl w:val="true"/>
        </w:rPr>
        <w:t>שחרג במובהק מהמקובל בכגון דא</w:t>
      </w:r>
      <w:r>
        <w:rPr>
          <w:rtl w:val="true"/>
        </w:rPr>
        <w:t xml:space="preserve">; </w:t>
      </w:r>
      <w:r>
        <w:rPr>
          <w:rtl w:val="true"/>
        </w:rPr>
        <w:t>על הכנסת אצבעותיו של המערער לאיבר מינה של א</w:t>
      </w:r>
      <w:r>
        <w:rPr>
          <w:rtl w:val="true"/>
        </w:rPr>
        <w:t xml:space="preserve">' </w:t>
      </w:r>
      <w:r>
        <w:rPr>
          <w:rtl w:val="true"/>
        </w:rPr>
        <w:t>מספר רב של פעמים</w:t>
      </w:r>
      <w:r>
        <w:rPr>
          <w:rtl w:val="true"/>
        </w:rPr>
        <w:t xml:space="preserve">, </w:t>
      </w:r>
      <w:r>
        <w:rPr>
          <w:rtl w:val="true"/>
        </w:rPr>
        <w:t xml:space="preserve">גם כאשר היא מפנה את גבה אליו </w:t>
      </w:r>
      <w:r>
        <w:rPr>
          <w:rtl w:val="true"/>
        </w:rPr>
        <w:t>–</w:t>
      </w:r>
      <w:r>
        <w:rPr>
          <w:rtl w:val="true"/>
        </w:rPr>
        <w:t xml:space="preserve"> אף זאת בניגוד למקובל</w:t>
      </w:r>
      <w:r>
        <w:rPr>
          <w:rtl w:val="true"/>
        </w:rPr>
        <w:t xml:space="preserve">; </w:t>
      </w:r>
      <w:r>
        <w:rPr>
          <w:rtl w:val="true"/>
        </w:rPr>
        <w:t>וכן על מניעתו מ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לחזור אל פניה</w:t>
      </w:r>
      <w:r>
        <w:rPr>
          <w:rtl w:val="true"/>
        </w:rPr>
        <w:t xml:space="preserve">, </w:t>
      </w:r>
      <w:r>
        <w:rPr>
          <w:rtl w:val="true"/>
        </w:rPr>
        <w:t>אל תנוחתה המקורית</w:t>
      </w:r>
      <w:r>
        <w:rPr>
          <w:rtl w:val="true"/>
        </w:rPr>
        <w:t xml:space="preserve">, </w:t>
      </w:r>
      <w:r>
        <w:rPr>
          <w:rtl w:val="true"/>
        </w:rPr>
        <w:t>כאשר ביקשה לעשות כן</w:t>
      </w:r>
      <w:r>
        <w:rPr>
          <w:rtl w:val="true"/>
        </w:rPr>
        <w:t xml:space="preserve">. </w:t>
      </w:r>
      <w:r>
        <w:rPr>
          <w:rtl w:val="true"/>
        </w:rPr>
        <w:t>שרטוט נסיבות ביצוע העבירה לא נעשה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על יסוד תחושותיה של א</w:t>
      </w:r>
      <w:r>
        <w:rPr>
          <w:rtl w:val="true"/>
        </w:rPr>
        <w:t xml:space="preserve">' </w:t>
      </w:r>
      <w:r>
        <w:rPr>
          <w:rtl w:val="true"/>
        </w:rPr>
        <w:t>לבדן</w:t>
      </w:r>
      <w:r>
        <w:rPr>
          <w:rtl w:val="true"/>
        </w:rPr>
        <w:t xml:space="preserve">; </w:t>
      </w:r>
      <w:r>
        <w:rPr>
          <w:rtl w:val="true"/>
        </w:rPr>
        <w:t>אלא נשען על שלל ממצאים עובדתיים שנמסרו בעדותה</w:t>
      </w:r>
      <w:r>
        <w:rPr>
          <w:rtl w:val="true"/>
        </w:rPr>
        <w:t xml:space="preserve">, </w:t>
      </w:r>
      <w:r>
        <w:rPr>
          <w:rtl w:val="true"/>
        </w:rPr>
        <w:t>אשר נמצאה אמינה</w:t>
      </w:r>
      <w:r>
        <w:rPr>
          <w:rtl w:val="true"/>
        </w:rPr>
        <w:t xml:space="preserve">.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מלמדים על מעשים שרב המרחק בינם לבין טיפול גניקולוגי מקובל</w:t>
      </w:r>
      <w:r>
        <w:rPr>
          <w:rtl w:val="true"/>
        </w:rPr>
        <w:t xml:space="preserve">. </w:t>
      </w:r>
      <w:r>
        <w:rPr>
          <w:rtl w:val="true"/>
        </w:rPr>
        <w:t>בצדק טענה המשיבה בעיקרי הטיעון מטעמה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לפנינו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שאלות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פרשנות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מערכת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עובדות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מוסכמת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אלא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מחלוקת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עמוקה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בשאלה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עובדתית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ועל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אף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שביחס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</w:t>
      </w:r>
      <w:r>
        <w:rPr>
          <w:rFonts w:cs="Miriam"/>
          <w:b/>
          <w:spacing w:val="0"/>
          <w:szCs w:val="24"/>
          <w:rtl w:val="true"/>
        </w:rPr>
        <w:t>[</w:t>
      </w:r>
      <w:r>
        <w:rPr>
          <w:rFonts w:cs="Miriam"/>
          <w:b/>
          <w:b/>
          <w:spacing w:val="0"/>
          <w:szCs w:val="24"/>
          <w:rtl w:val="true"/>
        </w:rPr>
        <w:t>נפגעת</w:t>
      </w:r>
      <w:r>
        <w:rPr>
          <w:rFonts w:cs="Miriam"/>
          <w:b/>
          <w:spacing w:val="0"/>
          <w:szCs w:val="24"/>
          <w:rtl w:val="true"/>
        </w:rPr>
        <w:t xml:space="preserve">]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שב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וטוען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טעתה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בפרשנות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בפועל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הוא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חלק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מרבית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העובדות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שתיארה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בגרסתה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שמסקנת בית המשפט המחוזי נטועה עמוק בקביעות עובדתיות</w:t>
      </w:r>
      <w:r>
        <w:rPr>
          <w:rtl w:val="true"/>
        </w:rPr>
        <w:t xml:space="preserve">, </w:t>
      </w:r>
      <w:r>
        <w:rPr>
          <w:rtl w:val="true"/>
        </w:rPr>
        <w:t>הנגזרות ממידת המהימנות שייחס לעדותה של א</w:t>
      </w:r>
      <w:r>
        <w:rPr>
          <w:rtl w:val="true"/>
        </w:rPr>
        <w:t xml:space="preserve">' </w:t>
      </w:r>
      <w:r>
        <w:rPr>
          <w:rtl w:val="true"/>
        </w:rPr>
        <w:t>מזה</w:t>
      </w:r>
      <w:r>
        <w:rPr>
          <w:rtl w:val="true"/>
        </w:rPr>
        <w:t xml:space="preserve">, </w:t>
      </w:r>
      <w:r>
        <w:rPr>
          <w:rtl w:val="true"/>
        </w:rPr>
        <w:t>ולמערער מזה</w:t>
      </w:r>
      <w:r>
        <w:rPr>
          <w:rtl w:val="true"/>
        </w:rPr>
        <w:t xml:space="preserve">; </w:t>
      </w:r>
      <w:r>
        <w:rPr>
          <w:rtl w:val="true"/>
        </w:rPr>
        <w:t>הנטל להראות כי מתקיים בנדון החריג לכלל אי</w:t>
      </w:r>
      <w:r>
        <w:rPr>
          <w:rtl w:val="true"/>
        </w:rPr>
        <w:t>-</w:t>
      </w:r>
      <w:r>
        <w:rPr>
          <w:rtl w:val="true"/>
        </w:rPr>
        <w:t xml:space="preserve">ההתערבות </w:t>
      </w:r>
      <w:r>
        <w:rPr>
          <w:rtl w:val="true"/>
        </w:rPr>
        <w:t>–</w:t>
      </w:r>
      <w:r>
        <w:rPr>
          <w:rtl w:val="true"/>
        </w:rPr>
        <w:t xml:space="preserve"> לא הורם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דרך נוספת בה פוסע המערער בניסיונו לשכנענו להתערב בקביעות בית המשפט המחוזי</w:t>
      </w:r>
      <w:r>
        <w:rPr>
          <w:rtl w:val="true"/>
        </w:rPr>
        <w:t xml:space="preserve">, </w:t>
      </w:r>
      <w:r>
        <w:rPr>
          <w:rtl w:val="true"/>
        </w:rPr>
        <w:t>ולדחות את גרסתה של א</w:t>
      </w:r>
      <w:r>
        <w:rPr>
          <w:rtl w:val="true"/>
        </w:rPr>
        <w:t xml:space="preserve">', </w:t>
      </w:r>
      <w:r>
        <w:rPr>
          <w:rtl w:val="true"/>
        </w:rPr>
        <w:t>היא עמידה על סתירות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בין עדויותיה השונות בבית המשפט ובמשטרה</w:t>
      </w:r>
      <w:r>
        <w:rPr>
          <w:rtl w:val="true"/>
        </w:rPr>
        <w:t xml:space="preserve">. </w:t>
      </w:r>
      <w:r>
        <w:rPr>
          <w:rtl w:val="true"/>
        </w:rPr>
        <w:t>אקדים ואומר</w:t>
      </w:r>
      <w:r>
        <w:rPr>
          <w:rtl w:val="true"/>
        </w:rPr>
        <w:t xml:space="preserve">, </w:t>
      </w:r>
      <w:r>
        <w:rPr>
          <w:rtl w:val="true"/>
        </w:rPr>
        <w:t xml:space="preserve">כי בחינת טענות אלה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תֵעשה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כמכלול</w:t>
      </w:r>
      <w:r>
        <w:rPr>
          <w:rtl w:val="true"/>
        </w:rPr>
        <w:t xml:space="preserve">, </w:t>
      </w:r>
      <w:r>
        <w:rPr>
          <w:rtl w:val="true"/>
        </w:rPr>
        <w:t>כחלק מבחינת המסקנות עליהן מתבססת ההרשעה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כנגזרת ישירה של כלל </w:t>
      </w:r>
      <w:r>
        <w:rPr>
          <w:rtl w:val="true"/>
        </w:rPr>
        <w:t>'</w:t>
      </w:r>
      <w:r>
        <w:rPr>
          <w:rtl w:val="true"/>
        </w:rPr>
        <w:t>אי ההתערבות</w:t>
      </w:r>
      <w:r>
        <w:rPr>
          <w:rtl w:val="true"/>
        </w:rPr>
        <w:t xml:space="preserve">'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לסתור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שעליהן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מושתתת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ההרשעה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משמעותי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ההנמקות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ביציבותו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ליקוי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אסתטי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hyperlink r:id="rId5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316/85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גרינוולד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564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574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1986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124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נבו</w:t>
      </w:r>
      <w:r>
        <w:rPr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10.11.2011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הסתירות עליהן מצביע המערער אינן עומדות באמות מידה אלו</w:t>
      </w:r>
      <w:r>
        <w:rPr>
          <w:rtl w:val="true"/>
        </w:rPr>
        <w:t xml:space="preserve">, </w:t>
      </w:r>
      <w:r>
        <w:rPr>
          <w:rtl w:val="true"/>
        </w:rPr>
        <w:t>ולוּ בקירוב</w:t>
      </w:r>
      <w:r>
        <w:rPr>
          <w:rtl w:val="true"/>
        </w:rPr>
        <w:t xml:space="preserve">. </w:t>
      </w:r>
      <w:r>
        <w:rPr>
          <w:rtl w:val="true"/>
        </w:rPr>
        <w:t>באשר לתנודות מסוימות ביחס לנקודת הזמן שבה הבינה א</w:t>
      </w:r>
      <w:r>
        <w:rPr>
          <w:rtl w:val="true"/>
        </w:rPr>
        <w:t xml:space="preserve">' </w:t>
      </w:r>
      <w:r>
        <w:rPr>
          <w:rtl w:val="true"/>
        </w:rPr>
        <w:t>כי פעולותיו של המערער חורגות מגדר מהלך בדיקה תקין</w:t>
      </w:r>
      <w:r>
        <w:rPr>
          <w:rtl w:val="true"/>
        </w:rPr>
        <w:t xml:space="preserve">, </w:t>
      </w:r>
      <w:r>
        <w:rPr>
          <w:rtl w:val="true"/>
        </w:rPr>
        <w:t xml:space="preserve">או ביחס לשלב במפגש שבו הפנה אליה המערער שאלות הנוגעות ליחסי המין שלה עם בן זוגה </w:t>
      </w:r>
      <w:r>
        <w:rPr>
          <w:rtl w:val="true"/>
        </w:rPr>
        <w:t>–</w:t>
      </w:r>
      <w:r>
        <w:rPr>
          <w:rtl w:val="true"/>
        </w:rPr>
        <w:t xml:space="preserve"> הללו כלל אינן עולות כדי סתירות ממשיות בעדותה</w:t>
      </w:r>
      <w:r>
        <w:rPr>
          <w:rtl w:val="true"/>
        </w:rPr>
        <w:t xml:space="preserve">. </w:t>
      </w:r>
      <w:r>
        <w:rPr>
          <w:rtl w:val="true"/>
        </w:rPr>
        <w:t>כך גם לגבי העובדה שפרטים מסוימים על אודות מהלך הביקור נמסרו רק בהודעתה השניה במשטרה</w:t>
      </w:r>
      <w:r>
        <w:rPr>
          <w:rtl w:val="true"/>
        </w:rPr>
        <w:t xml:space="preserve">, </w:t>
      </w:r>
      <w:r>
        <w:rPr>
          <w:rtl w:val="true"/>
        </w:rPr>
        <w:t>כשנה מאוחר יותר</w:t>
      </w:r>
      <w:r>
        <w:rPr>
          <w:rtl w:val="true"/>
        </w:rPr>
        <w:t xml:space="preserve">. </w:t>
      </w:r>
      <w:r>
        <w:rPr>
          <w:rtl w:val="true"/>
        </w:rPr>
        <w:t>בדומה לכך</w:t>
      </w:r>
      <w:r>
        <w:rPr>
          <w:rtl w:val="true"/>
        </w:rPr>
        <w:t xml:space="preserve">, </w:t>
      </w:r>
      <w:r>
        <w:rPr>
          <w:rtl w:val="true"/>
        </w:rPr>
        <w:t>טענות המערער 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שינויים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מהותיים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שחלו בעדויות א</w:t>
      </w:r>
      <w:r>
        <w:rPr>
          <w:rtl w:val="true"/>
        </w:rPr>
        <w:t xml:space="preserve">', </w:t>
      </w:r>
      <w:r>
        <w:rPr>
          <w:rtl w:val="true"/>
        </w:rPr>
        <w:t>שהביאו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להוצאת הדברים מהקשרם הרפואי</w:t>
      </w:r>
      <w:r>
        <w:rPr>
          <w:rtl w:val="true"/>
        </w:rPr>
        <w:t xml:space="preserve">, </w:t>
      </w:r>
      <w:r>
        <w:rPr>
          <w:rtl w:val="true"/>
        </w:rPr>
        <w:t xml:space="preserve">תחומות </w:t>
      </w:r>
      <w:r>
        <w:rPr>
          <w:rFonts w:ascii="Century" w:hAnsi="Century" w:cs="Century"/>
          <w:sz w:val="22"/>
          <w:sz w:val="22"/>
          <w:rtl w:val="true"/>
        </w:rPr>
        <w:t>בעניינים שמשקלם שולי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אף אם אניח</w:t>
      </w:r>
      <w:r>
        <w:rPr>
          <w:rtl w:val="true"/>
        </w:rPr>
        <w:t xml:space="preserve">, </w:t>
      </w:r>
      <w:r>
        <w:rPr>
          <w:rtl w:val="true"/>
        </w:rPr>
        <w:t>לטובת המערער</w:t>
      </w:r>
      <w:r>
        <w:rPr>
          <w:rtl w:val="true"/>
        </w:rPr>
        <w:t xml:space="preserve">, </w:t>
      </w:r>
      <w:r>
        <w:rPr>
          <w:rtl w:val="true"/>
        </w:rPr>
        <w:t>כי הבנתה המאוחרת של א</w:t>
      </w:r>
      <w:r>
        <w:rPr>
          <w:rtl w:val="true"/>
        </w:rPr>
        <w:t xml:space="preserve">' </w:t>
      </w:r>
      <w:r>
        <w:rPr>
          <w:rtl w:val="true"/>
        </w:rPr>
        <w:t>כי נעשה בה מעשה מיני אסור</w:t>
      </w:r>
      <w:r>
        <w:rPr>
          <w:rtl w:val="true"/>
        </w:rPr>
        <w:t xml:space="preserve">, </w:t>
      </w:r>
      <w:r>
        <w:rPr>
          <w:rtl w:val="true"/>
        </w:rPr>
        <w:t xml:space="preserve">השפיעה במידה מסוימת על נימת דבריה במהלך העדות </w:t>
      </w:r>
      <w:r>
        <w:rPr>
          <w:rtl w:val="true"/>
        </w:rPr>
        <w:t>–</w:t>
      </w:r>
      <w:r>
        <w:rPr>
          <w:rtl w:val="true"/>
        </w:rPr>
        <w:t xml:space="preserve"> לא יהיה בכך כדי להשפיע על הניתוח המשפטי</w:t>
      </w:r>
      <w:r>
        <w:rPr>
          <w:rtl w:val="true"/>
        </w:rPr>
        <w:t xml:space="preserve">, </w:t>
      </w:r>
      <w:r>
        <w:rPr>
          <w:rtl w:val="true"/>
        </w:rPr>
        <w:t>לכאן או לכאן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משום שהן השאלה אם אצבעותיו היו בתוך איבר מינה בעת שהסתובבה </w:t>
      </w:r>
      <w:r>
        <w:rPr>
          <w:rtl w:val="true"/>
        </w:rPr>
        <w:t>(</w:t>
      </w:r>
      <w:r>
        <w:rPr>
          <w:rtl w:val="true"/>
        </w:rPr>
        <w:t>עניין שכלל לא מופיע בקביעותיו העובדתיות של בית המשפט המחוזי</w:t>
      </w:r>
      <w:r>
        <w:rPr>
          <w:rtl w:val="true"/>
        </w:rPr>
        <w:t xml:space="preserve">), </w:t>
      </w:r>
      <w:r>
        <w:rPr>
          <w:rtl w:val="true"/>
        </w:rPr>
        <w:t xml:space="preserve">הן שאלת מתן כרטיס הביקור בתום הטיפול </w:t>
      </w:r>
      <w:r>
        <w:rPr>
          <w:rtl w:val="true"/>
        </w:rPr>
        <w:t>–</w:t>
      </w:r>
      <w:r>
        <w:rPr>
          <w:rtl w:val="true"/>
        </w:rPr>
        <w:t xml:space="preserve"> עוסקות בפרטים זניחים</w:t>
      </w:r>
      <w:r>
        <w:rPr>
          <w:rtl w:val="true"/>
        </w:rPr>
        <w:t xml:space="preserve">, </w:t>
      </w:r>
      <w:r>
        <w:rPr>
          <w:rtl w:val="true"/>
        </w:rPr>
        <w:t>שאין זה המקום להרהר אחריהם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טענת המערער כי התעניינותו ביחסי המין של א</w:t>
      </w:r>
      <w:r>
        <w:rPr>
          <w:rtl w:val="true"/>
        </w:rPr>
        <w:t xml:space="preserve">' </w:t>
      </w:r>
      <w:r>
        <w:rPr>
          <w:rtl w:val="true"/>
        </w:rPr>
        <w:t>עם בן</w:t>
      </w:r>
      <w:r>
        <w:rPr>
          <w:rtl w:val="true"/>
        </w:rPr>
        <w:t>-</w:t>
      </w:r>
      <w:r>
        <w:rPr>
          <w:rtl w:val="true"/>
        </w:rPr>
        <w:t>זוגה</w:t>
      </w:r>
      <w:r>
        <w:rPr>
          <w:rtl w:val="true"/>
        </w:rPr>
        <w:t xml:space="preserve">, </w:t>
      </w:r>
      <w:r>
        <w:rPr>
          <w:rtl w:val="true"/>
        </w:rPr>
        <w:t xml:space="preserve">נעשתה על רקע השאלה אם היא חשה כאבים ביחסי מין </w:t>
      </w:r>
      <w:r>
        <w:rPr>
          <w:rtl w:val="true"/>
        </w:rPr>
        <w:t>–</w:t>
      </w:r>
      <w:r>
        <w:rPr>
          <w:rtl w:val="true"/>
        </w:rPr>
        <w:t xml:space="preserve"> גם היא אינה בעלת משקל ממשי</w:t>
      </w:r>
      <w:r>
        <w:rPr>
          <w:rtl w:val="true"/>
        </w:rPr>
        <w:t xml:space="preserve">, </w:t>
      </w:r>
      <w:r>
        <w:rPr>
          <w:rtl w:val="true"/>
        </w:rPr>
        <w:t xml:space="preserve">שיש בו כדי לפגוע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ביציבותו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עליו מושתתת ההרשעה</w:t>
      </w:r>
      <w:r>
        <w:rPr>
          <w:rtl w:val="true"/>
        </w:rPr>
        <w:t xml:space="preserve">; </w:t>
      </w:r>
      <w:r>
        <w:rPr>
          <w:rtl w:val="true"/>
        </w:rPr>
        <w:t>רחוק מכך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הסתירות והשינויים עליהם הצביע המערער</w:t>
      </w:r>
      <w:r>
        <w:rPr>
          <w:rtl w:val="true"/>
        </w:rPr>
        <w:t xml:space="preserve">, </w:t>
      </w:r>
      <w:r>
        <w:rPr>
          <w:rtl w:val="true"/>
        </w:rPr>
        <w:t>אינם מצדיקים התערבות בקביעות בית המשפט המחוזי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עוד אעיר</w:t>
      </w:r>
      <w:r>
        <w:rPr>
          <w:rtl w:val="true"/>
        </w:rPr>
        <w:t xml:space="preserve">, </w:t>
      </w:r>
      <w:r>
        <w:rPr>
          <w:rtl w:val="true"/>
        </w:rPr>
        <w:t>כי אין ממש גם בטענת המערער</w:t>
      </w:r>
      <w:r>
        <w:rPr>
          <w:rtl w:val="true"/>
        </w:rPr>
        <w:t xml:space="preserve">, </w:t>
      </w:r>
      <w:r>
        <w:rPr>
          <w:rtl w:val="true"/>
        </w:rPr>
        <w:t>שלפיה משך זמן ה</w:t>
      </w:r>
      <w:r>
        <w:rPr>
          <w:rtl w:val="true"/>
        </w:rPr>
        <w:t>'</w:t>
      </w:r>
      <w:r>
        <w:rPr>
          <w:rtl w:val="true"/>
        </w:rPr>
        <w:t>בדיקה הפנימית</w:t>
      </w:r>
      <w:r>
        <w:rPr>
          <w:rtl w:val="true"/>
        </w:rPr>
        <w:t xml:space="preserve">' </w:t>
      </w:r>
      <w:r>
        <w:rPr>
          <w:rtl w:val="true"/>
        </w:rPr>
        <w:t>מושא העבירה</w:t>
      </w:r>
      <w:r>
        <w:rPr>
          <w:rtl w:val="true"/>
        </w:rPr>
        <w:t xml:space="preserve">, </w:t>
      </w:r>
      <w:r>
        <w:rPr>
          <w:rtl w:val="true"/>
        </w:rPr>
        <w:t>שעמד</w:t>
      </w:r>
      <w:r>
        <w:rPr>
          <w:rtl w:val="true"/>
        </w:rPr>
        <w:t xml:space="preserve">, </w:t>
      </w:r>
      <w:r>
        <w:rPr>
          <w:rtl w:val="true"/>
        </w:rPr>
        <w:t>לפי הכרעת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אינו מתיישב עם משכה הכולל של פגישתו עם א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30-20</w:t>
      </w:r>
      <w:r>
        <w:rPr>
          <w:rtl w:val="true"/>
        </w:rPr>
        <w:t xml:space="preserve"> </w:t>
      </w:r>
      <w:r>
        <w:rPr>
          <w:rtl w:val="true"/>
        </w:rPr>
        <w:t xml:space="preserve">דקות </w:t>
      </w:r>
      <w:r>
        <w:rPr>
          <w:rtl w:val="true"/>
        </w:rPr>
        <w:t>–</w:t>
      </w:r>
      <w:r>
        <w:rPr>
          <w:rtl w:val="true"/>
        </w:rPr>
        <w:t xml:space="preserve"> שכן לא יכול היה להספיק לבצע את כלל הפעולות בפרק הזמן האמור</w:t>
      </w:r>
      <w:r>
        <w:rPr>
          <w:rtl w:val="true"/>
        </w:rPr>
        <w:t xml:space="preserve">. </w:t>
      </w:r>
      <w:r>
        <w:rPr>
          <w:rtl w:val="true"/>
        </w:rPr>
        <w:t>בנקודה זו</w:t>
      </w:r>
      <w:r>
        <w:rPr>
          <w:rtl w:val="true"/>
        </w:rPr>
        <w:t xml:space="preserve">, </w:t>
      </w:r>
      <w:r>
        <w:rPr>
          <w:rtl w:val="true"/>
        </w:rPr>
        <w:t>הצדק עם המשיבה</w:t>
      </w:r>
      <w:r>
        <w:rPr>
          <w:rtl w:val="true"/>
        </w:rPr>
        <w:t xml:space="preserve">, </w:t>
      </w:r>
      <w:r>
        <w:rPr>
          <w:rtl w:val="true"/>
        </w:rPr>
        <w:t>כי בהתחשב בכך 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לא ישבה בשום שלב לשוחח עם המערער</w:t>
      </w:r>
      <w:r>
        <w:rPr>
          <w:rtl w:val="true"/>
        </w:rPr>
        <w:t xml:space="preserve">, </w:t>
      </w:r>
      <w:r>
        <w:rPr>
          <w:rtl w:val="true"/>
        </w:rPr>
        <w:t>אלא שהוא התפנה מיד לבדוק אותה</w:t>
      </w:r>
      <w:r>
        <w:rPr>
          <w:rtl w:val="true"/>
        </w:rPr>
        <w:t xml:space="preserve">, </w:t>
      </w:r>
      <w:r>
        <w:rPr>
          <w:rtl w:val="true"/>
        </w:rPr>
        <w:t>בבדיקת אולטרסאונד ובדיקה ידנית</w:t>
      </w:r>
      <w:r>
        <w:rPr>
          <w:rtl w:val="true"/>
        </w:rPr>
        <w:t xml:space="preserve">, </w:t>
      </w:r>
      <w:r>
        <w:rPr>
          <w:rtl w:val="true"/>
        </w:rPr>
        <w:t>ולאחר מכן ביצע את קיצור חוט ההתקן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להסתכם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בודדות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כבר ההודעה הראשונה אותה מסרה א</w:t>
      </w:r>
      <w:r>
        <w:rPr>
          <w:rtl w:val="true"/>
        </w:rPr>
        <w:t xml:space="preserve">' </w:t>
      </w:r>
      <w:r>
        <w:rPr>
          <w:rtl w:val="true"/>
        </w:rPr>
        <w:t xml:space="preserve">במשטרה כללה </w:t>
      </w:r>
      <w:r>
        <w:rPr>
          <w:rtl w:val="true"/>
        </w:rPr>
        <w:t>'</w:t>
      </w:r>
      <w:r>
        <w:rPr>
          <w:rtl w:val="true"/>
        </w:rPr>
        <w:t>גרעין אמת</w:t>
      </w:r>
      <w:r>
        <w:rPr>
          <w:rtl w:val="true"/>
        </w:rPr>
        <w:t xml:space="preserve">' </w:t>
      </w:r>
      <w:r>
        <w:rPr>
          <w:rtl w:val="true"/>
        </w:rPr>
        <w:t>מוצק</w:t>
      </w:r>
      <w:r>
        <w:rPr>
          <w:rtl w:val="true"/>
        </w:rPr>
        <w:t xml:space="preserve">, </w:t>
      </w:r>
      <w:r>
        <w:rPr>
          <w:rtl w:val="true"/>
        </w:rPr>
        <w:t>שבא לידי ביטוי גם בהודעותיה הבאות במשטרה</w:t>
      </w:r>
      <w:r>
        <w:rPr>
          <w:rtl w:val="true"/>
        </w:rPr>
        <w:t xml:space="preserve">, </w:t>
      </w:r>
      <w:r>
        <w:rPr>
          <w:rtl w:val="true"/>
        </w:rPr>
        <w:t>וכן בעדותה בבית המשפט</w:t>
      </w:r>
      <w:r>
        <w:rPr>
          <w:rtl w:val="true"/>
        </w:rPr>
        <w:t xml:space="preserve">. </w:t>
      </w:r>
      <w:r>
        <w:rPr>
          <w:rtl w:val="true"/>
        </w:rPr>
        <w:t>בית המשפט המחוזי נתן אמון מלא בגרסתה</w:t>
      </w:r>
      <w:r>
        <w:rPr>
          <w:rtl w:val="true"/>
        </w:rPr>
        <w:t xml:space="preserve">, </w:t>
      </w:r>
      <w:r>
        <w:rPr>
          <w:rtl w:val="true"/>
        </w:rPr>
        <w:t>ואף מצא לה חיזוקים בדמות עדותו של בן זוגה</w:t>
      </w:r>
      <w:r>
        <w:rPr>
          <w:rtl w:val="true"/>
        </w:rPr>
        <w:t xml:space="preserve">, </w:t>
      </w:r>
      <w:r>
        <w:rPr>
          <w:rtl w:val="true"/>
        </w:rPr>
        <w:t>ועדויות גורמי מקצוע שנפגשו עמה</w:t>
      </w:r>
      <w:r>
        <w:rPr>
          <w:rtl w:val="true"/>
        </w:rPr>
        <w:t xml:space="preserve">, </w:t>
      </w:r>
      <w:r>
        <w:rPr>
          <w:rtl w:val="true"/>
        </w:rPr>
        <w:t>ואשר העידו על מצבה הנפשי</w:t>
      </w:r>
      <w:r>
        <w:rPr>
          <w:rtl w:val="true"/>
        </w:rPr>
        <w:t xml:space="preserve">. </w:t>
      </w:r>
      <w:r>
        <w:rPr>
          <w:rtl w:val="true"/>
        </w:rPr>
        <w:t>לא מצאתי בטענות המערער טעם טוב להתערב בקביעות אלו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הקביעות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בנוגע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המערער משליך יהבו על טענתו כי ב</w:t>
      </w:r>
      <w:r>
        <w:rPr>
          <w:rtl w:val="true"/>
        </w:rPr>
        <w:t xml:space="preserve">' </w:t>
      </w:r>
      <w:r>
        <w:rPr>
          <w:rtl w:val="true"/>
        </w:rPr>
        <w:t>רקמה נגדו עלילת שווא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שטענה זו</w:t>
      </w:r>
      <w:r>
        <w:rPr>
          <w:rtl w:val="true"/>
        </w:rPr>
        <w:t xml:space="preserve">, </w:t>
      </w:r>
      <w:r>
        <w:rPr>
          <w:rtl w:val="true"/>
        </w:rPr>
        <w:t>עליה שב המערער</w:t>
      </w:r>
      <w:r>
        <w:rPr>
          <w:rtl w:val="true"/>
        </w:rPr>
        <w:t xml:space="preserve">, </w:t>
      </w:r>
      <w:r>
        <w:rPr>
          <w:rtl w:val="true"/>
        </w:rPr>
        <w:t>חזוֹר</w:t>
      </w:r>
      <w:r>
        <w:rPr>
          <w:rtl w:val="true"/>
        </w:rPr>
        <w:t xml:space="preserve"> </w:t>
      </w:r>
      <w:r>
        <w:rPr>
          <w:rtl w:val="true"/>
        </w:rPr>
        <w:t>ושָׁנֹה</w:t>
      </w:r>
      <w:r>
        <w:rPr>
          <w:rtl w:val="true"/>
        </w:rPr>
        <w:t xml:space="preserve">, </w:t>
      </w:r>
      <w:r>
        <w:rPr>
          <w:rtl w:val="true"/>
        </w:rPr>
        <w:t>לפני חוקריו במשטרה</w:t>
      </w:r>
      <w:r>
        <w:rPr>
          <w:rtl w:val="true"/>
        </w:rPr>
        <w:t xml:space="preserve">, </w:t>
      </w:r>
      <w:r>
        <w:rPr>
          <w:rtl w:val="true"/>
        </w:rPr>
        <w:t>בעדותו בבית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וכאן בבית משפט זה </w:t>
      </w:r>
      <w:r>
        <w:rPr>
          <w:rtl w:val="true"/>
        </w:rPr>
        <w:t>–</w:t>
      </w:r>
      <w:r>
        <w:rPr>
          <w:rtl w:val="true"/>
        </w:rPr>
        <w:t xml:space="preserve"> אינה משכנעת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כידוע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שיתגבש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בהעלאת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בעלמא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ההיגיון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הישר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סויסה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49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נבו</w:t>
      </w:r>
      <w:r>
        <w:rPr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25.10.2012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סויסה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993/00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205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238</w:t>
      </w:r>
      <w:r>
        <w:rPr/>
        <w:t>-237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7064/00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נבו</w:t>
      </w:r>
      <w:r>
        <w:rPr>
          <w:sz w:val="22"/>
          <w:rtl w:val="true"/>
        </w:rPr>
        <w:t>]</w:t>
      </w:r>
      <w:r>
        <w:rPr>
          <w:rtl w:val="true"/>
        </w:rPr>
        <w:t xml:space="preserve"> (</w:t>
      </w:r>
      <w:r>
        <w:rPr/>
        <w:t>24.4.2001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לומקין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t>הטענה שלפיה מטרת הגעתה של ב</w:t>
      </w:r>
      <w:r>
        <w:rPr>
          <w:rtl w:val="true"/>
        </w:rPr>
        <w:t xml:space="preserve">' </w:t>
      </w:r>
      <w:r>
        <w:rPr>
          <w:rtl w:val="true"/>
        </w:rPr>
        <w:t>לבדיקה היתה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לטפול עליו עלילת שווא</w:t>
      </w:r>
      <w:r>
        <w:rPr>
          <w:rtl w:val="true"/>
        </w:rPr>
        <w:t xml:space="preserve">, </w:t>
      </w:r>
      <w:r>
        <w:rPr>
          <w:rtl w:val="true"/>
        </w:rPr>
        <w:t>זקוקה אפוא לקצה חוט ראייתי</w:t>
      </w:r>
      <w:r>
        <w:rPr>
          <w:rtl w:val="true"/>
        </w:rPr>
        <w:t xml:space="preserve">, </w:t>
      </w:r>
      <w:r>
        <w:rPr>
          <w:rtl w:val="true"/>
        </w:rPr>
        <w:t>שאינו בנמצא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הגיעה לבדיקה אצל המערער ללא היכרות מוקדמת עִמו או עם א</w:t>
      </w:r>
      <w:r>
        <w:rPr>
          <w:rtl w:val="true"/>
        </w:rPr>
        <w:t xml:space="preserve">', </w:t>
      </w:r>
      <w:r>
        <w:rPr>
          <w:rtl w:val="true"/>
        </w:rPr>
        <w:t>הנפגעת השנייה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מניע ברור ליוזמה </w:t>
      </w:r>
      <w:r>
        <w:rPr>
          <w:rtl w:val="true"/>
        </w:rPr>
        <w:t>–</w:t>
      </w:r>
      <w:r>
        <w:rPr>
          <w:rtl w:val="true"/>
        </w:rPr>
        <w:t xml:space="preserve"> איִן</w:t>
      </w:r>
      <w:r>
        <w:rPr>
          <w:rtl w:val="true"/>
        </w:rPr>
        <w:t xml:space="preserve">. </w:t>
      </w:r>
      <w:r>
        <w:rPr>
          <w:rtl w:val="true"/>
        </w:rPr>
        <w:t>המערער טוען</w:t>
      </w:r>
      <w:r>
        <w:rPr>
          <w:rtl w:val="true"/>
        </w:rPr>
        <w:t xml:space="preserve">, </w:t>
      </w:r>
      <w:r>
        <w:rPr>
          <w:rtl w:val="true"/>
        </w:rPr>
        <w:t>כי ה</w:t>
      </w:r>
      <w:r>
        <w:rPr>
          <w:rtl w:val="true"/>
        </w:rPr>
        <w:t>'</w:t>
      </w:r>
      <w:r>
        <w:rPr>
          <w:rtl w:val="true"/>
        </w:rPr>
        <w:t>קצה הראייתי</w:t>
      </w:r>
      <w:r>
        <w:rPr>
          <w:rtl w:val="true"/>
        </w:rPr>
        <w:t xml:space="preserve">'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 xml:space="preserve">הוא אותו </w:t>
      </w:r>
      <w:r>
        <w:rPr>
          <w:rtl w:val="true"/>
        </w:rPr>
        <w:t>'</w:t>
      </w:r>
      <w:r>
        <w:rPr>
          <w:rtl w:val="true"/>
        </w:rPr>
        <w:t>סרטון נעלם</w:t>
      </w:r>
      <w:r>
        <w:rPr>
          <w:rtl w:val="true"/>
        </w:rPr>
        <w:t xml:space="preserve">', </w:t>
      </w:r>
      <w:r>
        <w:rPr>
          <w:rtl w:val="true"/>
        </w:rPr>
        <w:t>שאותו צילמה ב</w:t>
      </w:r>
      <w:r>
        <w:rPr>
          <w:rtl w:val="true"/>
        </w:rPr>
        <w:t xml:space="preserve">' </w:t>
      </w:r>
      <w:r>
        <w:rPr>
          <w:rtl w:val="true"/>
        </w:rPr>
        <w:t>במפגש הראשון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בצדק תהה בית המשפט המחוזי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גניקולוגית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רוטינית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פשוטה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[...]?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הכיצד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בתוכנית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הסחיטה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?"</w:t>
      </w:r>
      <w:r>
        <w:rPr>
          <w:rtl w:val="true"/>
        </w:rPr>
        <w:t xml:space="preserve"> (</w:t>
      </w:r>
      <w:r>
        <w:rPr>
          <w:rtl w:val="true"/>
        </w:rPr>
        <w:t xml:space="preserve">עמוד </w:t>
      </w:r>
      <w:r>
        <w:rPr/>
        <w:t>142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>שאם ב</w:t>
      </w:r>
      <w:r>
        <w:rPr>
          <w:rtl w:val="true"/>
        </w:rPr>
        <w:t xml:space="preserve">' </w:t>
      </w:r>
      <w:r>
        <w:rPr>
          <w:rtl w:val="true"/>
        </w:rPr>
        <w:t>ביקשה להפלילו</w:t>
      </w:r>
      <w:r>
        <w:rPr>
          <w:rtl w:val="true"/>
        </w:rPr>
        <w:t xml:space="preserve">, </w:t>
      </w:r>
      <w:r>
        <w:rPr>
          <w:rtl w:val="true"/>
        </w:rPr>
        <w:t>מאיזה טעם מסרה למשטרה סרטון שמהווה ראיה ניצחת לחפותו</w:t>
      </w:r>
      <w:r>
        <w:rPr>
          <w:rtl w:val="true"/>
        </w:rPr>
        <w:t xml:space="preserve">? </w:t>
      </w:r>
      <w:r>
        <w:rPr>
          <w:rtl w:val="true"/>
        </w:rPr>
        <w:t>לתהייה זו עונה המערער</w:t>
      </w:r>
      <w:r>
        <w:rPr>
          <w:rtl w:val="true"/>
        </w:rPr>
        <w:t xml:space="preserve">, </w:t>
      </w:r>
      <w:r>
        <w:rPr>
          <w:rtl w:val="true"/>
        </w:rPr>
        <w:t>כי יתכן שעוד כשהביאה ב</w:t>
      </w:r>
      <w:r>
        <w:rPr>
          <w:rtl w:val="true"/>
        </w:rPr>
        <w:t xml:space="preserve">' </w:t>
      </w:r>
      <w:r>
        <w:rPr>
          <w:rtl w:val="true"/>
        </w:rPr>
        <w:t>את הסרטון לחוקר</w:t>
      </w:r>
      <w:r>
        <w:rPr>
          <w:rtl w:val="true"/>
        </w:rPr>
        <w:t xml:space="preserve">, </w:t>
      </w:r>
      <w:r>
        <w:rPr>
          <w:rtl w:val="true"/>
        </w:rPr>
        <w:t>ידעה שהוא יעלם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עמ</w:t>
      </w:r>
      <w:r>
        <w:rPr>
          <w:rFonts w:ascii="David" w:hAnsi="David" w:cs="David"/>
          <w:rtl w:val="true"/>
        </w:rPr>
        <w:t>וד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</w:rPr>
        <w:t>915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לפרוטוקול הדיון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 xml:space="preserve">עמוד </w:t>
      </w:r>
      <w:r>
        <w:rPr>
          <w:rFonts w:cs="David" w:ascii="David" w:hAnsi="David"/>
        </w:rPr>
        <w:t>64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להכרעת הדין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מדובר בהסבר סתמי</w:t>
      </w:r>
      <w:r>
        <w:rPr>
          <w:rtl w:val="true"/>
        </w:rPr>
        <w:t xml:space="preserve">, </w:t>
      </w:r>
      <w:r>
        <w:rPr>
          <w:rtl w:val="true"/>
        </w:rPr>
        <w:t>שאינו מניח את הדעת</w:t>
      </w:r>
      <w:r>
        <w:rPr>
          <w:rtl w:val="true"/>
        </w:rPr>
        <w:t xml:space="preserve">, </w:t>
      </w:r>
      <w:r>
        <w:rPr>
          <w:rtl w:val="true"/>
        </w:rPr>
        <w:t>לשון המעטה</w:t>
      </w:r>
      <w:r>
        <w:rPr>
          <w:rtl w:val="true"/>
        </w:rPr>
        <w:t xml:space="preserve">. </w:t>
      </w:r>
      <w:r>
        <w:rPr>
          <w:rtl w:val="true"/>
        </w:rPr>
        <w:t>אין אפוא תימוכין לטענת המערער שלפיה ב</w:t>
      </w:r>
      <w:r>
        <w:rPr>
          <w:rtl w:val="true"/>
        </w:rPr>
        <w:t xml:space="preserve">' </w:t>
      </w:r>
      <w:r>
        <w:rPr>
          <w:rtl w:val="true"/>
        </w:rPr>
        <w:t>הגיעה למפגש הראשון במטרה להפלילו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הנדבך הנוסף בטענת העלילה</w:t>
      </w:r>
      <w:r>
        <w:rPr>
          <w:rtl w:val="true"/>
        </w:rPr>
        <w:t xml:space="preserve">, </w:t>
      </w:r>
      <w:r>
        <w:rPr>
          <w:rtl w:val="true"/>
        </w:rPr>
        <w:t xml:space="preserve">נוגע להתרחשות מאוחרת לרצף האירועים מושא כתב האישום </w:t>
      </w:r>
      <w:r>
        <w:rPr>
          <w:rtl w:val="true"/>
        </w:rPr>
        <w:t>–</w:t>
      </w:r>
      <w:r>
        <w:rPr>
          <w:rtl w:val="true"/>
        </w:rPr>
        <w:t xml:space="preserve"> פעילות עו</w:t>
      </w:r>
      <w:r>
        <w:rPr>
          <w:rtl w:val="true"/>
        </w:rPr>
        <w:t>"</w:t>
      </w:r>
      <w:r>
        <w:rPr>
          <w:rtl w:val="true"/>
        </w:rPr>
        <w:t>ד ניקולא לטובת ב</w:t>
      </w:r>
      <w:r>
        <w:rPr>
          <w:rtl w:val="true"/>
        </w:rPr>
        <w:t xml:space="preserve">', </w:t>
      </w:r>
      <w:r>
        <w:rPr>
          <w:rtl w:val="true"/>
        </w:rPr>
        <w:t>וניסיונו לגרום למערער לשלם לה פיצוי כספי</w:t>
      </w:r>
      <w:r>
        <w:rPr>
          <w:rtl w:val="true"/>
        </w:rPr>
        <w:t xml:space="preserve">, </w:t>
      </w:r>
      <w:r>
        <w:rPr>
          <w:rtl w:val="true"/>
        </w:rPr>
        <w:t>חלף הגשת תלונה</w:t>
      </w:r>
      <w:r>
        <w:rPr>
          <w:rtl w:val="true"/>
        </w:rPr>
        <w:t xml:space="preserve">. </w:t>
      </w:r>
      <w:r>
        <w:rPr>
          <w:rtl w:val="true"/>
        </w:rPr>
        <w:t>בהקשר זה טוען המערער</w:t>
      </w:r>
      <w:r>
        <w:rPr>
          <w:rtl w:val="true"/>
        </w:rPr>
        <w:t xml:space="preserve">, </w:t>
      </w:r>
      <w:r>
        <w:rPr>
          <w:rtl w:val="true"/>
        </w:rPr>
        <w:t>כי סופה של הפרשה מלמד על תחילתה</w:t>
      </w:r>
      <w:r>
        <w:rPr>
          <w:rtl w:val="true"/>
        </w:rPr>
        <w:t xml:space="preserve">, </w:t>
      </w:r>
      <w:r>
        <w:rPr>
          <w:rtl w:val="true"/>
        </w:rPr>
        <w:t>במובן זה שמטרת הגעתה אליו היתה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לסחוט אותו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עיון במסד העובדתי</w:t>
      </w:r>
      <w:r>
        <w:rPr>
          <w:rtl w:val="true"/>
        </w:rPr>
        <w:t xml:space="preserve">, </w:t>
      </w:r>
      <w:r>
        <w:rPr>
          <w:rtl w:val="true"/>
        </w:rPr>
        <w:t>הנשען על עדויות מוצקות</w:t>
      </w:r>
      <w:r>
        <w:rPr>
          <w:rtl w:val="true"/>
        </w:rPr>
        <w:t xml:space="preserve">, </w:t>
      </w:r>
      <w:r>
        <w:rPr>
          <w:rtl w:val="true"/>
        </w:rPr>
        <w:t>מלמד כי גם במערכה האחרונה שברצף האירועים מושא ענייננו</w:t>
      </w:r>
      <w:r>
        <w:rPr>
          <w:rtl w:val="true"/>
        </w:rPr>
        <w:t xml:space="preserve">, </w:t>
      </w:r>
      <w:r>
        <w:rPr>
          <w:rtl w:val="true"/>
        </w:rPr>
        <w:t>לא תימצא למערער תמיכה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לפי הכרעת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2.9.2016</w:t>
      </w:r>
      <w:r>
        <w:rPr>
          <w:rtl w:val="true"/>
        </w:rPr>
        <w:t xml:space="preserve">, </w:t>
      </w:r>
      <w:r>
        <w:rPr>
          <w:rtl w:val="true"/>
        </w:rPr>
        <w:t>פנתה ב</w:t>
      </w:r>
      <w:r>
        <w:rPr>
          <w:rtl w:val="true"/>
        </w:rPr>
        <w:t xml:space="preserve">' </w:t>
      </w:r>
      <w:r>
        <w:rPr>
          <w:rtl w:val="true"/>
        </w:rPr>
        <w:t>אל עו</w:t>
      </w:r>
      <w:r>
        <w:rPr>
          <w:rtl w:val="true"/>
        </w:rPr>
        <w:t>"</w:t>
      </w:r>
      <w:r>
        <w:rPr>
          <w:rtl w:val="true"/>
        </w:rPr>
        <w:t>ד ניקולא</w:t>
      </w:r>
      <w:r>
        <w:rPr>
          <w:rtl w:val="true"/>
        </w:rPr>
        <w:t xml:space="preserve">, </w:t>
      </w:r>
      <w:r>
        <w:rPr>
          <w:rtl w:val="true"/>
        </w:rPr>
        <w:t>שאותו לא הכירה קודם לכן</w:t>
      </w:r>
      <w:r>
        <w:rPr>
          <w:rtl w:val="true"/>
        </w:rPr>
        <w:t xml:space="preserve">, </w:t>
      </w:r>
      <w:r>
        <w:rPr>
          <w:rtl w:val="true"/>
        </w:rPr>
        <w:t>סיפרה לו את עיקרי תלונתה</w:t>
      </w:r>
      <w:r>
        <w:rPr>
          <w:rtl w:val="true"/>
        </w:rPr>
        <w:t xml:space="preserve">, </w:t>
      </w:r>
      <w:r>
        <w:rPr>
          <w:rtl w:val="true"/>
        </w:rPr>
        <w:t>וביקשה לשמוע אילו אפשרויות פעולה עומדות לפניה</w:t>
      </w:r>
      <w:r>
        <w:rPr>
          <w:rtl w:val="true"/>
        </w:rPr>
        <w:t xml:space="preserve">. </w:t>
      </w:r>
      <w:r>
        <w:rPr>
          <w:rtl w:val="true"/>
        </w:rPr>
        <w:t>הוסבר לה שבאפשרותה להתלונן במשטרה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או לחלופין</w:t>
      </w:r>
      <w:r>
        <w:rPr>
          <w:rtl w:val="true"/>
        </w:rPr>
        <w:t xml:space="preserve">, </w:t>
      </w:r>
      <w:r>
        <w:rPr>
          <w:rtl w:val="true"/>
        </w:rPr>
        <w:t>להגיש תביעה כספית</w:t>
      </w:r>
      <w:r>
        <w:rPr>
          <w:rtl w:val="true"/>
        </w:rPr>
        <w:t xml:space="preserve">. </w:t>
      </w:r>
      <w:r>
        <w:rPr>
          <w:rtl w:val="true"/>
        </w:rPr>
        <w:t>במסגרת פגישתם</w:t>
      </w:r>
      <w:r>
        <w:rPr>
          <w:rtl w:val="true"/>
        </w:rPr>
        <w:t xml:space="preserve">, </w:t>
      </w:r>
      <w:r>
        <w:rPr>
          <w:rtl w:val="true"/>
        </w:rPr>
        <w:t>צפה עו</w:t>
      </w:r>
      <w:r>
        <w:rPr>
          <w:rtl w:val="true"/>
        </w:rPr>
        <w:t>"</w:t>
      </w:r>
      <w:r>
        <w:rPr>
          <w:rtl w:val="true"/>
        </w:rPr>
        <w:t>ד ניקולא בסרטון מהמפגש השלישי</w:t>
      </w:r>
      <w:r>
        <w:rPr>
          <w:rtl w:val="true"/>
        </w:rPr>
        <w:t xml:space="preserve">, </w:t>
      </w:r>
      <w:r>
        <w:rPr>
          <w:rtl w:val="true"/>
        </w:rPr>
        <w:t>שאותו צילמה ב</w:t>
      </w:r>
      <w:r>
        <w:rPr>
          <w:rtl w:val="true"/>
        </w:rPr>
        <w:t xml:space="preserve">' </w:t>
      </w:r>
      <w:r>
        <w:rPr>
          <w:rtl w:val="true"/>
        </w:rPr>
        <w:t>בסתר</w:t>
      </w:r>
      <w:r>
        <w:rPr>
          <w:rtl w:val="true"/>
        </w:rPr>
        <w:t xml:space="preserve">, </w:t>
      </w:r>
      <w:r>
        <w:rPr>
          <w:rtl w:val="true"/>
        </w:rPr>
        <w:t>וכך גילה כי הוא מכיר את המערער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ניקולא סיפר ל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על היכרותם</w:t>
      </w:r>
      <w:r>
        <w:rPr>
          <w:rtl w:val="true"/>
        </w:rPr>
        <w:t xml:space="preserve">, </w:t>
      </w:r>
      <w:r>
        <w:rPr>
          <w:rtl w:val="true"/>
        </w:rPr>
        <w:t>והציע לה כי ישוחח עִמו על פיצוי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הסכימה</w:t>
      </w:r>
      <w:r>
        <w:rPr>
          <w:rtl w:val="true"/>
        </w:rPr>
        <w:t xml:space="preserve">. </w:t>
      </w:r>
      <w:r>
        <w:rPr>
          <w:rtl w:val="true"/>
        </w:rPr>
        <w:t>המערער הגיע למשרדו של עו</w:t>
      </w:r>
      <w:r>
        <w:rPr>
          <w:rtl w:val="true"/>
        </w:rPr>
        <w:t>"</w:t>
      </w:r>
      <w:r>
        <w:rPr>
          <w:rtl w:val="true"/>
        </w:rPr>
        <w:t>ד ניקולא עוד באותו יום</w:t>
      </w:r>
      <w:r>
        <w:rPr>
          <w:rtl w:val="true"/>
        </w:rPr>
        <w:t xml:space="preserve">, </w:t>
      </w:r>
      <w:r>
        <w:rPr>
          <w:rtl w:val="true"/>
        </w:rPr>
        <w:t>וזה עדכן אותו כי ב</w:t>
      </w:r>
      <w:r>
        <w:rPr>
          <w:rtl w:val="true"/>
        </w:rPr>
        <w:t xml:space="preserve">' </w:t>
      </w:r>
      <w:r>
        <w:rPr>
          <w:rtl w:val="true"/>
        </w:rPr>
        <w:t>רוצה להתלונן במשטרה</w:t>
      </w:r>
      <w:r>
        <w:rPr>
          <w:rtl w:val="true"/>
        </w:rPr>
        <w:t xml:space="preserve">, </w:t>
      </w:r>
      <w:r>
        <w:rPr>
          <w:rtl w:val="true"/>
        </w:rPr>
        <w:t>וכן לתבוע אותו בתביעה כספית בגין ביצוע מעשים מגונים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כך לפי עדותו של עו</w:t>
      </w:r>
      <w:r>
        <w:rPr>
          <w:rtl w:val="true"/>
        </w:rPr>
        <w:t>"</w:t>
      </w:r>
      <w:r>
        <w:rPr>
          <w:rtl w:val="true"/>
        </w:rPr>
        <w:t>ד ניקולא</w:t>
      </w:r>
      <w:r>
        <w:rPr>
          <w:rtl w:val="true"/>
        </w:rPr>
        <w:t xml:space="preserve">, </w:t>
      </w:r>
      <w:r>
        <w:rPr>
          <w:rtl w:val="true"/>
        </w:rPr>
        <w:t xml:space="preserve">ותמליל הקלטת המפגש שהוגש לבית המשפט המחוזי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50</w:t>
      </w:r>
      <w:r>
        <w:rPr>
          <w:rtl w:val="true"/>
        </w:rPr>
        <w:t xml:space="preserve">), </w:t>
      </w:r>
      <w:r>
        <w:rPr>
          <w:rtl w:val="true"/>
        </w:rPr>
        <w:t>נבהל המערער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הטוב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בהמשך שיחתם ביקש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 xml:space="preserve">המערער </w:t>
      </w:r>
      <w:r>
        <w:rPr>
          <w:rtl w:val="true"/>
        </w:rPr>
        <w:t>מ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ניקולא </w:t>
      </w:r>
      <w:r>
        <w:rPr>
          <w:rtl w:val="true"/>
        </w:rPr>
        <w:t>את עזרתו</w:t>
      </w:r>
      <w:r>
        <w:rPr>
          <w:rtl w:val="true"/>
        </w:rPr>
        <w:t xml:space="preserve">, </w:t>
      </w:r>
      <w:r>
        <w:rPr>
          <w:rtl w:val="true"/>
        </w:rPr>
        <w:t xml:space="preserve">שיבדוק מול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מה דרישתה מבחינת פיצוי</w:t>
      </w:r>
      <w:r>
        <w:rPr>
          <w:rtl w:val="true"/>
        </w:rPr>
        <w:t xml:space="preserve">. </w:t>
      </w:r>
      <w:r>
        <w:rPr>
          <w:rtl w:val="true"/>
        </w:rPr>
        <w:t>לגבי דברים אלו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עו</w:t>
      </w:r>
      <w:r>
        <w:rPr>
          <w:rtl w:val="true"/>
        </w:rPr>
        <w:t>"</w:t>
      </w:r>
      <w:r>
        <w:rPr>
          <w:rtl w:val="true"/>
        </w:rPr>
        <w:t>ד ניקולא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מעולם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הוסמך</w:t>
      </w:r>
      <w:r>
        <w:rPr>
          <w:rFonts w:ascii="Century" w:hAnsi="Century" w:cs="Century"/>
          <w:sz w:val="22"/>
          <w:sz w:val="22"/>
          <w:rtl w:val="true"/>
        </w:rPr>
        <w:t xml:space="preserve">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במישרין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לנהל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ascii="Century" w:hAnsi="Century" w:cs="Century"/>
          <w:sz w:val="22"/>
          <w:sz w:val="22"/>
          <w:rtl w:val="true"/>
        </w:rPr>
        <w:t>שא ומתן לגבי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פיצוי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כספי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שיהיה בו כדי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ascii="Century" w:hAnsi="Century" w:cs="Century"/>
          <w:sz w:val="22"/>
          <w:sz w:val="22"/>
          <w:rtl w:val="true"/>
        </w:rPr>
        <w:t>ייתר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פנייה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למשטרה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/>
        <w:t>162-161</w:t>
      </w:r>
      <w:r>
        <w:rPr>
          <w:rtl w:val="true"/>
        </w:rPr>
        <w:t xml:space="preserve">), </w:t>
      </w:r>
      <w:r>
        <w:rPr>
          <w:rtl w:val="true"/>
        </w:rPr>
        <w:t xml:space="preserve">אלא שהוא ניצל את חששה מפני החשיפה שעלולה להיות כרוכה בהליך המשפטי </w:t>
      </w:r>
      <w:r>
        <w:rPr>
          <w:rtl w:val="true"/>
        </w:rPr>
        <w:t>(</w:t>
      </w:r>
      <w:r>
        <w:rPr>
          <w:rtl w:val="true"/>
        </w:rPr>
        <w:t>פרסום שמה במקום מגוריה</w:t>
      </w:r>
      <w:r>
        <w:rPr>
          <w:rtl w:val="true"/>
        </w:rPr>
        <w:t xml:space="preserve">, </w:t>
      </w:r>
      <w:r>
        <w:rPr>
          <w:rtl w:val="true"/>
        </w:rPr>
        <w:t>תגובת הוריה לגבי הגשת התלונה</w:t>
      </w:r>
      <w:r>
        <w:rPr>
          <w:rtl w:val="true"/>
        </w:rPr>
        <w:t xml:space="preserve">), </w:t>
      </w:r>
      <w:r>
        <w:rPr>
          <w:rtl w:val="true"/>
        </w:rPr>
        <w:t>והחליט על דעת עצמו לנסות ו</w:t>
      </w:r>
      <w:r>
        <w:rPr>
          <w:rtl w:val="true"/>
        </w:rPr>
        <w:t>'</w:t>
      </w:r>
      <w:r>
        <w:rPr>
          <w:rtl w:val="true"/>
        </w:rPr>
        <w:t>לפשר</w:t>
      </w:r>
      <w:r>
        <w:rPr>
          <w:rtl w:val="true"/>
        </w:rPr>
        <w:t xml:space="preserve">' </w:t>
      </w:r>
      <w:r>
        <w:rPr>
          <w:rtl w:val="true"/>
        </w:rPr>
        <w:t xml:space="preserve">בין השניים </w:t>
      </w:r>
      <w:r>
        <w:rPr>
          <w:rtl w:val="true"/>
        </w:rPr>
        <w:t>–</w:t>
      </w:r>
      <w:r>
        <w:rPr>
          <w:rtl w:val="true"/>
        </w:rPr>
        <w:t xml:space="preserve"> ניסיון שכשל לבסוף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בית המשפט המחוזי אף קבע כי שאלותיו החוזרות ונשנות של המערער לגבי דרישות ב</w:t>
      </w:r>
      <w:r>
        <w:rPr>
          <w:rtl w:val="true"/>
        </w:rPr>
        <w:t xml:space="preserve">' </w:t>
      </w:r>
      <w:r>
        <w:rPr>
          <w:rtl w:val="true"/>
        </w:rPr>
        <w:t>לסיום העניין</w:t>
      </w:r>
      <w:r>
        <w:rPr>
          <w:rtl w:val="true"/>
        </w:rPr>
        <w:t xml:space="preserve">, </w:t>
      </w:r>
      <w:r>
        <w:rPr>
          <w:rtl w:val="true"/>
        </w:rPr>
        <w:t>מעידות על תחושת אשם כבדה מצִדו</w:t>
      </w:r>
      <w:r>
        <w:rPr>
          <w:rtl w:val="true"/>
        </w:rPr>
        <w:t xml:space="preserve">; </w:t>
      </w:r>
      <w:r>
        <w:rPr>
          <w:rtl w:val="true"/>
        </w:rPr>
        <w:t>וכי נכונותו לשלם פיצויים</w:t>
      </w:r>
      <w:r>
        <w:rPr>
          <w:rtl w:val="true"/>
        </w:rPr>
        <w:t xml:space="preserve">, </w:t>
      </w:r>
      <w:r>
        <w:rPr>
          <w:rtl w:val="true"/>
        </w:rPr>
        <w:t>חלף הגשת תלונה</w:t>
      </w:r>
      <w:r>
        <w:rPr>
          <w:rtl w:val="true"/>
        </w:rPr>
        <w:t xml:space="preserve">, </w:t>
      </w:r>
      <w:r>
        <w:rPr>
          <w:rtl w:val="true"/>
        </w:rPr>
        <w:t xml:space="preserve">מהווה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המסבכת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192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עינינו הרואות</w:t>
      </w:r>
      <w:r>
        <w:rPr>
          <w:rtl w:val="true"/>
        </w:rPr>
        <w:t xml:space="preserve">, </w:t>
      </w:r>
      <w:r>
        <w:rPr>
          <w:rtl w:val="true"/>
        </w:rPr>
        <w:t>כי אמנם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ניקולא לחץ על המערער לשלם כספים ל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אולם הוא עשה כן מתוך רצון לעזור למערער עצמו</w:t>
      </w:r>
      <w:r>
        <w:rPr>
          <w:rtl w:val="true"/>
        </w:rPr>
        <w:t xml:space="preserve">, </w:t>
      </w:r>
      <w:r>
        <w:rPr>
          <w:rtl w:val="true"/>
        </w:rPr>
        <w:t>להיחלץ מן המיצר אליו נקלע</w:t>
      </w:r>
      <w:r>
        <w:rPr>
          <w:rtl w:val="true"/>
        </w:rPr>
        <w:t xml:space="preserve">. </w:t>
      </w:r>
      <w:r>
        <w:rPr>
          <w:rtl w:val="true"/>
        </w:rPr>
        <w:t>אין שחר אפוא לטענות המערער שלפיהן ב</w:t>
      </w:r>
      <w:r>
        <w:rPr>
          <w:rtl w:val="true"/>
        </w:rPr>
        <w:t xml:space="preserve">'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 ניקולא חברו</w:t>
      </w:r>
      <w:r>
        <w:rPr>
          <w:rtl w:val="true"/>
        </w:rPr>
        <w:t xml:space="preserve">, </w:t>
      </w:r>
      <w:r>
        <w:rPr>
          <w:rtl w:val="true"/>
        </w:rPr>
        <w:t>עוד מראשית הדרך</w:t>
      </w:r>
      <w:r>
        <w:rPr>
          <w:rtl w:val="true"/>
        </w:rPr>
        <w:t xml:space="preserve">, </w:t>
      </w:r>
      <w:r>
        <w:rPr>
          <w:rtl w:val="true"/>
        </w:rPr>
        <w:t>במטרה לטפול עליו עלילת שווא</w:t>
      </w:r>
      <w:r>
        <w:rPr>
          <w:rtl w:val="true"/>
        </w:rPr>
        <w:t xml:space="preserve">. </w:t>
      </w:r>
      <w:r>
        <w:rPr>
          <w:rtl w:val="true"/>
        </w:rPr>
        <w:t>לטענה זו לא הוצגה ולוּ ראשית ראיה</w:t>
      </w:r>
      <w:r>
        <w:rPr>
          <w:rtl w:val="true"/>
        </w:rPr>
        <w:t xml:space="preserve">, </w:t>
      </w:r>
      <w:r>
        <w:rPr>
          <w:rtl w:val="true"/>
        </w:rPr>
        <w:t>והיא אף אינה תואמת לאינטרסים של הצדדים</w:t>
      </w:r>
      <w:r>
        <w:rPr>
          <w:rtl w:val="true"/>
        </w:rPr>
        <w:t xml:space="preserve">, </w:t>
      </w:r>
      <w:r>
        <w:rPr>
          <w:rtl w:val="true"/>
        </w:rPr>
        <w:t>כפי שעולה מהתיאור שלעיל</w:t>
      </w:r>
      <w:r>
        <w:rPr>
          <w:rtl w:val="true"/>
        </w:rPr>
        <w:t xml:space="preserve">. </w:t>
      </w:r>
      <w:r>
        <w:rPr>
          <w:rtl w:val="true"/>
        </w:rPr>
        <w:t>נמצא אפוא</w:t>
      </w:r>
      <w:r>
        <w:rPr>
          <w:rtl w:val="true"/>
        </w:rPr>
        <w:t xml:space="preserve">, </w:t>
      </w:r>
      <w:r>
        <w:rPr>
          <w:rtl w:val="true"/>
        </w:rPr>
        <w:t>כי מדובר בטענות בעלמא</w:t>
      </w:r>
      <w:r>
        <w:rPr>
          <w:rtl w:val="true"/>
        </w:rPr>
        <w:t xml:space="preserve">, </w:t>
      </w:r>
      <w:r>
        <w:rPr>
          <w:rtl w:val="true"/>
        </w:rPr>
        <w:t>שאין בכוחן לבסס ספק סביר בדבר אשמתו של המערער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</w:t>
      </w:r>
      <w:r>
        <w:rPr>
          <w:rtl w:val="true"/>
        </w:rPr>
        <w:t xml:space="preserve">, </w:t>
      </w:r>
      <w:r>
        <w:rPr>
          <w:rtl w:val="true"/>
        </w:rPr>
        <w:t xml:space="preserve">עמודים </w:t>
      </w:r>
      <w:r>
        <w:rPr>
          <w:rFonts w:cs="Century" w:ascii="Century" w:hAnsi="Century"/>
          <w:sz w:val="22"/>
        </w:rPr>
        <w:t>238</w:t>
      </w:r>
      <w:r>
        <w:rPr/>
        <w:t>-237</w:t>
      </w:r>
      <w:r>
        <w:rPr>
          <w:rtl w:val="true"/>
        </w:rPr>
        <w:t xml:space="preserve">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3.8.2011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שרון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יורם</w:t>
      </w:r>
      <w:r>
        <w:rPr>
          <w:rtl w:val="true"/>
        </w:rPr>
        <w:t xml:space="preserve"> </w:t>
      </w:r>
      <w:r>
        <w:rPr>
          <w:rtl w:val="true"/>
        </w:rPr>
        <w:t>רבין</w:t>
      </w:r>
      <w:r>
        <w:rPr>
          <w:rtl w:val="true"/>
        </w:rPr>
        <w:t xml:space="preserve"> </w:t>
      </w:r>
      <w:r>
        <w:rPr>
          <w:rtl w:val="true"/>
        </w:rPr>
        <w:t>ויניב</w:t>
      </w:r>
      <w:r>
        <w:rPr>
          <w:rtl w:val="true"/>
        </w:rPr>
        <w:t xml:space="preserve"> </w:t>
      </w:r>
      <w:r>
        <w:rPr>
          <w:rtl w:val="true"/>
        </w:rPr>
        <w:t>ואקי</w:t>
      </w:r>
      <w:r>
        <w:rPr>
          <w:rtl w:val="true"/>
        </w:rPr>
        <w:t xml:space="preserve"> </w:t>
      </w:r>
      <w:hyperlink r:id="rId6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tl w:val="true"/>
        </w:rPr>
        <w:t xml:space="preserve"> </w:t>
      </w:r>
      <w:r>
        <w:rPr>
          <w:rtl w:val="true"/>
        </w:rPr>
        <w:t>כרך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 </w:t>
      </w:r>
      <w:r>
        <w:rPr/>
        <w:t>1062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לישית</w:t>
      </w:r>
      <w:r>
        <w:rPr>
          <w:rtl w:val="true"/>
        </w:rPr>
        <w:t xml:space="preserve">, </w:t>
      </w:r>
      <w:r>
        <w:rPr/>
        <w:t>201</w:t>
      </w:r>
      <w:r>
        <w:rPr/>
        <w:t>4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המערער אינו משלים עם דחיית טענתו לעלילת שווא</w:t>
      </w:r>
      <w:r>
        <w:rPr>
          <w:rtl w:val="true"/>
        </w:rPr>
        <w:t xml:space="preserve">, </w:t>
      </w:r>
      <w:r>
        <w:rPr>
          <w:rtl w:val="true"/>
        </w:rPr>
        <w:t>ומנסה להיתלות בהתנהגותה של ב</w:t>
      </w:r>
      <w:r>
        <w:rPr>
          <w:rtl w:val="true"/>
        </w:rPr>
        <w:t xml:space="preserve">' </w:t>
      </w:r>
      <w:r>
        <w:rPr>
          <w:rtl w:val="true"/>
        </w:rPr>
        <w:t xml:space="preserve">בתקופת האירועים מושא כתב האישום </w:t>
      </w:r>
      <w:r>
        <w:rPr>
          <w:rtl w:val="true"/>
        </w:rPr>
        <w:t>–</w:t>
      </w:r>
      <w:r>
        <w:rPr>
          <w:rtl w:val="true"/>
        </w:rPr>
        <w:t xml:space="preserve"> התנהגות שעל סימני השאלה העולים ממנה</w:t>
      </w:r>
      <w:r>
        <w:rPr>
          <w:rtl w:val="true"/>
        </w:rPr>
        <w:t xml:space="preserve">, </w:t>
      </w:r>
      <w:r>
        <w:rPr>
          <w:rtl w:val="true"/>
        </w:rPr>
        <w:t xml:space="preserve">עמד גם בית המשפט המחוזי בהכרעת דינו </w:t>
      </w:r>
      <w:r>
        <w:rPr>
          <w:rtl w:val="true"/>
        </w:rPr>
        <w:t>–</w:t>
      </w:r>
      <w:r>
        <w:rPr>
          <w:rtl w:val="true"/>
        </w:rPr>
        <w:t xml:space="preserve"> כהוכחה לכך שאין זה הגיוני שמעשה האונס בוצע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יש להסיק מהעובדה ש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המשיכה להיות בקשר רצוף עמו</w:t>
      </w:r>
      <w:r>
        <w:rPr>
          <w:rtl w:val="true"/>
        </w:rPr>
        <w:t xml:space="preserve">, </w:t>
      </w:r>
      <w:r>
        <w:rPr>
          <w:rtl w:val="true"/>
        </w:rPr>
        <w:t>ואף שקלה כי ינתח אותה בהרדמה</w:t>
      </w:r>
      <w:r>
        <w:rPr>
          <w:rtl w:val="true"/>
        </w:rPr>
        <w:t xml:space="preserve">, </w:t>
      </w:r>
      <w:r>
        <w:rPr>
          <w:rtl w:val="true"/>
        </w:rPr>
        <w:t xml:space="preserve">כי המעשים החמורים הנטענים </w:t>
      </w:r>
      <w:r>
        <w:rPr>
          <w:rtl w:val="true"/>
        </w:rPr>
        <w:t>–</w:t>
      </w:r>
      <w:r>
        <w:rPr>
          <w:rtl w:val="true"/>
        </w:rPr>
        <w:t xml:space="preserve"> כלל לא התבצעו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לתהיות מסוג זה כבר ניתן מענה בפסיקת בית משפט זה</w:t>
      </w:r>
      <w:r>
        <w:rPr>
          <w:rtl w:val="true"/>
        </w:rPr>
        <w:t xml:space="preserve">, </w:t>
      </w:r>
      <w:r>
        <w:rPr>
          <w:rtl w:val="true"/>
        </w:rPr>
        <w:t>לא פעם ולא פעמיים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ספסל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יושב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לדקדק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בבחינתה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[...] 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הציפייה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שמסיטה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מהמוקד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הנפגעת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כשלעיתים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קרובות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בשנייה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להשליך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'"</w:t>
      </w:r>
      <w:r>
        <w:rPr>
          <w:rtl w:val="true"/>
        </w:rPr>
        <w:t xml:space="preserve"> (</w:t>
      </w:r>
      <w:hyperlink r:id="rId6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8978/18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שרעבי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7.2.2017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בנדון דנן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קבע בית המשפט המחוזי שחזרת ב</w:t>
      </w:r>
      <w:r>
        <w:rPr>
          <w:rtl w:val="true"/>
        </w:rPr>
        <w:t xml:space="preserve">' </w:t>
      </w:r>
      <w:r>
        <w:rPr>
          <w:rtl w:val="true"/>
        </w:rPr>
        <w:t>אל המערער</w:t>
      </w:r>
      <w:r>
        <w:rPr>
          <w:rtl w:val="true"/>
        </w:rPr>
        <w:t xml:space="preserve">, </w:t>
      </w:r>
      <w:r>
        <w:rPr>
          <w:rtl w:val="true"/>
        </w:rPr>
        <w:t>נבעה מסירובה הפנימי להאמין לאשר אירע</w:t>
      </w:r>
      <w:r>
        <w:rPr>
          <w:rtl w:val="true"/>
        </w:rPr>
        <w:t xml:space="preserve">. </w:t>
      </w:r>
      <w:r>
        <w:rPr>
          <w:rtl w:val="true"/>
        </w:rPr>
        <w:t>קושי זה הוסבר</w:t>
      </w:r>
      <w:r>
        <w:rPr>
          <w:rtl w:val="true"/>
        </w:rPr>
        <w:t xml:space="preserve">, </w:t>
      </w:r>
      <w:r>
        <w:rPr>
          <w:rtl w:val="true"/>
        </w:rPr>
        <w:t>הן בנסיבות הגעתה אל המערער מלכתחילה</w:t>
      </w:r>
      <w:r>
        <w:rPr>
          <w:rtl w:val="true"/>
        </w:rPr>
        <w:t xml:space="preserve">, </w:t>
      </w:r>
      <w:r>
        <w:rPr>
          <w:rtl w:val="true"/>
        </w:rPr>
        <w:t>עת ביקשה לבצע ניתוח לאיחוי קרום בתולין בדיסקרטיות מלאה</w:t>
      </w:r>
      <w:r>
        <w:rPr>
          <w:rtl w:val="true"/>
        </w:rPr>
        <w:t xml:space="preserve">; </w:t>
      </w:r>
      <w:r>
        <w:rPr>
          <w:rtl w:val="true"/>
        </w:rPr>
        <w:t>הן בטראומה החוזרת שחוותה</w:t>
      </w:r>
      <w:r>
        <w:rPr>
          <w:rtl w:val="true"/>
        </w:rPr>
        <w:t xml:space="preserve">, </w:t>
      </w:r>
      <w:r>
        <w:rPr>
          <w:rtl w:val="true"/>
        </w:rPr>
        <w:t>אשר הצטרפה למקרה שהתרחש בילדותה</w:t>
      </w:r>
      <w:r>
        <w:rPr>
          <w:rtl w:val="true"/>
        </w:rPr>
        <w:t xml:space="preserve">, </w:t>
      </w:r>
      <w:r>
        <w:rPr>
          <w:rtl w:val="true"/>
        </w:rPr>
        <w:t>שאז נאנסה על</w:t>
      </w:r>
      <w:r>
        <w:rPr>
          <w:rtl w:val="true"/>
        </w:rPr>
        <w:t>-</w:t>
      </w:r>
      <w:r>
        <w:rPr>
          <w:rtl w:val="true"/>
        </w:rPr>
        <w:t>ידי קרוב משפחתה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בהתבסס על דבריה של הפסיכולוגית 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עכאשה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תיאר בית המשפט המחוזי כי מדובר במנגנון פסיכולוגי של חזרה כפייתית על אירוע הטראומה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בתקווה שלא יחזור על עצמו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48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להכרעה הדין</w:t>
      </w:r>
      <w:r>
        <w:rPr>
          <w:rFonts w:cs="Century" w:ascii="Century" w:hAnsi="Century"/>
          <w:sz w:val="22"/>
          <w:rtl w:val="true"/>
        </w:rPr>
        <w:t xml:space="preserve">).  </w:t>
      </w:r>
      <w:r>
        <w:rPr>
          <w:rtl w:val="true"/>
        </w:rPr>
        <w:t>נוסף על האמור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הסביר בית המשפט המחוזי כי הקשר הטלפוני שנוצר בין 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למערער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נעוץ היה ברצונה של 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להוכיח את שנעשה 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רצון שהתממש במפגש השלישי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שאותו יזמה כדי להקליט את המערער במהלכו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צודק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מקורם של הסברים אלו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בשיקולים שבהגיון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מן הנמנע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הקשר בין השניים לא נמשך במטרה להפלילו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אלא מטעמים אחרים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שאינם ידועים לנו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להם עצמם הפתרונים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בין כה ובין כה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עובדות אלו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הנוגעות להתנהלותה של נפגעת העבירה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רלבנטיות לענייננו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רק ככל שיש בהן כדי לשפוך אור על מעשי העבירה הנטענים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על מהימנות גרסתו של מי מהשניים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לא שוכנעתי כי אלה הם פני הדברים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ההסבר שניתן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שלפיו חזרתה של ב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אל מרפאת המערער נבעה מקושי להאמין לאשר אירע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אינו מעורר קושי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ודאי לא כזה שיש בו כדי להצדיק התערבות בקביעת בית המשפט המחוזי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קביעה זו אף עולה בקנה אחד עם פסיקת בית משפט זה במקרים דומים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לומקין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6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2789/98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14.8.2000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 חזרה נפגעת לקבלת טיפול רפואי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רופא שביצע בה אונס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זה המקום להזכיר</w:t>
      </w:r>
      <w:r>
        <w:rPr>
          <w:rtl w:val="true"/>
        </w:rPr>
        <w:t xml:space="preserve">, </w:t>
      </w:r>
      <w:r>
        <w:rPr>
          <w:rtl w:val="true"/>
        </w:rPr>
        <w:t>כי לבד מן הקביעה בדבר מהימנותה של ב</w:t>
      </w:r>
      <w:r>
        <w:rPr>
          <w:rtl w:val="true"/>
        </w:rPr>
        <w:t xml:space="preserve">', </w:t>
      </w:r>
      <w:r>
        <w:rPr>
          <w:rtl w:val="true"/>
        </w:rPr>
        <w:t>נמצאו שורה של ראיות מסייעות ומחזקות לגרסתה</w:t>
      </w:r>
      <w:r>
        <w:rPr>
          <w:rtl w:val="true"/>
        </w:rPr>
        <w:t xml:space="preserve">, </w:t>
      </w:r>
      <w:r>
        <w:rPr>
          <w:rtl w:val="true"/>
        </w:rPr>
        <w:t>שביניהן ניתן למנות את בקשתה מ</w:t>
      </w:r>
      <w:r>
        <w:rPr>
          <w:rtl w:val="true"/>
        </w:rPr>
        <w:t>חברתה</w:t>
      </w:r>
      <w:r>
        <w:rPr>
          <w:rtl w:val="true"/>
        </w:rPr>
        <w:t xml:space="preserve"> </w:t>
      </w:r>
      <w:r>
        <w:rPr>
          <w:rtl w:val="true"/>
        </w:rPr>
        <w:t>להמתין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 xml:space="preserve">ברכב </w:t>
      </w:r>
      <w:r>
        <w:rPr>
          <w:rtl w:val="true"/>
        </w:rPr>
        <w:t>מתחת</w:t>
      </w:r>
      <w:r>
        <w:rPr>
          <w:rtl w:val="true"/>
        </w:rPr>
        <w:t xml:space="preserve"> </w:t>
      </w:r>
      <w:r>
        <w:rPr>
          <w:rtl w:val="true"/>
        </w:rPr>
        <w:t>למרפאת</w:t>
      </w:r>
      <w:r>
        <w:rPr>
          <w:rtl w:val="true"/>
        </w:rPr>
        <w:t>ו של</w:t>
      </w:r>
      <w:r>
        <w:rPr>
          <w:rtl w:val="true"/>
        </w:rPr>
        <w:t xml:space="preserve"> </w:t>
      </w:r>
      <w:r>
        <w:rPr>
          <w:rtl w:val="true"/>
        </w:rPr>
        <w:t>המערער במהלך פגישתם השנייה</w:t>
      </w:r>
      <w:r>
        <w:rPr>
          <w:rtl w:val="true"/>
        </w:rPr>
        <w:t xml:space="preserve">, </w:t>
      </w:r>
      <w:r>
        <w:rPr>
          <w:rtl w:val="true"/>
        </w:rPr>
        <w:t>ולסייע לה במקרה הצורך</w:t>
      </w:r>
      <w:r>
        <w:rPr>
          <w:rtl w:val="true"/>
        </w:rPr>
        <w:t xml:space="preserve">; </w:t>
      </w:r>
      <w:r>
        <w:rPr>
          <w:rtl w:val="true"/>
        </w:rPr>
        <w:t>את העובדה כי שיתפה את אחותה וחברתה באירועים מושא ההליך סמוך לאחר התרחשותם</w:t>
      </w:r>
      <w:r>
        <w:rPr>
          <w:rtl w:val="true"/>
        </w:rPr>
        <w:t xml:space="preserve">, </w:t>
      </w:r>
      <w:r>
        <w:rPr>
          <w:rtl w:val="true"/>
        </w:rPr>
        <w:t>תוך הימצאות בסערת רגשות ממשית</w:t>
      </w:r>
      <w:r>
        <w:rPr>
          <w:rtl w:val="true"/>
        </w:rPr>
        <w:t xml:space="preserve">; </w:t>
      </w:r>
      <w:r>
        <w:rPr>
          <w:rtl w:val="true"/>
        </w:rPr>
        <w:t>ואת מצבה הנפשי המעורער</w:t>
      </w:r>
      <w:r>
        <w:rPr>
          <w:rtl w:val="true"/>
        </w:rPr>
        <w:t xml:space="preserve">, </w:t>
      </w:r>
      <w:r>
        <w:rPr>
          <w:rtl w:val="true"/>
        </w:rPr>
        <w:t>שעליו העידו</w:t>
      </w:r>
      <w:r>
        <w:rPr>
          <w:rtl w:val="true"/>
        </w:rPr>
        <w:t xml:space="preserve">, </w:t>
      </w:r>
      <w:r>
        <w:rPr>
          <w:rtl w:val="true"/>
        </w:rPr>
        <w:t>הן אחותה</w:t>
      </w:r>
      <w:r>
        <w:rPr>
          <w:rtl w:val="true"/>
        </w:rPr>
        <w:t xml:space="preserve">, </w:t>
      </w:r>
      <w:r>
        <w:rPr>
          <w:rtl w:val="true"/>
        </w:rPr>
        <w:t xml:space="preserve">הן </w:t>
      </w:r>
      <w:r>
        <w:rPr>
          <w:rtl w:val="true"/>
        </w:rPr>
        <w:t>הפסיכולוגית</w:t>
      </w:r>
      <w:r>
        <w:rPr>
          <w:rtl w:val="true"/>
        </w:rPr>
        <w:t xml:space="preserve"> עִמה נפגשה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התרשמ</w:t>
      </w:r>
      <w:r>
        <w:rPr>
          <w:rtl w:val="true"/>
        </w:rPr>
        <w:t>ות</w:t>
      </w:r>
      <w:r>
        <w:rPr>
          <w:rtl w:val="true"/>
        </w:rPr>
        <w:t>ה</w:t>
      </w:r>
      <w:r>
        <w:rPr>
          <w:rtl w:val="true"/>
        </w:rPr>
        <w:t xml:space="preserve"> המקצועית</w:t>
      </w:r>
      <w:r>
        <w:rPr>
          <w:rtl w:val="true"/>
        </w:rPr>
        <w:t xml:space="preserve"> </w:t>
      </w:r>
      <w:r>
        <w:rPr>
          <w:rtl w:val="true"/>
        </w:rPr>
        <w:t xml:space="preserve">היתה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מצויה</w:t>
      </w:r>
      <w:r>
        <w:rPr>
          <w:rtl w:val="true"/>
        </w:rPr>
        <w:t xml:space="preserve">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מאותם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. </w:t>
      </w:r>
      <w:r>
        <w:rPr>
          <w:rtl w:val="true"/>
        </w:rPr>
        <w:t>אדגיש</w:t>
      </w:r>
      <w:r>
        <w:rPr>
          <w:rtl w:val="true"/>
        </w:rPr>
        <w:t xml:space="preserve">, </w:t>
      </w:r>
      <w:r>
        <w:rPr>
          <w:rtl w:val="true"/>
        </w:rPr>
        <w:t>כי מצבה הנפשי של נפגעת עבירת מין יכול לשמש כראייה אובייקטיבית לחיזוק גרסתה</w:t>
      </w:r>
      <w:r>
        <w:rPr>
          <w:rtl w:val="true"/>
        </w:rPr>
        <w:t xml:space="preserve">, </w:t>
      </w:r>
      <w:r>
        <w:rPr>
          <w:rtl w:val="true"/>
        </w:rPr>
        <w:t xml:space="preserve">כך שמדובר בראיות בעלות משקל ממשי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6038/21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5.1.2023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ascii="Century" w:hAnsi="Century" w:cs="Century"/>
          <w:sz w:val="22"/>
          <w:sz w:val="22"/>
          <w:rtl w:val="true"/>
        </w:rPr>
        <w:t>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סויסה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ניקולא</w:t>
      </w:r>
      <w:r>
        <w:rPr>
          <w:rtl w:val="true"/>
        </w:rPr>
        <w:t xml:space="preserve">, </w:t>
      </w:r>
      <w:r>
        <w:rPr>
          <w:rtl w:val="true"/>
        </w:rPr>
        <w:t xml:space="preserve">ממנה עלו בקשותיו החוזרות של המערער </w:t>
      </w:r>
      <w:r>
        <w:rPr>
          <w:rtl w:val="true"/>
        </w:rPr>
        <w:t>'</w:t>
      </w:r>
      <w:r>
        <w:rPr>
          <w:rtl w:val="true"/>
        </w:rPr>
        <w:t>לסדר עבורו את העניין</w:t>
      </w:r>
      <w:r>
        <w:rPr>
          <w:rtl w:val="true"/>
        </w:rPr>
        <w:t xml:space="preserve">', </w:t>
      </w:r>
      <w:r>
        <w:rPr>
          <w:rtl w:val="true"/>
        </w:rPr>
        <w:t xml:space="preserve">כמו גם בנכונותו של המערער </w:t>
      </w:r>
      <w:r>
        <w:rPr>
          <w:rtl w:val="true"/>
        </w:rPr>
        <w:t>לשלם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חלף האפשרות ש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תתלונן במשטרה</w:t>
      </w:r>
      <w:r>
        <w:rPr>
          <w:rtl w:val="true"/>
        </w:rPr>
        <w:t xml:space="preserve">, </w:t>
      </w:r>
      <w:r>
        <w:rPr>
          <w:rtl w:val="true"/>
        </w:rPr>
        <w:t>נמצא חיזוק לגרסתה של ב</w:t>
      </w:r>
      <w:r>
        <w:rPr>
          <w:rtl w:val="true"/>
        </w:rPr>
        <w:t xml:space="preserve">'.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וזאת עיקר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בית המשפט המחוזי קבע</w:t>
      </w:r>
      <w:r>
        <w:rPr>
          <w:rtl w:val="true"/>
        </w:rPr>
        <w:t xml:space="preserve">, </w:t>
      </w:r>
      <w:r>
        <w:rPr>
          <w:rtl w:val="true"/>
        </w:rPr>
        <w:t xml:space="preserve">כי עדותו של המערער הותירה </w:t>
      </w:r>
      <w:r>
        <w:rPr>
          <w:rtl w:val="true"/>
        </w:rPr>
        <w:t>רושם</w:t>
      </w:r>
      <w:r>
        <w:rPr>
          <w:rtl w:val="true"/>
        </w:rPr>
        <w:t xml:space="preserve"> </w:t>
      </w:r>
      <w:r>
        <w:rPr>
          <w:rtl w:val="true"/>
        </w:rPr>
        <w:t xml:space="preserve">כֹּה </w:t>
      </w:r>
      <w:r>
        <w:rPr>
          <w:rtl w:val="true"/>
        </w:rPr>
        <w:t>רע</w:t>
      </w:r>
      <w:r>
        <w:rPr>
          <w:rtl w:val="true"/>
        </w:rPr>
        <w:t xml:space="preserve"> –</w:t>
      </w:r>
      <w:r>
        <w:rPr>
          <w:rtl w:val="true"/>
        </w:rPr>
        <w:t xml:space="preserve"> בהתחשב ב</w:t>
      </w:r>
      <w:r>
        <w:rPr>
          <w:rtl w:val="true"/>
        </w:rPr>
        <w:t>סתירות</w:t>
      </w:r>
      <w:r>
        <w:rPr>
          <w:rtl w:val="true"/>
        </w:rPr>
        <w:t xml:space="preserve"> </w:t>
      </w:r>
      <w:r>
        <w:rPr>
          <w:rtl w:val="true"/>
        </w:rPr>
        <w:t>המרובות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tl w:val="true"/>
        </w:rPr>
        <w:t xml:space="preserve"> </w:t>
      </w:r>
      <w:r>
        <w:rPr>
          <w:rtl w:val="true"/>
        </w:rPr>
        <w:t>ההיגיון</w:t>
      </w:r>
      <w:r>
        <w:rPr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 xml:space="preserve"> </w:t>
      </w:r>
      <w:r>
        <w:rPr>
          <w:rtl w:val="true"/>
        </w:rPr>
        <w:t>עמידתה</w:t>
      </w:r>
      <w:r>
        <w:rPr>
          <w:rtl w:val="true"/>
        </w:rPr>
        <w:t xml:space="preserve"> </w:t>
      </w:r>
      <w:r>
        <w:rPr>
          <w:rtl w:val="true"/>
        </w:rPr>
        <w:t>בקנה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אמינות</w:t>
      </w:r>
      <w:r>
        <w:rPr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עד שדברי</w:t>
      </w:r>
      <w:r>
        <w:rPr>
          <w:rtl w:val="true"/>
        </w:rPr>
        <w:t>-</w:t>
      </w:r>
      <w:r>
        <w:rPr>
          <w:rtl w:val="true"/>
        </w:rPr>
        <w:t xml:space="preserve">עדותו </w:t>
      </w:r>
      <w:r>
        <w:rPr>
          <w:rtl w:val="true"/>
        </w:rPr>
        <w:t>היוו</w:t>
      </w:r>
      <w:r>
        <w:rPr>
          <w:rtl w:val="true"/>
        </w:rPr>
        <w:t xml:space="preserve"> </w:t>
      </w:r>
      <w:r>
        <w:rPr>
          <w:rtl w:val="true"/>
        </w:rPr>
        <w:t>חיזוק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לאמינות</w:t>
      </w:r>
      <w:r>
        <w:rPr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 </w:t>
      </w:r>
      <w:r>
        <w:rPr>
          <w:rtl w:val="true"/>
        </w:rPr>
        <w:t>של ב</w:t>
      </w:r>
      <w:r>
        <w:rPr>
          <w:rtl w:val="true"/>
        </w:rPr>
        <w:t>'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 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סיכומו של דבר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קביעותיו העובדתיות של בית המשפט המחוזי </w:t>
      </w:r>
      <w:r>
        <w:rPr>
          <w:rtl w:val="true"/>
        </w:rPr>
        <w:t>–</w:t>
      </w:r>
      <w:r>
        <w:rPr>
          <w:rtl w:val="true"/>
        </w:rPr>
        <w:t xml:space="preserve"> על מכונן עומדות</w:t>
      </w:r>
      <w:r>
        <w:rPr>
          <w:rtl w:val="true"/>
        </w:rPr>
        <w:t xml:space="preserve">. </w:t>
      </w:r>
      <w:r>
        <w:rPr>
          <w:rtl w:val="true"/>
        </w:rPr>
        <w:t>אפנה לבחון עתה אם יש בטענות שהעלה המערער לגבי מחדלי החקירה שנפלו בהליך</w:t>
      </w:r>
      <w:r>
        <w:rPr>
          <w:rtl w:val="true"/>
        </w:rPr>
        <w:t xml:space="preserve">, </w:t>
      </w:r>
      <w:r>
        <w:rPr>
          <w:rtl w:val="true"/>
        </w:rPr>
        <w:t>כדי לשנות מן המסקנה בדבר הרשעתו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מחדלי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הנוגעות</w:t>
      </w:r>
      <w:r>
        <w:rPr>
          <w:rtl w:val="true"/>
        </w:rPr>
        <w:t xml:space="preserve"> </w:t>
      </w:r>
      <w:r>
        <w:rPr>
          <w:rtl w:val="true"/>
        </w:rPr>
        <w:t>למחדלי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 </w:t>
      </w:r>
      <w:r>
        <w:rPr>
          <w:rtl w:val="true"/>
        </w:rPr>
        <w:t>נעשית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tl w:val="true"/>
        </w:rPr>
        <w:t xml:space="preserve"> </w:t>
      </w:r>
      <w:r>
        <w:rPr>
          <w:rtl w:val="true"/>
        </w:rPr>
        <w:t>שלבים</w:t>
      </w:r>
      <w:r>
        <w:rPr>
          <w:rtl w:val="true"/>
        </w:rPr>
        <w:t xml:space="preserve">: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נבחנת</w:t>
      </w:r>
      <w:r>
        <w:rPr>
          <w:rtl w:val="true"/>
        </w:rPr>
        <w:t xml:space="preserve"> </w:t>
      </w:r>
      <w:r>
        <w:rPr>
          <w:rtl w:val="true"/>
        </w:rPr>
        <w:t>השאל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 </w:t>
      </w:r>
      <w:r>
        <w:rPr>
          <w:rtl w:val="true"/>
        </w:rPr>
        <w:t>ארעו</w:t>
      </w:r>
      <w:r>
        <w:rPr>
          <w:rtl w:val="true"/>
        </w:rPr>
        <w:t xml:space="preserve"> </w:t>
      </w:r>
      <w:r>
        <w:rPr>
          <w:rtl w:val="true"/>
        </w:rPr>
        <w:t>מחדלים</w:t>
      </w:r>
      <w:r>
        <w:rPr>
          <w:rtl w:val="true"/>
        </w:rPr>
        <w:t xml:space="preserve"> </w:t>
      </w:r>
      <w:r>
        <w:rPr>
          <w:rtl w:val="true"/>
        </w:rPr>
        <w:t>בהליכי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;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שהתשובה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 </w:t>
      </w:r>
      <w:r>
        <w:rPr>
          <w:rtl w:val="true"/>
        </w:rPr>
        <w:t>לשלב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שבו נדרש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 </w:t>
      </w:r>
      <w:r>
        <w:rPr>
          <w:rtl w:val="true"/>
        </w:rPr>
        <w:t>שנמצאו</w:t>
      </w:r>
      <w:r>
        <w:rPr>
          <w:rtl w:val="true"/>
        </w:rPr>
        <w:t xml:space="preserve"> </w:t>
      </w:r>
      <w:r>
        <w:rPr>
          <w:rtl w:val="true"/>
        </w:rPr>
        <w:t>פגעו</w:t>
      </w:r>
      <w:r>
        <w:rPr>
          <w:rtl w:val="true"/>
        </w:rPr>
        <w:t xml:space="preserve"> </w:t>
      </w:r>
      <w:r>
        <w:rPr>
          <w:rtl w:val="true"/>
        </w:rPr>
        <w:t>ביכולתו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לחובת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המעורר</w:t>
      </w:r>
      <w:r>
        <w:rPr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 </w:t>
      </w:r>
      <w:r>
        <w:rPr>
          <w:rtl w:val="true"/>
        </w:rPr>
        <w:t>קופחה</w:t>
      </w:r>
      <w:r>
        <w:rPr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או כי נפגעה זכותו להליך הוגן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נעשית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שקלול</w:t>
      </w:r>
      <w:r>
        <w:rPr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 </w:t>
      </w:r>
      <w:r>
        <w:rPr>
          <w:rtl w:val="true"/>
        </w:rPr>
        <w:t>הנטענים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אל </w:t>
      </w:r>
      <w:r>
        <w:rPr>
          <w:rtl w:val="true"/>
        </w:rPr>
        <w:t>מול</w:t>
      </w:r>
      <w:r>
        <w:rPr>
          <w:rtl w:val="true"/>
        </w:rPr>
        <w:t xml:space="preserve"> </w:t>
      </w:r>
      <w:r>
        <w:rPr>
          <w:rtl w:val="true"/>
        </w:rPr>
        <w:t>התשתית</w:t>
      </w:r>
      <w:r>
        <w:rPr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 </w:t>
      </w:r>
      <w:r>
        <w:rPr>
          <w:rtl w:val="true"/>
        </w:rPr>
        <w:t>שהונחה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434/15</w:t>
        </w:r>
      </w:hyperlink>
      <w:r>
        <w:rPr>
          <w:rtl w:val="true"/>
        </w:rPr>
        <w:t xml:space="preserve"> </w:t>
      </w:r>
      <w:r>
        <w:rPr>
          <w:rFonts w:cs="Times New Roman" w:ascii="Times New Roman" w:hAnsi="Times New Roman"/>
          <w:b/>
          <w:spacing w:val="0"/>
          <w:sz w:val="22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4.2.2016</w:t>
      </w:r>
      <w:r>
        <w:rPr>
          <w:rtl w:val="true"/>
        </w:rPr>
        <w:t xml:space="preserve">)).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אזכיר בהקשר 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במחדלי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כשלעצמם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לזיכויו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שקיימת</w:t>
      </w:r>
      <w:r>
        <w:rPr>
          <w:rtl w:val="true"/>
        </w:rPr>
        <w:t xml:space="preserve"> </w:t>
      </w:r>
      <w:r>
        <w:rPr>
          <w:rtl w:val="true"/>
        </w:rPr>
        <w:t>תשתית</w:t>
      </w:r>
      <w:r>
        <w:rPr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 </w:t>
      </w:r>
      <w:r>
        <w:rPr>
          <w:rtl w:val="true"/>
        </w:rPr>
        <w:t>להוכחת</w:t>
      </w:r>
      <w:r>
        <w:rPr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3669/14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18.12.2016</w:t>
      </w:r>
      <w:r>
        <w:rPr>
          <w:rtl w:val="true"/>
        </w:rPr>
        <w:t>)).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בכל הנוגע להליכי חקירתו</w:t>
      </w:r>
      <w:r>
        <w:rPr>
          <w:rtl w:val="true"/>
        </w:rPr>
        <w:t xml:space="preserve">, </w:t>
      </w:r>
      <w:r>
        <w:rPr>
          <w:rtl w:val="true"/>
        </w:rPr>
        <w:t>מעלה המערער טענות לגבי היעלמות חלק הארי של הקלטות חקירותיו</w:t>
      </w:r>
      <w:r>
        <w:rPr>
          <w:rtl w:val="true"/>
        </w:rPr>
        <w:t xml:space="preserve">, </w:t>
      </w:r>
      <w:r>
        <w:rPr>
          <w:rtl w:val="true"/>
        </w:rPr>
        <w:t>חקירות הנפגעות</w:t>
      </w:r>
      <w:r>
        <w:rPr>
          <w:rtl w:val="true"/>
        </w:rPr>
        <w:t xml:space="preserve">, </w:t>
      </w:r>
      <w:r>
        <w:rPr>
          <w:rtl w:val="true"/>
        </w:rPr>
        <w:t>והעימותים שנעשו בינו לבינן</w:t>
      </w:r>
      <w:r>
        <w:rPr>
          <w:rtl w:val="true"/>
        </w:rPr>
        <w:t xml:space="preserve">; </w:t>
      </w:r>
      <w:r>
        <w:rPr>
          <w:rtl w:val="true"/>
        </w:rPr>
        <w:t>כמו גם בנוגע לשיהוי בהליכי החקירה</w:t>
      </w:r>
      <w:r>
        <w:rPr>
          <w:rtl w:val="true"/>
        </w:rPr>
        <w:t xml:space="preserve">, </w:t>
      </w:r>
      <w:r>
        <w:rPr>
          <w:rtl w:val="true"/>
        </w:rPr>
        <w:t>שבא לידי ביטוי בכך שהחקירה החלה אך בחלוף כשנה ממועד הגשת התלונה על ידי א</w:t>
      </w:r>
      <w:r>
        <w:rPr>
          <w:rtl w:val="true"/>
        </w:rPr>
        <w:t xml:space="preserve">', </w:t>
      </w:r>
      <w:r>
        <w:rPr>
          <w:rtl w:val="true"/>
        </w:rPr>
        <w:t>ובכך שחלפה כשנה מתום החקירה</w:t>
      </w:r>
      <w:r>
        <w:rPr>
          <w:rtl w:val="true"/>
        </w:rPr>
        <w:t xml:space="preserve">, </w:t>
      </w:r>
      <w:r>
        <w:rPr>
          <w:rtl w:val="true"/>
        </w:rPr>
        <w:t>עד להגשת כתב האישום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דומה כי אין חולק על כך שאובדן קלטות החקירה הריהו</w:t>
      </w:r>
      <w:r>
        <w:rPr>
          <w:rtl w:val="true"/>
        </w:rPr>
        <w:t xml:space="preserve"> מחדל חקירה</w:t>
      </w:r>
      <w:r>
        <w:rPr>
          <w:rtl w:val="true"/>
        </w:rPr>
        <w:t xml:space="preserve"> משמעותי</w:t>
      </w:r>
      <w:r>
        <w:rPr>
          <w:rtl w:val="true"/>
        </w:rPr>
        <w:t xml:space="preserve">, </w:t>
      </w:r>
      <w:r>
        <w:rPr>
          <w:rtl w:val="true"/>
        </w:rPr>
        <w:t>שאין להקל בו ראש</w:t>
      </w:r>
      <w:r>
        <w:rPr>
          <w:rtl w:val="true"/>
        </w:rPr>
        <w:t xml:space="preserve">; </w:t>
      </w:r>
      <w:r>
        <w:rPr>
          <w:rtl w:val="true"/>
        </w:rPr>
        <w:t>המשיבה הכירה בקיומו</w:t>
      </w:r>
      <w:r>
        <w:rPr>
          <w:rtl w:val="true"/>
        </w:rPr>
        <w:t xml:space="preserve">.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החזותי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חשודים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לאפשר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הצצה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בחדרי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דרכם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ותידרש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האינטראקציה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והנחקר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למהימנותו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העלאת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ניהול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6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מילשטיין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התובע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לחוות דעת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14.12.2006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מילשטיין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מסיבות שלא הובררו דיין</w:t>
      </w:r>
      <w:r>
        <w:rPr>
          <w:rtl w:val="true"/>
        </w:rPr>
        <w:t xml:space="preserve">, </w:t>
      </w:r>
      <w:r>
        <w:rPr>
          <w:rtl w:val="true"/>
        </w:rPr>
        <w:t>לא עלה בידי גורמי החקירה לספק אותו תיעוד חזותי שלם ומלא</w:t>
      </w:r>
      <w:r>
        <w:rPr>
          <w:rtl w:val="true"/>
        </w:rPr>
        <w:t xml:space="preserve">, </w:t>
      </w:r>
      <w:r>
        <w:rPr>
          <w:rtl w:val="true"/>
        </w:rPr>
        <w:t xml:space="preserve">הנדרש לפי הוראת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חקירת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חשודים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חשודים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התרשמות בלתי אמצעית ממהלך החקירות השלם</w:t>
      </w:r>
      <w:r>
        <w:rPr>
          <w:rtl w:val="true"/>
        </w:rPr>
        <w:t xml:space="preserve">, </w:t>
      </w:r>
      <w:r>
        <w:rPr>
          <w:rtl w:val="true"/>
        </w:rPr>
        <w:t>נמנעה מבית המשפט</w:t>
      </w:r>
      <w:r>
        <w:rPr>
          <w:rtl w:val="true"/>
        </w:rPr>
        <w:t xml:space="preserve">; </w:t>
      </w:r>
      <w:r>
        <w:rPr>
          <w:rtl w:val="true"/>
        </w:rPr>
        <w:t>חלף זאת</w:t>
      </w:r>
      <w:r>
        <w:rPr>
          <w:rtl w:val="true"/>
        </w:rPr>
        <w:t xml:space="preserve">, </w:t>
      </w:r>
      <w:r>
        <w:rPr>
          <w:rtl w:val="true"/>
        </w:rPr>
        <w:t>נדרש בית המשפט לדון בטענות המערער הנובעות מהמחדל האמור</w:t>
      </w:r>
      <w:r>
        <w:rPr>
          <w:rtl w:val="true"/>
        </w:rPr>
        <w:t xml:space="preserve">, </w:t>
      </w:r>
      <w:r>
        <w:rPr>
          <w:rtl w:val="true"/>
        </w:rPr>
        <w:t>התדיינות שהסיטה את ההליך ממסלולו</w:t>
      </w:r>
      <w:r>
        <w:rPr>
          <w:rtl w:val="true"/>
        </w:rPr>
        <w:t xml:space="preserve">, </w:t>
      </w:r>
      <w:r>
        <w:rPr>
          <w:rtl w:val="true"/>
        </w:rPr>
        <w:t>והאריכה אותו שלא לצורך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מרבה בטענות הנוגעות לנסיבות העדרן של הקלטות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מדובר בהעלמה מכוונת</w:t>
      </w:r>
      <w:r>
        <w:rPr>
          <w:rtl w:val="true"/>
        </w:rPr>
        <w:t xml:space="preserve">, </w:t>
      </w:r>
      <w:r>
        <w:rPr>
          <w:rtl w:val="true"/>
        </w:rPr>
        <w:t>שבוצעה על</w:t>
      </w:r>
      <w:r>
        <w:rPr>
          <w:rtl w:val="true"/>
        </w:rPr>
        <w:t>-</w:t>
      </w:r>
      <w:r>
        <w:rPr>
          <w:rtl w:val="true"/>
        </w:rPr>
        <w:t>ידי רס</w:t>
      </w:r>
      <w:r>
        <w:rPr>
          <w:rtl w:val="true"/>
        </w:rPr>
        <w:t>"</w:t>
      </w:r>
      <w:r>
        <w:rPr>
          <w:rtl w:val="true"/>
        </w:rPr>
        <w:t>ב סוויסה</w:t>
      </w:r>
      <w:r>
        <w:rPr>
          <w:rtl w:val="true"/>
        </w:rPr>
        <w:t xml:space="preserve">, </w:t>
      </w:r>
      <w:r>
        <w:rPr>
          <w:rtl w:val="true"/>
        </w:rPr>
        <w:t>החוקר שניהל את החקירה המשטרתית</w:t>
      </w:r>
      <w:r>
        <w:rPr>
          <w:rtl w:val="true"/>
        </w:rPr>
        <w:t xml:space="preserve">. </w:t>
      </w:r>
      <w:r>
        <w:rPr>
          <w:rtl w:val="true"/>
        </w:rPr>
        <w:t>לגבי דידי</w:t>
      </w:r>
      <w:r>
        <w:rPr>
          <w:rtl w:val="true"/>
        </w:rPr>
        <w:t xml:space="preserve">, </w:t>
      </w:r>
      <w:r>
        <w:rPr>
          <w:rtl w:val="true"/>
        </w:rPr>
        <w:t>מדובר בהשערות</w:t>
      </w:r>
      <w:r>
        <w:rPr>
          <w:rtl w:val="true"/>
        </w:rPr>
        <w:t xml:space="preserve">, </w:t>
      </w:r>
      <w:r>
        <w:rPr>
          <w:rtl w:val="true"/>
        </w:rPr>
        <w:t>ולא מצאתי כי יש להן על מה לסמוך</w:t>
      </w:r>
      <w:r>
        <w:rPr>
          <w:rtl w:val="true"/>
        </w:rPr>
        <w:t xml:space="preserve">. </w:t>
      </w:r>
      <w:r>
        <w:rPr>
          <w:rtl w:val="true"/>
        </w:rPr>
        <w:t>בלאו הכי</w:t>
      </w:r>
      <w:r>
        <w:rPr>
          <w:rtl w:val="true"/>
        </w:rPr>
        <w:t xml:space="preserve">, </w:t>
      </w:r>
      <w:r>
        <w:rPr>
          <w:rtl w:val="true"/>
        </w:rPr>
        <w:t>משהכירה המשיבה בכך שאכן מדובר במחדל</w:t>
      </w:r>
      <w:r>
        <w:rPr>
          <w:rtl w:val="true"/>
        </w:rPr>
        <w:t xml:space="preserve">, </w:t>
      </w:r>
      <w:r>
        <w:rPr>
          <w:rtl w:val="true"/>
        </w:rPr>
        <w:t>שוב אין משמעות לשאלה אם החקירות הוקלטו ונעלמו</w:t>
      </w:r>
      <w:r>
        <w:rPr>
          <w:rtl w:val="true"/>
        </w:rPr>
        <w:t xml:space="preserve">, </w:t>
      </w:r>
      <w:r>
        <w:rPr>
          <w:rtl w:val="true"/>
        </w:rPr>
        <w:t>כפי שגורס המערער</w:t>
      </w:r>
      <w:r>
        <w:rPr>
          <w:rtl w:val="true"/>
        </w:rPr>
        <w:t xml:space="preserve">, </w:t>
      </w:r>
      <w:r>
        <w:rPr>
          <w:rtl w:val="true"/>
        </w:rPr>
        <w:t>או שלא הוקלטו מלכתחילה</w:t>
      </w:r>
      <w:r>
        <w:rPr>
          <w:rtl w:val="true"/>
        </w:rPr>
        <w:t xml:space="preserve">, </w:t>
      </w:r>
      <w:r>
        <w:rPr>
          <w:rtl w:val="true"/>
        </w:rPr>
        <w:t>כפי שטוענת המשיבה</w:t>
      </w:r>
      <w:r>
        <w:rPr>
          <w:rtl w:val="true"/>
        </w:rPr>
        <w:t xml:space="preserve">. </w:t>
      </w:r>
      <w:r>
        <w:rPr>
          <w:rtl w:val="true"/>
        </w:rPr>
        <w:t>עוד אציין</w:t>
      </w:r>
      <w:r>
        <w:rPr>
          <w:rtl w:val="true"/>
        </w:rPr>
        <w:t xml:space="preserve">, </w:t>
      </w:r>
      <w:r>
        <w:rPr>
          <w:rtl w:val="true"/>
        </w:rPr>
        <w:t>כי מובן שככל ויש ממש בטענות המערער באשר להתנהלות החוקר סוויסה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 xml:space="preserve">נהג </w:t>
      </w:r>
      <w:r>
        <w:rPr>
          <w:rtl w:val="true"/>
        </w:rPr>
        <w:t>עִמו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באורח בוטה וגס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לא כיבדו די הצורך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מדובר במצב דברים מטריד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 בטענות אלה כדי להשפיע על בחינת מחדלי החקירה הנטענים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השאלה המונחת לפנינו אפוא</w:t>
      </w:r>
      <w:r>
        <w:rPr>
          <w:rtl w:val="true"/>
        </w:rPr>
        <w:t xml:space="preserve">, </w:t>
      </w:r>
      <w:r>
        <w:rPr>
          <w:rtl w:val="true"/>
        </w:rPr>
        <w:t>היא אם יש במחדל החקירתי האמור כדי להביא לזיכויו של המערער</w:t>
      </w:r>
      <w:r>
        <w:rPr>
          <w:rtl w:val="true"/>
        </w:rPr>
        <w:t xml:space="preserve">. </w:t>
      </w:r>
      <w:r>
        <w:rPr>
          <w:rtl w:val="true"/>
        </w:rPr>
        <w:t>שאלה זו תֵענה בחיוב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רק אם יוכח כי קופחה הגנתו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באופן 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לא איפשר לו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להתמודד עם חומר הראיות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נגדו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התשובה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שלילית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 הכחיש מהרגע הראשון את מעשי העבירה המיוחסים לו</w:t>
      </w:r>
      <w:r>
        <w:rPr>
          <w:rtl w:val="true"/>
        </w:rPr>
        <w:t xml:space="preserve">, </w:t>
      </w:r>
      <w:r>
        <w:rPr>
          <w:rtl w:val="true"/>
        </w:rPr>
        <w:t>וגרסתו לא עברה שינוי ממשי מהודעותיו במשטרה</w:t>
      </w:r>
      <w:r>
        <w:rPr>
          <w:rtl w:val="true"/>
        </w:rPr>
        <w:t xml:space="preserve">, </w:t>
      </w:r>
      <w:r>
        <w:rPr>
          <w:rtl w:val="true"/>
        </w:rPr>
        <w:t>לעדותו בבית המשפט</w:t>
      </w:r>
      <w:r>
        <w:rPr>
          <w:rtl w:val="true"/>
        </w:rPr>
        <w:t xml:space="preserve">. </w:t>
      </w:r>
      <w:r>
        <w:rPr>
          <w:rtl w:val="true"/>
        </w:rPr>
        <w:t>בצדק אִבחן בית המשפט המחוזי</w:t>
      </w:r>
      <w:r>
        <w:rPr>
          <w:rtl w:val="true"/>
        </w:rPr>
        <w:t xml:space="preserve">, </w:t>
      </w:r>
      <w:r>
        <w:rPr>
          <w:rtl w:val="true"/>
        </w:rPr>
        <w:t>בין מצב שבו נעדרת הקלטה של הודאת נאשם</w:t>
      </w:r>
      <w:r>
        <w:rPr>
          <w:rtl w:val="true"/>
        </w:rPr>
        <w:t xml:space="preserve">, </w:t>
      </w:r>
      <w:r>
        <w:rPr>
          <w:rtl w:val="true"/>
        </w:rPr>
        <w:t>לבין מצב שבו נעדרת הקלטת חשוד שאיננו מודה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. </w:t>
      </w:r>
      <w:r>
        <w:rPr>
          <w:rtl w:val="true"/>
        </w:rPr>
        <w:t>כאמור בהכרעת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תכליתו המרכזית של חוק חקירת חשודים היא ליתן כלים לבית המשפט להעריך את טיב ההודאה המונחת לפניו</w:t>
      </w:r>
      <w:r>
        <w:rPr>
          <w:rtl w:val="true"/>
        </w:rPr>
        <w:t xml:space="preserve">; </w:t>
      </w:r>
      <w:r>
        <w:rPr>
          <w:rtl w:val="true"/>
        </w:rPr>
        <w:t>אם הודאת אמת היא</w:t>
      </w:r>
      <w:r>
        <w:rPr>
          <w:rtl w:val="true"/>
        </w:rPr>
        <w:t xml:space="preserve">, </w:t>
      </w:r>
      <w:r>
        <w:rPr>
          <w:rtl w:val="true"/>
        </w:rPr>
        <w:t>אם שווא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כדי לפקח על התנהלות גורמי החקירה</w:t>
      </w:r>
      <w:r>
        <w:rPr>
          <w:rtl w:val="true"/>
        </w:rPr>
        <w:t xml:space="preserve">, </w:t>
      </w:r>
      <w:r>
        <w:rPr>
          <w:rtl w:val="true"/>
        </w:rPr>
        <w:t>ולמנוע השגת הודאות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לחצים פסולים </w:t>
      </w:r>
      <w:r>
        <w:rPr>
          <w:rtl w:val="true"/>
        </w:rPr>
        <w:t>(</w:t>
      </w:r>
      <w:r>
        <w:rPr>
          <w:rtl w:val="true"/>
        </w:rPr>
        <w:t xml:space="preserve">עמודים </w:t>
      </w:r>
      <w:r>
        <w:rPr/>
        <w:t>210-208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מילשטיין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לטוין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3.12.2020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העדר הקלטות של חקירות נאשם המכחיש את המיוחס לו</w:t>
      </w:r>
      <w:r>
        <w:rPr>
          <w:rtl w:val="true"/>
        </w:rPr>
        <w:t xml:space="preserve">, </w:t>
      </w:r>
      <w:r>
        <w:rPr>
          <w:rtl w:val="true"/>
        </w:rPr>
        <w:t>תהא מטבעה חמורה פחות</w:t>
      </w:r>
      <w:r>
        <w:rPr>
          <w:rtl w:val="true"/>
        </w:rPr>
        <w:t xml:space="preserve">; </w:t>
      </w:r>
      <w:r>
        <w:rPr>
          <w:rtl w:val="true"/>
        </w:rPr>
        <w:t>זאת בפרט</w:t>
      </w:r>
      <w:r>
        <w:rPr>
          <w:rtl w:val="true"/>
        </w:rPr>
        <w:t xml:space="preserve">, </w:t>
      </w:r>
      <w:r>
        <w:rPr>
          <w:rtl w:val="true"/>
        </w:rPr>
        <w:t xml:space="preserve">אם ניתן היה למזער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 xml:space="preserve">השפעת </w:t>
      </w:r>
      <w:r>
        <w:rPr>
          <w:rtl w:val="true"/>
        </w:rPr>
        <w:t>החסר</w:t>
      </w:r>
      <w:r>
        <w:rPr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נוצר</w:t>
      </w:r>
      <w:r>
        <w:rPr>
          <w:rtl w:val="true"/>
        </w:rPr>
        <w:t xml:space="preserve">, </w:t>
      </w:r>
      <w:r>
        <w:rPr>
          <w:rtl w:val="true"/>
        </w:rPr>
        <w:t>בעת ניהול המשפט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3.9.2009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25.8.2021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7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5705/20</w:t>
        </w:r>
      </w:hyperlink>
      <w:r>
        <w:rPr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אין לכחד</w:t>
      </w:r>
      <w:r>
        <w:rPr>
          <w:rtl w:val="true"/>
        </w:rPr>
        <w:t xml:space="preserve">. </w:t>
      </w:r>
      <w:r>
        <w:rPr>
          <w:rtl w:val="true"/>
        </w:rPr>
        <w:t>חלוף הזמן משפיע</w:t>
      </w:r>
      <w:r>
        <w:rPr>
          <w:rtl w:val="true"/>
        </w:rPr>
        <w:t xml:space="preserve">,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על מתן העדויות</w:t>
      </w:r>
      <w:r>
        <w:rPr>
          <w:rtl w:val="true"/>
        </w:rPr>
        <w:t xml:space="preserve">. </w:t>
      </w:r>
      <w:r>
        <w:rPr>
          <w:rtl w:val="true"/>
        </w:rPr>
        <w:t>ברי כי גרסה הניתנת במשטרה</w:t>
      </w:r>
      <w:r>
        <w:rPr>
          <w:rtl w:val="true"/>
        </w:rPr>
        <w:t xml:space="preserve">, </w:t>
      </w:r>
      <w:r>
        <w:rPr>
          <w:rtl w:val="true"/>
        </w:rPr>
        <w:t>בחלוף זמן קצר ממועד האירועים</w:t>
      </w:r>
      <w:r>
        <w:rPr>
          <w:rtl w:val="true"/>
        </w:rPr>
        <w:t xml:space="preserve">, </w:t>
      </w:r>
      <w:r>
        <w:rPr>
          <w:rtl w:val="true"/>
        </w:rPr>
        <w:t>זוכה ליתרון מסוים בהשוואה למקבילתה שניתנת בחלוף מספר שנים</w:t>
      </w:r>
      <w:r>
        <w:rPr>
          <w:rtl w:val="true"/>
        </w:rPr>
        <w:t xml:space="preserve">, </w:t>
      </w:r>
      <w:r>
        <w:rPr>
          <w:rtl w:val="true"/>
        </w:rPr>
        <w:t>באולם בית המשפט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חלוף הזמן השפיע על העדים כולם</w:t>
      </w:r>
      <w:r>
        <w:rPr>
          <w:rtl w:val="true"/>
        </w:rPr>
        <w:t xml:space="preserve">, </w:t>
      </w:r>
      <w:r>
        <w:rPr>
          <w:rtl w:val="true"/>
        </w:rPr>
        <w:t>ולא שוכנעתי כי נגרם בכך נזק ממשי</w:t>
      </w:r>
      <w:r>
        <w:rPr>
          <w:rtl w:val="true"/>
        </w:rPr>
        <w:t xml:space="preserve">, </w:t>
      </w:r>
      <w:r>
        <w:rPr>
          <w:rtl w:val="true"/>
        </w:rPr>
        <w:t>דווקא להגנתו של המערער</w:t>
      </w:r>
      <w:r>
        <w:rPr>
          <w:rtl w:val="true"/>
        </w:rPr>
        <w:t xml:space="preserve">. </w:t>
      </w:r>
      <w:r>
        <w:rPr>
          <w:rtl w:val="true"/>
        </w:rPr>
        <w:t>בית המשפט המחוזי בחן באופן מעמיק את העדויות שהובאו לפניו</w:t>
      </w:r>
      <w:r>
        <w:rPr>
          <w:rtl w:val="true"/>
        </w:rPr>
        <w:t xml:space="preserve">, </w:t>
      </w:r>
      <w:r>
        <w:rPr>
          <w:rtl w:val="true"/>
        </w:rPr>
        <w:t>וקבע את שקבע</w:t>
      </w:r>
      <w:r>
        <w:rPr>
          <w:rtl w:val="true"/>
        </w:rPr>
        <w:t xml:space="preserve">. </w:t>
      </w:r>
      <w:r>
        <w:rPr>
          <w:rtl w:val="true"/>
        </w:rPr>
        <w:t xml:space="preserve">המערער לא טען </w:t>
      </w:r>
      <w:r>
        <w:rPr>
          <w:rtl w:val="true"/>
        </w:rPr>
        <w:t xml:space="preserve">כלל </w:t>
      </w:r>
      <w:r>
        <w:rPr>
          <w:rtl w:val="true"/>
        </w:rPr>
        <w:t xml:space="preserve">כי דבריו </w:t>
      </w:r>
      <w:r>
        <w:rPr>
          <w:rtl w:val="true"/>
        </w:rPr>
        <w:t>שהובאו בתיעוד הכתוב</w:t>
      </w:r>
      <w:r>
        <w:rPr>
          <w:rtl w:val="true"/>
        </w:rPr>
        <w:t xml:space="preserve">, </w:t>
      </w:r>
      <w:r>
        <w:rPr>
          <w:rtl w:val="true"/>
        </w:rPr>
        <w:t>שובשו או סולפו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טענותיו שלפיהן היה בקלטות כדי לשפר את הרושם הכללי שעלה מעדותו</w:t>
      </w:r>
      <w:r>
        <w:rPr>
          <w:rtl w:val="true"/>
        </w:rPr>
        <w:t xml:space="preserve">; </w:t>
      </w:r>
      <w:r>
        <w:rPr>
          <w:rtl w:val="true"/>
        </w:rPr>
        <w:t>להוכיח כי לא זכר את פגישתו עם א</w:t>
      </w:r>
      <w:r>
        <w:rPr>
          <w:rtl w:val="true"/>
        </w:rPr>
        <w:t xml:space="preserve">'; </w:t>
      </w:r>
      <w:r>
        <w:rPr>
          <w:rtl w:val="true"/>
        </w:rPr>
        <w:t>או לחזק את טענתו באשר לעלילת השווא שהעלילה עליו ב</w:t>
      </w:r>
      <w:r>
        <w:rPr>
          <w:rtl w:val="true"/>
        </w:rPr>
        <w:t xml:space="preserve">', </w:t>
      </w:r>
      <w:r>
        <w:rPr>
          <w:rtl w:val="true"/>
        </w:rPr>
        <w:t>נטענו בעלמא</w:t>
      </w:r>
      <w:r>
        <w:rPr>
          <w:rtl w:val="true"/>
        </w:rPr>
        <w:t xml:space="preserve">, </w:t>
      </w:r>
      <w:r>
        <w:rPr>
          <w:rtl w:val="true"/>
        </w:rPr>
        <w:t>ואינן מכרסמות ב</w:t>
      </w:r>
      <w:r>
        <w:rPr>
          <w:rtl w:val="true"/>
        </w:rPr>
        <w:t>-'</w:t>
      </w:r>
      <w:r>
        <w:rPr>
          <w:rtl w:val="true"/>
        </w:rPr>
        <w:t>יש</w:t>
      </w:r>
      <w:r>
        <w:rPr>
          <w:rtl w:val="true"/>
        </w:rPr>
        <w:t xml:space="preserve">' </w:t>
      </w:r>
      <w:r>
        <w:rPr>
          <w:rtl w:val="true"/>
        </w:rPr>
        <w:t xml:space="preserve">הראייתי האיתן שהובא לחובתו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4936/11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ישועה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31.12.2012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ישועה</w:t>
      </w:r>
      <w:r>
        <w:rPr>
          <w:rtl w:val="true"/>
        </w:rPr>
        <w:t xml:space="preserve">)). </w:t>
      </w:r>
      <w:r>
        <w:rPr>
          <w:rtl w:val="true"/>
        </w:rPr>
        <w:t xml:space="preserve">גם בטענת המערער כי ההקלטות עשויות היו ללמד על כך שהנפגעות תיאמו את תלונותיהן </w:t>
      </w:r>
      <w:r>
        <w:rPr>
          <w:rtl w:val="true"/>
        </w:rPr>
        <w:t>–</w:t>
      </w:r>
      <w:r>
        <w:rPr>
          <w:rtl w:val="true"/>
        </w:rPr>
        <w:t xml:space="preserve"> אין ממש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הן בהתחשב בכך ששתי הנפגעות מסרו את גרסאותיהן באזני צדדים שלישיים</w:t>
      </w:r>
      <w:r>
        <w:rPr>
          <w:rtl w:val="true"/>
        </w:rPr>
        <w:t xml:space="preserve">, </w:t>
      </w:r>
      <w:r>
        <w:rPr>
          <w:rtl w:val="true"/>
        </w:rPr>
        <w:t>בטרם הגישו את תלונתן במשטרה</w:t>
      </w:r>
      <w:r>
        <w:rPr>
          <w:rtl w:val="true"/>
        </w:rPr>
        <w:t xml:space="preserve">; </w:t>
      </w:r>
      <w:r>
        <w:rPr>
          <w:rtl w:val="true"/>
        </w:rPr>
        <w:t>הן בשל העובדה שתלונתה של א</w:t>
      </w:r>
      <w:r>
        <w:rPr>
          <w:rtl w:val="true"/>
        </w:rPr>
        <w:t xml:space="preserve">' </w:t>
      </w:r>
      <w:r>
        <w:rPr>
          <w:rtl w:val="true"/>
        </w:rPr>
        <w:t>הוגשה מספר חודשים לפני ביצוע מעשי העבירה כלפי ב</w:t>
      </w:r>
      <w:r>
        <w:rPr>
          <w:rtl w:val="true"/>
        </w:rPr>
        <w:t xml:space="preserve">'. </w:t>
      </w:r>
      <w:r>
        <w:rPr>
          <w:rtl w:val="true"/>
        </w:rPr>
        <w:t>עולה אפוא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מה שהוחסר בחקירת המשטרה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הושלם בדיעבד</w:t>
      </w:r>
      <w:r>
        <w:rPr>
          <w:rtl w:val="true"/>
        </w:rPr>
        <w:t xml:space="preserve"> </w:t>
      </w:r>
      <w:r>
        <w:rPr>
          <w:rtl w:val="true"/>
        </w:rPr>
        <w:t>בבית המשפט</w:t>
      </w:r>
      <w:r>
        <w:rPr>
          <w:rtl w:val="true"/>
        </w:rPr>
        <w:t xml:space="preserve">, </w:t>
      </w:r>
      <w:r>
        <w:rPr>
          <w:rtl w:val="true"/>
        </w:rPr>
        <w:t>באופן שיש בו כדי להניח את הדעת</w:t>
      </w:r>
      <w:r>
        <w:rPr>
          <w:rtl w:val="true"/>
        </w:rPr>
        <w:t xml:space="preserve">; </w:t>
      </w:r>
      <w:r>
        <w:rPr>
          <w:rtl w:val="true"/>
        </w:rPr>
        <w:t>כי אף אם הגנת המערער קופחה במידה מסוימת</w:t>
      </w:r>
      <w:r>
        <w:rPr>
          <w:rtl w:val="true"/>
        </w:rPr>
        <w:t xml:space="preserve">, </w:t>
      </w:r>
      <w:r>
        <w:rPr>
          <w:rtl w:val="true"/>
        </w:rPr>
        <w:t>הרי שלא היה בכך כדי למנוע ממנו להתמודד כנדרש עם חומר הראיות נגדו</w:t>
      </w:r>
      <w:r>
        <w:rPr>
          <w:rtl w:val="true"/>
        </w:rPr>
        <w:t xml:space="preserve">; </w:t>
      </w:r>
      <w:r>
        <w:rPr>
          <w:rtl w:val="true"/>
        </w:rPr>
        <w:t xml:space="preserve">וכי אין במחדל האמור כדי לעורר </w:t>
      </w:r>
      <w:r>
        <w:rPr>
          <w:rtl w:val="true"/>
        </w:rPr>
        <w:t>ספק סביר בדבר אשמתו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גם בטענת השיהוי שהעלה המערער</w:t>
      </w:r>
      <w:r>
        <w:rPr>
          <w:rtl w:val="true"/>
        </w:rPr>
        <w:t xml:space="preserve">, </w:t>
      </w:r>
      <w:r>
        <w:rPr>
          <w:rtl w:val="true"/>
        </w:rPr>
        <w:t>לא מצאתי ממש</w:t>
      </w:r>
      <w:r>
        <w:rPr>
          <w:rtl w:val="true"/>
        </w:rPr>
        <w:t xml:space="preserve">. </w:t>
      </w:r>
      <w:r>
        <w:rPr>
          <w:rtl w:val="true"/>
        </w:rPr>
        <w:t xml:space="preserve">אין חולק על כך  שהימשכות הליכים פליליים משך שנים ארוכות </w:t>
      </w:r>
      <w:r>
        <w:rPr>
          <w:rtl w:val="true"/>
        </w:rPr>
        <w:t>–</w:t>
      </w:r>
      <w:r>
        <w:rPr>
          <w:rtl w:val="true"/>
        </w:rPr>
        <w:t xml:space="preserve"> אינה רצויה</w:t>
      </w:r>
      <w:r>
        <w:rPr>
          <w:rtl w:val="true"/>
        </w:rPr>
        <w:t xml:space="preserve">. </w:t>
      </w:r>
      <w:r>
        <w:rPr>
          <w:rtl w:val="true"/>
        </w:rPr>
        <w:t>פגיעתה בחשודים ונאשמים</w:t>
      </w:r>
      <w:r>
        <w:rPr>
          <w:rtl w:val="true"/>
        </w:rPr>
        <w:t xml:space="preserve">, </w:t>
      </w:r>
      <w:r>
        <w:rPr>
          <w:rtl w:val="true"/>
        </w:rPr>
        <w:t xml:space="preserve">אשר נאלצים לנהל חייהם בצלו של הליך פלילי למשך זמן רב </w:t>
      </w:r>
      <w:r>
        <w:rPr>
          <w:rtl w:val="true"/>
        </w:rPr>
        <w:t>–</w:t>
      </w:r>
      <w:r>
        <w:rPr>
          <w:rtl w:val="true"/>
        </w:rPr>
        <w:t xml:space="preserve"> קשה ומכבידה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כפי שציינתי בעבר</w:t>
      </w:r>
      <w:r>
        <w:rPr>
          <w:rtl w:val="true"/>
        </w:rPr>
        <w:t xml:space="preserve">, </w:t>
      </w:r>
      <w:r>
        <w:rPr>
          <w:rtl w:val="true"/>
        </w:rPr>
        <w:t xml:space="preserve">במקום שבו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והעמדה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ונמשכו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התקופות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בנהלי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ובהנחיית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לממשלה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כבנדון דידן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הרי שככלל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שיהוי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בהתנהלותם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ילדרים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4.1.2021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באותו עניין נקבע</w:t>
      </w:r>
      <w:r>
        <w:rPr>
          <w:rtl w:val="true"/>
        </w:rPr>
        <w:t xml:space="preserve">, </w:t>
      </w:r>
      <w:r>
        <w:rPr>
          <w:rtl w:val="true"/>
        </w:rPr>
        <w:t>כי טענה כגון דא אינה מצדיקה סטייה ממתחם העונש ההולם</w:t>
      </w:r>
      <w:r>
        <w:rPr>
          <w:rtl w:val="true"/>
        </w:rPr>
        <w:t xml:space="preserve">; </w:t>
      </w:r>
      <w:r>
        <w:rPr>
          <w:rtl w:val="true"/>
        </w:rPr>
        <w:t>קל וחומר</w:t>
      </w:r>
      <w:r>
        <w:rPr>
          <w:rtl w:val="true"/>
        </w:rPr>
        <w:t xml:space="preserve">, </w:t>
      </w:r>
      <w:r>
        <w:rPr>
          <w:rtl w:val="true"/>
        </w:rPr>
        <w:t>שאין בה כדי להביא לזיכוי</w:t>
      </w:r>
      <w:r>
        <w:rPr>
          <w:rtl w:val="true"/>
        </w:rPr>
        <w:t xml:space="preserve">, </w:t>
      </w:r>
      <w:r>
        <w:rPr>
          <w:rtl w:val="true"/>
        </w:rPr>
        <w:t>כפי שמבקש המערער בענייננו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לא השתכנעתי כי הימשכות ההליכים מקימה בענייננו פגיעה בתחושת הצדק וההגינות</w:t>
      </w:r>
      <w:r>
        <w:rPr>
          <w:rtl w:val="true"/>
        </w:rPr>
        <w:t xml:space="preserve">, </w:t>
      </w:r>
      <w:r>
        <w:rPr>
          <w:rtl w:val="true"/>
        </w:rPr>
        <w:t>אשר יש בה כדי לשנות מקביעותיו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באשר לפרק הזמן של כשנה שחלפה</w:t>
      </w:r>
      <w:r>
        <w:rPr>
          <w:rtl w:val="true"/>
        </w:rPr>
        <w:t xml:space="preserve">, </w:t>
      </w:r>
      <w:r>
        <w:rPr>
          <w:rtl w:val="true"/>
        </w:rPr>
        <w:t>בין הגשת תלונתה של א</w:t>
      </w:r>
      <w:r>
        <w:rPr>
          <w:rtl w:val="true"/>
        </w:rPr>
        <w:t xml:space="preserve">', </w:t>
      </w:r>
      <w:r>
        <w:rPr>
          <w:rtl w:val="true"/>
        </w:rPr>
        <w:t>ועד למועד חקירתו של המערער באזהרה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כך שאמנם</w:t>
      </w:r>
      <w:r>
        <w:rPr>
          <w:rtl w:val="true"/>
        </w:rPr>
        <w:t xml:space="preserve">, </w:t>
      </w:r>
      <w:r>
        <w:rPr>
          <w:rtl w:val="true"/>
        </w:rPr>
        <w:t>בראיות שהובאו לפניו</w:t>
      </w:r>
      <w:r>
        <w:rPr>
          <w:rtl w:val="true"/>
        </w:rPr>
        <w:t xml:space="preserve">, </w:t>
      </w:r>
      <w:r>
        <w:rPr>
          <w:rtl w:val="true"/>
        </w:rPr>
        <w:t>לא ניתן הסבר מספק לפרק הזמן האמור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cs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בית המשפט המחוזי סבר כי התמונה העולה מעדויות החוקרים בתחנה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ומהעובדה כי המערער סוּוג בתחילה בתיק כ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מעורב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 xml:space="preserve">או 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נילון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 w:cs="David"/>
          <w:rtl w:val="true"/>
        </w:rPr>
        <w:t>ולא כ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חשוד</w:t>
      </w:r>
      <w:r>
        <w:rPr>
          <w:rFonts w:cs="David" w:ascii="David" w:hAnsi="David"/>
          <w:rtl w:val="true"/>
        </w:rPr>
        <w:t>',</w:t>
      </w:r>
      <w:r>
        <w:rPr>
          <w:rFonts w:cs="Miriam"/>
          <w:b/>
          <w:spacing w:val="0"/>
          <w:sz w:val="22"/>
          <w:szCs w:val="24"/>
          <w:rtl w:val="true"/>
        </w:rPr>
        <w:t xml:space="preserve"> 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יותר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האפשרות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שנמנעו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מלהזמין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חורי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מטעמים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רשלניים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דווקא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מחמת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שבתחנה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שעסק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בעניין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בטוח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שראוי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לטפל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בתלונה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ולהטריח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הרופא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הנכבד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להיחקר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בגינה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עמוד </w:t>
      </w:r>
      <w:r>
        <w:rPr/>
        <w:t>207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קבע </w:t>
      </w:r>
      <w:r>
        <w:rPr>
          <w:rtl w:val="true"/>
        </w:rPr>
        <w:t>–</w:t>
      </w:r>
      <w:r>
        <w:rPr>
          <w:rtl w:val="true"/>
        </w:rPr>
        <w:t xml:space="preserve"> קביעה שלא מצאתי יסוד להתערב בה </w:t>
      </w:r>
      <w:r>
        <w:rPr>
          <w:rtl w:val="true"/>
        </w:rPr>
        <w:t>–</w:t>
      </w:r>
      <w:r>
        <w:rPr>
          <w:rtl w:val="true"/>
        </w:rPr>
        <w:t xml:space="preserve"> כי המערער זכר היטב את בדיקתה של א</w:t>
      </w:r>
      <w:r>
        <w:rPr>
          <w:rtl w:val="true"/>
        </w:rPr>
        <w:t xml:space="preserve">' </w:t>
      </w:r>
      <w:r>
        <w:rPr>
          <w:rtl w:val="true"/>
        </w:rPr>
        <w:t>בעת חקירתו במשטרה</w:t>
      </w:r>
      <w:r>
        <w:rPr>
          <w:rtl w:val="true"/>
        </w:rPr>
        <w:t xml:space="preserve">, </w:t>
      </w:r>
      <w:r>
        <w:rPr>
          <w:rtl w:val="true"/>
        </w:rPr>
        <w:t>ואף בעת מתן עדותו בבית המשפט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אף אם אניח כי אכן נפל שיהוי בהליכי חקירתו של המערער</w:t>
      </w:r>
      <w:r>
        <w:rPr>
          <w:rtl w:val="true"/>
        </w:rPr>
        <w:t xml:space="preserve">, </w:t>
      </w:r>
      <w:r>
        <w:rPr>
          <w:rtl w:val="true"/>
        </w:rPr>
        <w:t>הרי שאין בכך כדי להצדיק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את ביטול הרשעתו מחמת הגנה מן הצדק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נוספות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במסווה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רפואית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ערעורו של המערער הופנה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נגד קביעותיו העובדתיות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כמו גם נגד מחדלי החקירה שנפלו בהליך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משנדחו טענותיו בעניין זה</w:t>
      </w:r>
      <w:r>
        <w:rPr>
          <w:rtl w:val="true"/>
        </w:rPr>
        <w:t xml:space="preserve">, </w:t>
      </w:r>
      <w:r>
        <w:rPr>
          <w:rtl w:val="true"/>
        </w:rPr>
        <w:t>ומשלא הועלו טענות לגבי המסקנות המשפטיות אליהן הגיע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הרשעתו בעבירות האמורות </w:t>
      </w:r>
      <w:r>
        <w:rPr>
          <w:rtl w:val="true"/>
        </w:rPr>
        <w:t>–</w:t>
      </w:r>
      <w:r>
        <w:rPr>
          <w:rtl w:val="true"/>
        </w:rPr>
        <w:t xml:space="preserve"> בעינה עומדת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לנוכח אופיו של העניין הנדון</w:t>
      </w:r>
      <w:r>
        <w:rPr>
          <w:rtl w:val="true"/>
        </w:rPr>
        <w:t xml:space="preserve">, </w:t>
      </w:r>
      <w:r>
        <w:rPr>
          <w:rtl w:val="true"/>
        </w:rPr>
        <w:t>מצאתי לנכון לייחד הערות מספר באשר לניתוח עבירת האינוס במרמה בהקשר הנדון</w:t>
      </w:r>
      <w:r>
        <w:rPr>
          <w:rtl w:val="true"/>
        </w:rPr>
        <w:t xml:space="preserve">. </w:t>
      </w:r>
      <w:r>
        <w:rPr>
          <w:rtl w:val="true"/>
        </w:rPr>
        <w:t>בית משפט זה נדרש פעמים רבות בעבר</w:t>
      </w:r>
      <w:r>
        <w:rPr>
          <w:rtl w:val="true"/>
        </w:rPr>
        <w:t xml:space="preserve">,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לעבירות מין הכרוכות במרמה</w:t>
      </w:r>
      <w:r>
        <w:rPr>
          <w:rtl w:val="true"/>
        </w:rPr>
        <w:t xml:space="preserve">, </w:t>
      </w:r>
      <w:r>
        <w:rPr>
          <w:rtl w:val="true"/>
        </w:rPr>
        <w:t>ובתוך כך</w:t>
      </w:r>
      <w:r>
        <w:rPr>
          <w:rtl w:val="true"/>
        </w:rPr>
        <w:t xml:space="preserve">, </w:t>
      </w:r>
      <w:r>
        <w:rPr>
          <w:rtl w:val="true"/>
        </w:rPr>
        <w:t>לעבירות אינוס במרמה בהקשר של טיפול רפואי או סמי</w:t>
      </w:r>
      <w:r>
        <w:rPr>
          <w:rtl w:val="true"/>
        </w:rPr>
        <w:t>-</w:t>
      </w:r>
      <w:r>
        <w:rPr>
          <w:rtl w:val="true"/>
        </w:rPr>
        <w:t xml:space="preserve">רפואי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רדיאדה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7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3124/18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14.8.2019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7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3124/18</w:t>
        </w:r>
      </w:hyperlink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10222/06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5.12.2007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לומקין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8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3907/92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סמחאת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מז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104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616/83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פליישמן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לט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449</w:t>
      </w:r>
      <w:r>
        <w:rPr>
          <w:rtl w:val="true"/>
        </w:rPr>
        <w:t xml:space="preserve"> (</w:t>
      </w:r>
      <w:r>
        <w:rPr/>
        <w:t>1985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פליישמן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מקרה מהסוג הנדון</w:t>
      </w:r>
      <w:r>
        <w:rPr>
          <w:rtl w:val="true"/>
        </w:rPr>
        <w:t xml:space="preserve">, </w:t>
      </w:r>
      <w:r>
        <w:rPr>
          <w:rtl w:val="true"/>
        </w:rPr>
        <w:t>שבו הואשם והורשע רופא בביצוע עבירת אינוס במרמה באמצעות אצבעו</w:t>
      </w:r>
      <w:r>
        <w:rPr>
          <w:rtl w:val="true"/>
        </w:rPr>
        <w:t xml:space="preserve">, </w:t>
      </w:r>
      <w:r>
        <w:rPr>
          <w:rtl w:val="true"/>
        </w:rPr>
        <w:t xml:space="preserve">בגין מעשה </w:t>
      </w:r>
      <w:r>
        <w:rPr>
          <w:rFonts w:ascii="Century" w:hAnsi="Century" w:cs="Century"/>
          <w:sz w:val="22"/>
          <w:sz w:val="22"/>
          <w:rtl w:val="true"/>
        </w:rPr>
        <w:t>שנחזה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כבדיקה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גניקולוגית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פנימית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טרם הובא לפתחנו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בערכאות הדיוניות</w:t>
      </w:r>
      <w:r>
        <w:rPr>
          <w:rtl w:val="true"/>
        </w:rPr>
        <w:t xml:space="preserve">: </w:t>
      </w:r>
      <w:hyperlink r:id="rId8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יפו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43934-06-16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שכטר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19.10.2020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שכטר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מחוזי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8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47123-12-18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רופא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גניקולוג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27.12.2022</w:t>
      </w:r>
      <w:r>
        <w:rPr>
          <w:rtl w:val="true"/>
        </w:rPr>
        <w:t xml:space="preserve">); </w:t>
      </w:r>
      <w:hyperlink r:id="rId8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19292-01-13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קושניר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21.05.2014</w:t>
      </w:r>
      <w:r>
        <w:rPr>
          <w:rtl w:val="true"/>
        </w:rPr>
        <w:t xml:space="preserve">)). </w:t>
      </w:r>
      <w:r>
        <w:rPr>
          <w:rtl w:val="true"/>
        </w:rPr>
        <w:t>במקרה מסוג זה</w:t>
      </w:r>
      <w:r>
        <w:rPr>
          <w:rtl w:val="true"/>
        </w:rPr>
        <w:t xml:space="preserve">, </w:t>
      </w:r>
      <w:r>
        <w:rPr>
          <w:rtl w:val="true"/>
        </w:rPr>
        <w:t>שבו חלק מרכיביה העובדתיים של העבירה הם חלק מ</w:t>
      </w:r>
      <w:r>
        <w:rPr>
          <w:rtl w:val="true"/>
        </w:rPr>
        <w:t>'</w:t>
      </w:r>
      <w:r>
        <w:rPr>
          <w:rtl w:val="true"/>
        </w:rPr>
        <w:t>שגרת העבודה</w:t>
      </w:r>
      <w:r>
        <w:rPr>
          <w:rtl w:val="true"/>
        </w:rPr>
        <w:t xml:space="preserve">' </w:t>
      </w:r>
      <w:r>
        <w:rPr>
          <w:rtl w:val="true"/>
        </w:rPr>
        <w:t>של מבצע המעשים</w:t>
      </w:r>
      <w:r>
        <w:rPr>
          <w:rtl w:val="true"/>
        </w:rPr>
        <w:t xml:space="preserve">, </w:t>
      </w:r>
      <w:r>
        <w:rPr>
          <w:rtl w:val="true"/>
        </w:rPr>
        <w:t>נדרשת שימת לב מיוחדת להתקיימות יתר יסודות ורכיבי העבירה</w:t>
      </w:r>
      <w:r>
        <w:rPr>
          <w:rtl w:val="true"/>
        </w:rPr>
        <w:t xml:space="preserve">; </w:t>
      </w:r>
      <w:r>
        <w:rPr>
          <w:rtl w:val="true"/>
        </w:rPr>
        <w:t>אעיר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כמה הערות קצרות</w:t>
      </w:r>
      <w:r>
        <w:rPr>
          <w:rtl w:val="true"/>
        </w:rPr>
        <w:t xml:space="preserve">, </w:t>
      </w:r>
      <w:r>
        <w:rPr>
          <w:rtl w:val="true"/>
        </w:rPr>
        <w:t>לא ממצות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צורת</w:t>
      </w:r>
      <w:r>
        <w:rPr>
          <w:rtl w:val="true"/>
        </w:rPr>
        <w:t xml:space="preserve"> </w:t>
      </w:r>
      <w:r>
        <w:rPr>
          <w:rtl w:val="true"/>
        </w:rPr>
        <w:t>הניתוח</w:t>
      </w:r>
      <w:r>
        <w:rPr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,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המערער הורשע בעבירת אינוס במרמה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שאלת התקיימותם של רכיביה הראשונים של העבירה במקרה הנדון אינה מעוררת קושי</w:t>
      </w:r>
      <w:r>
        <w:rPr>
          <w:rtl w:val="true"/>
        </w:rPr>
        <w:t xml:space="preserve">; </w:t>
      </w:r>
      <w:r>
        <w:rPr>
          <w:rtl w:val="true"/>
        </w:rPr>
        <w:t>בדיקה רפואית גניקולוגית</w:t>
      </w:r>
      <w:r>
        <w:rPr>
          <w:rtl w:val="true"/>
        </w:rPr>
        <w:t xml:space="preserve">, </w:t>
      </w:r>
      <w:r>
        <w:rPr>
          <w:rtl w:val="true"/>
        </w:rPr>
        <w:t>במסגרתה מכניס הרופא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המטפל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אצבעותיו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לתוך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איבר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נופלת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להגדרה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בעילה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חפץ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hyperlink r:id="rId8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354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ג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8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מן ההיבט הנפשי</w:t>
      </w:r>
      <w:r>
        <w:rPr>
          <w:rtl w:val="true"/>
        </w:rPr>
        <w:t xml:space="preserve">, </w:t>
      </w:r>
      <w:r>
        <w:rPr>
          <w:rtl w:val="true"/>
        </w:rPr>
        <w:t>ברי כי המערער היה מודע למעשיו הפיזיים</w:t>
      </w:r>
      <w:r>
        <w:rPr>
          <w:rtl w:val="true"/>
        </w:rPr>
        <w:t xml:space="preserve">, </w:t>
      </w:r>
      <w:r>
        <w:rPr>
          <w:rtl w:val="true"/>
        </w:rPr>
        <w:t>ולכך שנעשו בשתי נשים</w:t>
      </w:r>
      <w:r>
        <w:rPr>
          <w:rtl w:val="true"/>
        </w:rPr>
        <w:t xml:space="preserve">; </w:t>
      </w:r>
      <w:r>
        <w:rPr>
          <w:rtl w:val="true"/>
        </w:rPr>
        <w:t>אף לא נטען אחרת</w:t>
      </w:r>
      <w:r>
        <w:rPr>
          <w:rtl w:val="true"/>
        </w:rPr>
        <w:t xml:space="preserve">. </w:t>
      </w:r>
      <w:r>
        <w:rPr>
          <w:rtl w:val="true"/>
        </w:rPr>
        <w:t xml:space="preserve">השאלה המתעוררת היא אפוא לגבי הסכמת האשה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שהושגה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בפסיקת בית משפט זה נקבע</w:t>
      </w:r>
      <w:r>
        <w:rPr>
          <w:rtl w:val="true"/>
        </w:rPr>
        <w:t xml:space="preserve">, </w:t>
      </w:r>
      <w:r>
        <w:rPr>
          <w:rtl w:val="true"/>
        </w:rPr>
        <w:t xml:space="preserve">כי במקרה בו הסכמת האשה ניתנה לגבי מעשה שקיימת בו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יסודית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שונה מזו של המעשה שהתרחש בפועל</w:t>
      </w:r>
      <w:r>
        <w:rPr>
          <w:rtl w:val="true"/>
        </w:rPr>
        <w:t xml:space="preserve">, </w:t>
      </w:r>
      <w:r>
        <w:rPr>
          <w:rtl w:val="true"/>
        </w:rPr>
        <w:t>אזי הסכמת האשה מתאיינת מעיקרא</w:t>
      </w:r>
      <w:r>
        <w:rPr>
          <w:rtl w:val="true"/>
        </w:rPr>
        <w:t xml:space="preserve">; </w:t>
      </w:r>
      <w:r>
        <w:rPr>
          <w:rtl w:val="true"/>
        </w:rPr>
        <w:t xml:space="preserve">כאילו כלל לא ניתנה </w:t>
      </w:r>
      <w:r>
        <w:rPr>
          <w:rtl w:val="true"/>
        </w:rPr>
        <w:t>(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5097/07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פחימה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25.9.2009</w:t>
      </w:r>
      <w:r>
        <w:rPr>
          <w:rtl w:val="true"/>
        </w:rPr>
        <w:t>)</w:t>
      </w:r>
      <w:r>
        <w:rPr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ריבלין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הדעת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השופטת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). </w:t>
      </w:r>
      <w:r>
        <w:rPr>
          <w:rtl w:val="true"/>
        </w:rPr>
        <w:t>ב</w:t>
      </w:r>
      <w:hyperlink r:id="rId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7024/93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פלח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'</w:t>
      </w:r>
      <w:r>
        <w:rPr>
          <w:rtl w:val="true"/>
        </w:rPr>
        <w:t>מהות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 xml:space="preserve">נקבעת רק בהתאם לטיבו </w:t>
      </w:r>
      <w:r>
        <w:rPr>
          <w:rtl w:val="true"/>
        </w:rPr>
        <w:t>הפיסי</w:t>
      </w:r>
      <w:r>
        <w:rPr>
          <w:rtl w:val="true"/>
        </w:rPr>
        <w:t>-</w:t>
      </w:r>
      <w:r>
        <w:rPr>
          <w:rtl w:val="true"/>
        </w:rPr>
        <w:t>אובייקטיבי</w:t>
      </w:r>
      <w:r>
        <w:rPr>
          <w:rtl w:val="true"/>
        </w:rPr>
        <w:t xml:space="preserve">, </w:t>
      </w:r>
      <w:r>
        <w:rPr>
          <w:rtl w:val="true"/>
        </w:rPr>
        <w:t>אלא שהיא מושפעת גם מה</w:t>
      </w:r>
      <w:r>
        <w:rPr>
          <w:rtl w:val="true"/>
        </w:rPr>
        <w:t>אופי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>-</w:t>
      </w:r>
      <w:r>
        <w:rPr>
          <w:rtl w:val="true"/>
        </w:rPr>
        <w:t>סובייקטיבי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מקנה לו</w:t>
      </w:r>
      <w:r>
        <w:rPr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כדי לקבוע אם הסכמת האישה בטלה</w:t>
      </w:r>
      <w:r>
        <w:rPr>
          <w:rtl w:val="true"/>
        </w:rPr>
        <w:t xml:space="preserve">, </w:t>
      </w:r>
      <w:r>
        <w:rPr>
          <w:rtl w:val="true"/>
        </w:rPr>
        <w:t>ולפנינו עבירת אינוס במרמה</w:t>
      </w:r>
      <w:r>
        <w:rPr>
          <w:rtl w:val="true"/>
        </w:rPr>
        <w:t xml:space="preserve">, </w:t>
      </w:r>
      <w:r>
        <w:rPr>
          <w:rtl w:val="true"/>
        </w:rPr>
        <w:t xml:space="preserve">יש לבחון את המעשה הנחזה כטיפול רפואי בשני ההיבטים האמורים </w:t>
      </w:r>
      <w:r>
        <w:rPr>
          <w:rtl w:val="true"/>
        </w:rPr>
        <w:t>–</w:t>
      </w:r>
      <w:r>
        <w:rPr>
          <w:rtl w:val="true"/>
        </w:rPr>
        <w:t xml:space="preserve"> האובייקטיבי והסובייקטיבי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האובייקטיבי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Fonts w:ascii="Century" w:hAnsi="Century" w:cs="Century"/>
          <w:sz w:val="22"/>
          <w:sz w:val="22"/>
          <w:rtl w:val="true"/>
        </w:rPr>
        <w:t>בחן השאלה אם מבחינה פיסית בוצעה בדיקה רפואית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שמא מעשה שנחזה ככזה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מענה לכך ינתן בהתבסס על הנורמות המקצועיות המקובלות בתחום העיסוק הנדון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כך למשל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קבע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בהתבסס על עדותה המקצועית של מומחית ברפואת נשים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</w:t>
      </w:r>
      <w:r>
        <w:rPr>
          <w:rtl w:val="true"/>
        </w:rPr>
        <w:t>משך הבדיקות מושא ההליך</w:t>
      </w:r>
      <w:r>
        <w:rPr>
          <w:rtl w:val="true"/>
        </w:rPr>
        <w:t xml:space="preserve">, </w:t>
      </w:r>
      <w:r>
        <w:rPr>
          <w:rtl w:val="true"/>
        </w:rPr>
        <w:t>ואופן ביצוען</w:t>
      </w:r>
      <w:r>
        <w:rPr>
          <w:rtl w:val="true"/>
        </w:rPr>
        <w:t xml:space="preserve">, </w:t>
      </w:r>
      <w:r>
        <w:rPr>
          <w:rtl w:val="true"/>
        </w:rPr>
        <w:t>חרגו מן הפרוטוקול הרפואי</w:t>
      </w:r>
      <w:r>
        <w:rPr>
          <w:rtl w:val="true"/>
        </w:rPr>
        <w:t xml:space="preserve">, </w:t>
      </w:r>
      <w:r>
        <w:rPr>
          <w:rtl w:val="true"/>
        </w:rPr>
        <w:t>כך שאין לראות את המעשים שבוצעו כ</w:t>
      </w:r>
      <w:r>
        <w:rPr>
          <w:rtl w:val="true"/>
        </w:rPr>
        <w:t>'</w:t>
      </w:r>
      <w:r>
        <w:rPr>
          <w:rtl w:val="true"/>
        </w:rPr>
        <w:t>טיפול רפואי</w:t>
      </w:r>
      <w:r>
        <w:rPr>
          <w:rtl w:val="true"/>
        </w:rPr>
        <w:t xml:space="preserve">'.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 xml:space="preserve">כי במידה ונמצא כי המעשה חרג בבירור מן הפרוטוקול הרפואי </w:t>
      </w:r>
      <w:r>
        <w:rPr>
          <w:rtl w:val="true"/>
        </w:rPr>
        <w:t>–</w:t>
      </w:r>
      <w:r>
        <w:rPr>
          <w:rtl w:val="true"/>
        </w:rPr>
        <w:t xml:space="preserve"> כבנדון דנן </w:t>
      </w:r>
      <w:r>
        <w:rPr>
          <w:rtl w:val="true"/>
        </w:rPr>
        <w:t>–</w:t>
      </w:r>
      <w:r>
        <w:rPr>
          <w:rtl w:val="true"/>
        </w:rPr>
        <w:t xml:space="preserve"> אזי אין נפקא מינה לשאלה אם תחילתו של המעשה היתה בטיפול לגיטימי</w:t>
      </w:r>
      <w:r>
        <w:rPr>
          <w:rtl w:val="true"/>
        </w:rPr>
        <w:t xml:space="preserve">, </w:t>
      </w:r>
      <w:r>
        <w:rPr>
          <w:rtl w:val="true"/>
        </w:rPr>
        <w:t>אם לאו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שכן עבירת האינוס </w:t>
      </w:r>
      <w:r>
        <w:rPr>
          <w:rtl w:val="true"/>
        </w:rPr>
        <w:t>הי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רגעית</w:t>
      </w:r>
      <w:r>
        <w:rPr>
          <w:rtl w:val="true"/>
        </w:rPr>
        <w:t>'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המושלמת מיד עם התגבשות יסודותיה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19-18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7.2.</w:t>
      </w:r>
      <w:r>
        <w:rPr/>
        <w:t>2007</w:t>
      </w:r>
      <w:r>
        <w:rPr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 </w:t>
      </w:r>
      <w:r>
        <w:rPr>
          <w:rtl w:val="true"/>
        </w:rPr>
        <w:t>פלר</w:t>
      </w:r>
      <w:r>
        <w:rPr>
          <w:rtl w:val="true"/>
        </w:rPr>
        <w:t xml:space="preserve">, </w:t>
      </w:r>
      <w:hyperlink r:id="rId9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/>
        <w:t>172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במישור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הסובייקטיבי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יִבָּחֵן</w:t>
      </w:r>
      <w:r>
        <w:rPr>
          <w:rtl w:val="true"/>
        </w:rPr>
        <w:t xml:space="preserve"> הלך רוחו של המטפל</w:t>
      </w:r>
      <w:r>
        <w:rPr>
          <w:rtl w:val="true"/>
        </w:rPr>
        <w:t>-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 שהשתקף במעשים שבוצעו 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הגיונה של בחינה זו נובע מן ההנחה כי העושה משפיע על המעשה לא רק בהיבט הפיסי</w:t>
      </w:r>
      <w:r>
        <w:rPr>
          <w:rtl w:val="true"/>
        </w:rPr>
        <w:t xml:space="preserve">, </w:t>
      </w:r>
      <w:r>
        <w:rPr>
          <w:rtl w:val="true"/>
        </w:rPr>
        <w:t>אלא גם בזה הנפשי</w:t>
      </w:r>
      <w:r>
        <w:rPr>
          <w:rtl w:val="true"/>
        </w:rPr>
        <w:t xml:space="preserve">: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פעמים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שאותה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פעולה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טכנית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תישא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משמעויות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ומהויות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שונות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מהן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תגדיר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הפעולה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ותעניק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צביון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2487/18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ריזקאן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פסקה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לחוות</w:t>
      </w:r>
      <w:r>
        <w:rPr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16.9.2020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בגדרי בחינה זו</w:t>
      </w:r>
      <w:r>
        <w:rPr>
          <w:rtl w:val="true"/>
        </w:rPr>
        <w:t xml:space="preserve">, </w:t>
      </w:r>
      <w:r>
        <w:rPr>
          <w:rtl w:val="true"/>
        </w:rPr>
        <w:t>יש לבדוק אם חריגתו של המטפל</w:t>
      </w:r>
      <w:r>
        <w:rPr>
          <w:rtl w:val="true"/>
        </w:rPr>
        <w:t>-</w:t>
      </w:r>
      <w:r>
        <w:rPr>
          <w:rtl w:val="true"/>
        </w:rPr>
        <w:t xml:space="preserve">הנאשם מן הסטנדרטים המקובלים בתחום עיסוקו נעשתה באופן מודע </w:t>
      </w:r>
      <w:r>
        <w:rPr>
          <w:rtl w:val="true"/>
        </w:rPr>
        <w:t>–</w:t>
      </w:r>
      <w:r>
        <w:rPr>
          <w:rtl w:val="true"/>
        </w:rPr>
        <w:t xml:space="preserve"> מכוון</w:t>
      </w:r>
      <w:r>
        <w:rPr>
          <w:rtl w:val="true"/>
        </w:rPr>
        <w:t xml:space="preserve">, </w:t>
      </w:r>
      <w:r>
        <w:rPr>
          <w:rtl w:val="true"/>
        </w:rPr>
        <w:t>או אף מתוכנן</w:t>
      </w:r>
      <w:r>
        <w:rPr>
          <w:rtl w:val="true"/>
        </w:rPr>
        <w:t xml:space="preserve">. </w:t>
      </w:r>
      <w:r>
        <w:rPr>
          <w:rtl w:val="true"/>
        </w:rPr>
        <w:t>מענה חיובי לכך</w:t>
      </w:r>
      <w:r>
        <w:rPr>
          <w:rtl w:val="true"/>
        </w:rPr>
        <w:t xml:space="preserve">, </w:t>
      </w:r>
      <w:r>
        <w:rPr>
          <w:rtl w:val="true"/>
        </w:rPr>
        <w:t>ילמדנו כי עמדתו הנפשית כלפי המעשה היתה שונה מזו המאפיינת בדיקה שגרתית</w:t>
      </w:r>
      <w:r>
        <w:rPr>
          <w:rtl w:val="true"/>
        </w:rPr>
        <w:t xml:space="preserve">, </w:t>
      </w:r>
      <w:r>
        <w:rPr>
          <w:rtl w:val="true"/>
        </w:rPr>
        <w:t>המבוצעת על</w:t>
      </w:r>
      <w:r>
        <w:rPr>
          <w:rtl w:val="true"/>
        </w:rPr>
        <w:t>-</w:t>
      </w:r>
      <w:r>
        <w:rPr>
          <w:rtl w:val="true"/>
        </w:rPr>
        <w:t>ידי מטפלים מסוגו דבר יום ביומו</w:t>
      </w:r>
      <w:r>
        <w:rPr>
          <w:rtl w:val="true"/>
        </w:rPr>
        <w:t xml:space="preserve">; </w:t>
      </w:r>
      <w:r>
        <w:rPr>
          <w:rtl w:val="true"/>
        </w:rPr>
        <w:t>בכך יש כדי להקנות למעשה את אופיו הסובייקטיבי כ</w:t>
      </w:r>
      <w:r>
        <w:rPr>
          <w:rtl w:val="true"/>
        </w:rPr>
        <w:t>'</w:t>
      </w:r>
      <w:r>
        <w:rPr>
          <w:rtl w:val="true"/>
        </w:rPr>
        <w:t>מעשה אחר</w:t>
      </w:r>
      <w:r>
        <w:rPr>
          <w:rtl w:val="true"/>
        </w:rPr>
        <w:t>'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פלח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עמוד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23</w:t>
      </w:r>
      <w:r>
        <w:rPr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היסוד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הסובייקטיבי</w:t>
      </w:r>
      <w:r>
        <w:rPr>
          <w:rtl w:val="true"/>
        </w:rPr>
        <w:t xml:space="preserve"> </w:t>
      </w:r>
      <w:r>
        <w:rPr>
          <w:rtl w:val="true"/>
        </w:rPr>
        <w:t>מאפשר אפוא להבטיח</w:t>
      </w:r>
      <w:r>
        <w:rPr>
          <w:rtl w:val="true"/>
        </w:rPr>
        <w:t xml:space="preserve">, </w:t>
      </w:r>
      <w:r>
        <w:rPr>
          <w:rtl w:val="true"/>
        </w:rPr>
        <w:t>ככל הניתן</w:t>
      </w:r>
      <w:r>
        <w:rPr>
          <w:rtl w:val="true"/>
        </w:rPr>
        <w:t xml:space="preserve">, </w:t>
      </w:r>
      <w:r>
        <w:rPr>
          <w:rtl w:val="true"/>
        </w:rPr>
        <w:t xml:space="preserve">כי לא כל </w:t>
      </w:r>
      <w:r>
        <w:rPr>
          <w:rtl w:val="true"/>
        </w:rPr>
        <w:t>מעידה</w:t>
      </w:r>
      <w:r>
        <w:rPr>
          <w:rtl w:val="true"/>
        </w:rPr>
        <w:t xml:space="preserve"> </w:t>
      </w:r>
      <w:r>
        <w:rPr>
          <w:rtl w:val="true"/>
        </w:rPr>
        <w:t>רשלנית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בדיקה</w:t>
      </w:r>
      <w:r>
        <w:rPr>
          <w:rtl w:val="true"/>
        </w:rPr>
        <w:t xml:space="preserve"> אינטימית</w:t>
      </w:r>
      <w:r>
        <w:rPr>
          <w:rtl w:val="true"/>
        </w:rPr>
        <w:t xml:space="preserve">, </w:t>
      </w:r>
      <w:r>
        <w:rPr>
          <w:rtl w:val="true"/>
        </w:rPr>
        <w:t>תחשוף את הרופא המטפל לאחריות פלילית</w:t>
      </w:r>
      <w:r>
        <w:rPr>
          <w:rtl w:val="true"/>
        </w:rPr>
        <w:t xml:space="preserve">; </w:t>
      </w:r>
      <w:r>
        <w:rPr>
          <w:rtl w:val="true"/>
        </w:rPr>
        <w:t xml:space="preserve">אלא רק כזו שבגדרה מודע </w:t>
      </w:r>
      <w:r>
        <w:rPr>
          <w:rtl w:val="true"/>
        </w:rPr>
        <w:t>המטפל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מגרש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לשמו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ו</w:t>
      </w:r>
      <w:r>
        <w:rPr>
          <w:rtl w:val="true"/>
        </w:rPr>
        <w:t>בוחר בכל זאת להמשיך במעשיו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כאן יש להעיר</w:t>
      </w:r>
      <w:r>
        <w:rPr>
          <w:rtl w:val="true"/>
        </w:rPr>
        <w:t xml:space="preserve">, </w:t>
      </w:r>
      <w:r>
        <w:rPr>
          <w:rtl w:val="true"/>
        </w:rPr>
        <w:t>כי בשונה מעבירת מעשה מגונה</w:t>
      </w:r>
      <w:r>
        <w:rPr>
          <w:rtl w:val="true"/>
        </w:rPr>
        <w:t xml:space="preserve">, </w:t>
      </w:r>
      <w:r>
        <w:rPr>
          <w:rtl w:val="true"/>
        </w:rPr>
        <w:t xml:space="preserve">לצורך הרשעה בעבירת אינוס במרמה נדרש להוכיח אך יסוד נפשי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מודעות</w:t>
      </w:r>
      <w:r>
        <w:rPr>
          <w:rtl w:val="true"/>
        </w:rPr>
        <w:t xml:space="preserve"> לרכיב ההתנהגותי</w:t>
      </w:r>
      <w:r>
        <w:rPr>
          <w:rtl w:val="true"/>
        </w:rPr>
        <w:t xml:space="preserve">, </w:t>
      </w:r>
      <w:r>
        <w:rPr>
          <w:rtl w:val="true"/>
        </w:rPr>
        <w:t>כמו גם לנסיבות ביצוע העבירה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אין צורך להוכיח </w:t>
      </w:r>
      <w:r>
        <w:rPr>
          <w:rtl w:val="true"/>
        </w:rPr>
        <w:t>'</w:t>
      </w:r>
      <w:r>
        <w:rPr>
          <w:rtl w:val="true"/>
        </w:rPr>
        <w:t>כוונה מיוחדת</w:t>
      </w:r>
      <w:r>
        <w:rPr>
          <w:rtl w:val="true"/>
        </w:rPr>
        <w:t xml:space="preserve">' </w:t>
      </w:r>
      <w:r>
        <w:rPr>
          <w:rtl w:val="true"/>
        </w:rPr>
        <w:t>להשגת סיפוק או גירוי בעת ביצוע המעשה</w:t>
      </w:r>
      <w:r>
        <w:rPr>
          <w:rtl w:val="true"/>
        </w:rPr>
        <w:t xml:space="preserve">; </w:t>
      </w:r>
      <w:r>
        <w:rPr>
          <w:rtl w:val="true"/>
        </w:rPr>
        <w:t>אף לא מן הנמנע</w:t>
      </w:r>
      <w:r>
        <w:rPr>
          <w:rtl w:val="true"/>
        </w:rPr>
        <w:t xml:space="preserve">, </w:t>
      </w:r>
      <w:r>
        <w:rPr>
          <w:rtl w:val="true"/>
        </w:rPr>
        <w:t xml:space="preserve">כי לעתים לא תהא כזו </w:t>
      </w:r>
      <w:r>
        <w:rPr>
          <w:rtl w:val="true"/>
        </w:rPr>
        <w:t>(</w:t>
      </w:r>
      <w:r>
        <w:rPr>
          <w:rtl w:val="true"/>
        </w:rPr>
        <w:t>השוו למשל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בשינויים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המחייבים</w:t>
      </w:r>
      <w:r>
        <w:rPr>
          <w:rtl w:val="true"/>
        </w:rPr>
        <w:t xml:space="preserve">, </w:t>
      </w:r>
      <w:r>
        <w:rPr>
          <w:rtl w:val="true"/>
        </w:rPr>
        <w:t xml:space="preserve">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שכטר</w:t>
      </w:r>
      <w:r>
        <w:rPr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מחוזי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116</w:t>
      </w:r>
      <w:r>
        <w:rPr>
          <w:rtl w:val="true"/>
        </w:rPr>
        <w:t xml:space="preserve">, </w:t>
      </w:r>
      <w:r>
        <w:rPr>
          <w:rtl w:val="true"/>
        </w:rPr>
        <w:t xml:space="preserve">שם נטען כי המעשים בוצעו לתכלית </w:t>
      </w:r>
      <w:r>
        <w:rPr>
          <w:rtl w:val="true"/>
        </w:rPr>
        <w:t>'</w:t>
      </w:r>
      <w:r>
        <w:rPr>
          <w:rtl w:val="true"/>
        </w:rPr>
        <w:t>מחקרית</w:t>
      </w:r>
      <w:r>
        <w:rPr>
          <w:rtl w:val="true"/>
        </w:rPr>
        <w:t xml:space="preserve">'; </w:t>
      </w:r>
      <w:r>
        <w:rPr>
          <w:rtl w:val="true"/>
        </w:rPr>
        <w:t xml:space="preserve">וכן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פליישמן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עמוד</w:t>
      </w:r>
      <w:r>
        <w:rPr>
          <w:sz w:val="22"/>
          <w:sz w:val="22"/>
          <w:rtl w:val="true"/>
        </w:rPr>
        <w:t xml:space="preserve"> </w:t>
      </w:r>
      <w:r>
        <w:rPr>
          <w:sz w:val="22"/>
        </w:rPr>
        <w:t>455</w:t>
      </w:r>
      <w:r>
        <w:rPr>
          <w:rtl w:val="true"/>
        </w:rPr>
        <w:t xml:space="preserve">, </w:t>
      </w:r>
      <w:r>
        <w:rPr>
          <w:rtl w:val="true"/>
        </w:rPr>
        <w:t xml:space="preserve">שם נטען לתכלית </w:t>
      </w:r>
      <w:r>
        <w:rPr>
          <w:rtl w:val="true"/>
        </w:rPr>
        <w:t>'</w:t>
      </w:r>
      <w:r>
        <w:rPr>
          <w:rtl w:val="true"/>
        </w:rPr>
        <w:t>מקצועית</w:t>
      </w:r>
      <w:r>
        <w:rPr>
          <w:rtl w:val="true"/>
        </w:rPr>
        <w:t xml:space="preserve">').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הדעת נותנת</w:t>
      </w:r>
      <w:r>
        <w:rPr>
          <w:rtl w:val="true"/>
        </w:rPr>
        <w:t xml:space="preserve">, </w:t>
      </w:r>
      <w:r>
        <w:rPr>
          <w:rtl w:val="true"/>
        </w:rPr>
        <w:t xml:space="preserve">כי ככל שחומר הראיות יצביע על כך שהמעשה שנעשה </w:t>
      </w:r>
      <w:r>
        <w:rPr>
          <w:rtl w:val="true"/>
        </w:rPr>
        <w:t>–</w:t>
      </w:r>
      <w:r>
        <w:rPr>
          <w:rtl w:val="true"/>
        </w:rPr>
        <w:t xml:space="preserve"> אשר כזכור</w:t>
      </w:r>
      <w:r>
        <w:rPr>
          <w:rtl w:val="true"/>
        </w:rPr>
        <w:t xml:space="preserve">, </w:t>
      </w:r>
      <w:r>
        <w:rPr>
          <w:rtl w:val="true"/>
        </w:rPr>
        <w:t>מבחינת טיבו האובייקטיבי</w:t>
      </w:r>
      <w:r>
        <w:rPr>
          <w:rtl w:val="true"/>
        </w:rPr>
        <w:t xml:space="preserve">, </w:t>
      </w:r>
      <w:r>
        <w:rPr>
          <w:rtl w:val="true"/>
        </w:rPr>
        <w:t xml:space="preserve">חורג מגדרי הטיפול הרפואי המקובל </w:t>
      </w:r>
      <w:r>
        <w:rPr>
          <w:rtl w:val="true"/>
        </w:rPr>
        <w:t>–</w:t>
      </w:r>
      <w:r>
        <w:rPr>
          <w:rtl w:val="true"/>
        </w:rPr>
        <w:t xml:space="preserve"> הולבש על</w:t>
      </w:r>
      <w:r>
        <w:rPr>
          <w:rtl w:val="true"/>
        </w:rPr>
        <w:t>-</w:t>
      </w:r>
      <w:r>
        <w:rPr>
          <w:rtl w:val="true"/>
        </w:rPr>
        <w:t>ידי עושהו באופי מיני</w:t>
      </w:r>
      <w:r>
        <w:rPr>
          <w:rtl w:val="true"/>
        </w:rPr>
        <w:t xml:space="preserve">, </w:t>
      </w:r>
      <w:r>
        <w:rPr>
          <w:rtl w:val="true"/>
        </w:rPr>
        <w:t xml:space="preserve">יהיה בכך כדי ללמד גם על טיבו הסובייקטיבי </w:t>
      </w:r>
      <w:r>
        <w:rPr>
          <w:rtl w:val="true"/>
        </w:rPr>
        <w:t>–</w:t>
      </w:r>
      <w:r>
        <w:rPr>
          <w:rtl w:val="true"/>
        </w:rPr>
        <w:t xml:space="preserve"> דהיינו מודעותו של העושה לחריגה מן המעשה הטיפולי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tl w:val="true"/>
        </w:rPr>
        <w:t xml:space="preserve">, </w:t>
      </w:r>
      <w:r>
        <w:rPr>
          <w:rtl w:val="true"/>
        </w:rPr>
        <w:t>קיימות אינדיקציות המלמדות כי הלך רוחו של המערער נשא אופי מיני</w:t>
      </w:r>
      <w:r>
        <w:rPr>
          <w:rtl w:val="true"/>
        </w:rPr>
        <w:t xml:space="preserve">. </w:t>
      </w:r>
      <w:r>
        <w:rPr>
          <w:rtl w:val="true"/>
        </w:rPr>
        <w:t>כך עולה מאמירתו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במפגש מושא האישום הראשון</w:t>
      </w:r>
      <w:r>
        <w:rPr>
          <w:rtl w:val="true"/>
        </w:rPr>
        <w:t xml:space="preserve">, </w:t>
      </w:r>
      <w:r>
        <w:rPr>
          <w:rtl w:val="true"/>
        </w:rPr>
        <w:t>תוך כדי ביצוע מעשה האינוס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;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ומהתעניינותו ב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 </w:t>
      </w:r>
      <w:r>
        <w:rPr>
          <w:rtl w:val="true"/>
        </w:rPr>
        <w:t>בינה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ן זוגה</w:t>
      </w:r>
      <w:r>
        <w:rPr>
          <w:rtl w:val="true"/>
        </w:rPr>
        <w:t xml:space="preserve">, </w:t>
      </w:r>
      <w:r>
        <w:rPr>
          <w:rtl w:val="true"/>
        </w:rPr>
        <w:t>באופן החורג מתשאול מקצועי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דברים דומים נלמדים מהמפגש מושא האישום השני</w:t>
      </w:r>
      <w:r>
        <w:rPr>
          <w:rtl w:val="true"/>
        </w:rPr>
        <w:t xml:space="preserve">, </w:t>
      </w:r>
      <w:r>
        <w:rPr>
          <w:rtl w:val="true"/>
        </w:rPr>
        <w:t>שם התעניין המערער בעברה המיני של ב</w:t>
      </w:r>
      <w:r>
        <w:rPr>
          <w:rtl w:val="true"/>
        </w:rPr>
        <w:t xml:space="preserve">'; </w:t>
      </w:r>
      <w:r>
        <w:rPr>
          <w:rtl w:val="true"/>
        </w:rPr>
        <w:t xml:space="preserve">שאל אותה </w:t>
      </w:r>
      <w:r>
        <w:rPr>
          <w:rtl w:val="true"/>
        </w:rPr>
        <w:t>(</w:t>
      </w:r>
      <w:r>
        <w:rPr>
          <w:rtl w:val="true"/>
        </w:rPr>
        <w:t>בהומור סר טעם</w:t>
      </w:r>
      <w:r>
        <w:rPr>
          <w:rtl w:val="true"/>
        </w:rPr>
        <w:t xml:space="preserve">)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להתחתן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?"</w:t>
      </w:r>
      <w:r>
        <w:rPr>
          <w:rtl w:val="true"/>
        </w:rPr>
        <w:t xml:space="preserve">; </w:t>
      </w:r>
      <w:r>
        <w:rPr>
          <w:rtl w:val="true"/>
        </w:rPr>
        <w:t>ואמר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בתולה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כפי שהוזכר</w:t>
      </w:r>
      <w:r>
        <w:rPr>
          <w:rtl w:val="true"/>
        </w:rPr>
        <w:t xml:space="preserve">, </w:t>
      </w:r>
      <w:r>
        <w:rPr>
          <w:rtl w:val="true"/>
        </w:rPr>
        <w:t>הסביר המערער ל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 xml:space="preserve">כי עליו לבדוק את תלונתה לגבי התרחבות הנרתיק בהיותה במצב של עוררות מינית </w:t>
      </w:r>
      <w:r>
        <w:rPr>
          <w:rtl w:val="true"/>
        </w:rPr>
        <w:t>(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דלוקה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 xml:space="preserve">). </w:t>
      </w:r>
      <w:r>
        <w:rPr>
          <w:rtl w:val="true"/>
        </w:rPr>
        <w:t>המערער אף המתין ש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תוריד את מכנסיה לנגד עיניו</w:t>
      </w:r>
      <w:r>
        <w:rPr>
          <w:rtl w:val="true"/>
        </w:rPr>
        <w:t xml:space="preserve">, </w:t>
      </w:r>
      <w:r>
        <w:rPr>
          <w:rtl w:val="true"/>
        </w:rPr>
        <w:t>ולא כיסה את גופה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 xml:space="preserve">גם דיווחה </w:t>
      </w:r>
      <w:r>
        <w:rPr>
          <w:rtl w:val="true"/>
        </w:rPr>
        <w:t>–</w:t>
      </w:r>
      <w:r>
        <w:rPr>
          <w:rtl w:val="true"/>
        </w:rPr>
        <w:t xml:space="preserve"> ובית המשפט המחוזי אימץ את גרסתה </w:t>
      </w:r>
      <w:r>
        <w:rPr>
          <w:rtl w:val="true"/>
        </w:rPr>
        <w:t>–</w:t>
      </w:r>
      <w:r>
        <w:rPr>
          <w:rtl w:val="true"/>
        </w:rPr>
        <w:t xml:space="preserve"> כי במהלך הבדיקה הארוכה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לימדו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מתגרה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וכי נשק על לחיהּ בעת שיצאה מהמרפאה</w:t>
      </w:r>
      <w:r>
        <w:rPr>
          <w:rtl w:val="true"/>
        </w:rPr>
        <w:t xml:space="preserve">. </w:t>
      </w:r>
      <w:r>
        <w:rPr>
          <w:rtl w:val="true"/>
        </w:rPr>
        <w:t>מעשים אלו</w:t>
      </w:r>
      <w:r>
        <w:rPr>
          <w:rtl w:val="true"/>
        </w:rPr>
        <w:t xml:space="preserve">, </w:t>
      </w:r>
      <w:r>
        <w:rPr>
          <w:rtl w:val="true"/>
        </w:rPr>
        <w:t>האופפים את הבעילה עצמה</w:t>
      </w:r>
      <w:r>
        <w:rPr>
          <w:rtl w:val="true"/>
        </w:rPr>
        <w:t xml:space="preserve">, </w:t>
      </w:r>
      <w:r>
        <w:rPr>
          <w:rtl w:val="true"/>
        </w:rPr>
        <w:t>מלמדים כי בחריגתו מן הפרוטוקול הרפואי במסגרת הבדיקה הפנימית</w:t>
      </w:r>
      <w:r>
        <w:rPr>
          <w:rtl w:val="true"/>
        </w:rPr>
        <w:t xml:space="preserve">, </w:t>
      </w:r>
      <w:r>
        <w:rPr>
          <w:rtl w:val="true"/>
        </w:rPr>
        <w:t xml:space="preserve">התכוון המערער לבצע מעשה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בתכלית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מזה שבגינו קיבל את הסכמת הנפגעות לחדור לגופן</w:t>
      </w:r>
      <w:r>
        <w:rPr>
          <w:rtl w:val="true"/>
        </w:rPr>
        <w:t xml:space="preserve">. </w:t>
      </w:r>
      <w:r>
        <w:rPr>
          <w:rtl w:val="true"/>
        </w:rPr>
        <w:t>הלך רוחו של המערער הטביע אפוא</w:t>
      </w:r>
      <w:r>
        <w:rPr>
          <w:rtl w:val="true"/>
        </w:rPr>
        <w:t xml:space="preserve">, </w:t>
      </w:r>
      <w:r>
        <w:rPr>
          <w:rtl w:val="true"/>
        </w:rPr>
        <w:t>גם הוא</w:t>
      </w:r>
      <w:r>
        <w:rPr>
          <w:rtl w:val="true"/>
        </w:rPr>
        <w:t xml:space="preserve">, </w:t>
      </w:r>
      <w:r>
        <w:rPr>
          <w:rtl w:val="true"/>
        </w:rPr>
        <w:t>את חותמו במעשה</w:t>
      </w:r>
      <w:r>
        <w:rPr>
          <w:rtl w:val="true"/>
        </w:rPr>
        <w:t xml:space="preserve">, </w:t>
      </w:r>
      <w:r>
        <w:rPr>
          <w:rtl w:val="true"/>
        </w:rPr>
        <w:t>באופן שהפך אותו</w:t>
      </w:r>
      <w:r>
        <w:rPr>
          <w:rtl w:val="true"/>
        </w:rPr>
        <w:t xml:space="preserve">, </w:t>
      </w:r>
      <w:r>
        <w:rPr>
          <w:rtl w:val="true"/>
        </w:rPr>
        <w:t>במובהק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מעשה אחר</w:t>
      </w:r>
      <w:r>
        <w:rPr>
          <w:rtl w:val="true"/>
        </w:rPr>
        <w:t xml:space="preserve">'.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sz w:val="22"/>
          <w:sz w:val="22"/>
          <w:rtl w:val="true"/>
        </w:rPr>
        <w:t>סוף דבר</w:t>
      </w:r>
      <w:r>
        <w:rPr>
          <w:sz w:val="22"/>
          <w:rtl w:val="true"/>
        </w:rPr>
        <w:t xml:space="preserve">. </w:t>
      </w:r>
      <w:r>
        <w:rPr>
          <w:rtl w:val="true"/>
        </w:rPr>
        <w:t>התשתית העובדתית שהונחה בהכרעת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מקיימת את מלוא יסודותיה עבירת האינוס במרמה</w:t>
      </w:r>
      <w:r>
        <w:rPr>
          <w:rtl w:val="true"/>
        </w:rPr>
        <w:t xml:space="preserve">; </w:t>
      </w:r>
      <w:r>
        <w:rPr>
          <w:rtl w:val="true"/>
        </w:rPr>
        <w:t>כמו גם את הרשעתו בעבירות של מעשים מגונים</w:t>
      </w:r>
      <w:r>
        <w:rPr>
          <w:rtl w:val="true"/>
        </w:rPr>
        <w:t xml:space="preserve">, </w:t>
      </w:r>
      <w:r>
        <w:rPr>
          <w:rtl w:val="true"/>
        </w:rPr>
        <w:t>והטרדה מינית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נוכח כל המקובץ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לעיל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סבורני כי דין הערעור נגד הכרעת הדין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–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להידחות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המערער מלין על גזר הדין שהוטל עליו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יש בהתנהלות גורמי החקירה</w:t>
      </w:r>
      <w:r>
        <w:rPr>
          <w:rtl w:val="true"/>
        </w:rPr>
        <w:t xml:space="preserve">, </w:t>
      </w:r>
      <w:r>
        <w:rPr>
          <w:rtl w:val="true"/>
        </w:rPr>
        <w:t>כמו גם בנסיבותיו האישיות</w:t>
      </w:r>
      <w:r>
        <w:rPr>
          <w:rtl w:val="true"/>
        </w:rPr>
        <w:t xml:space="preserve">, </w:t>
      </w:r>
      <w:r>
        <w:rPr>
          <w:rtl w:val="true"/>
        </w:rPr>
        <w:t>כדי להצדיק סטייה ממתחם הענישה המקובל</w:t>
      </w:r>
      <w:r>
        <w:rPr>
          <w:rtl w:val="true"/>
        </w:rPr>
        <w:t xml:space="preserve">, </w:t>
      </w:r>
      <w:r>
        <w:rPr>
          <w:rtl w:val="true"/>
        </w:rPr>
        <w:t>ומעונש המינימום בעבירות שבהן הורשע</w:t>
      </w:r>
      <w:r>
        <w:rPr>
          <w:rtl w:val="true"/>
        </w:rPr>
        <w:t xml:space="preserve">. </w:t>
      </w:r>
      <w:r>
        <w:rPr>
          <w:rtl w:val="true"/>
        </w:rPr>
        <w:t>עוד מפנה המערער</w:t>
      </w:r>
      <w:r>
        <w:rPr>
          <w:rtl w:val="true"/>
        </w:rPr>
        <w:t xml:space="preserve">, </w:t>
      </w:r>
      <w:r>
        <w:rPr>
          <w:rtl w:val="true"/>
        </w:rPr>
        <w:t>בתמיכה לטענתו כי יש להקל בעונשו</w:t>
      </w:r>
      <w:r>
        <w:rPr>
          <w:rtl w:val="true"/>
        </w:rPr>
        <w:t xml:space="preserve">, </w:t>
      </w:r>
      <w:r>
        <w:rPr>
          <w:rtl w:val="true"/>
        </w:rPr>
        <w:t>לעברו הנקי</w:t>
      </w:r>
      <w:r>
        <w:rPr>
          <w:rtl w:val="true"/>
        </w:rPr>
        <w:t xml:space="preserve">, </w:t>
      </w:r>
      <w:r>
        <w:rPr>
          <w:rtl w:val="true"/>
        </w:rPr>
        <w:t>ללא רבב</w:t>
      </w:r>
      <w:r>
        <w:rPr>
          <w:rtl w:val="true"/>
        </w:rPr>
        <w:t xml:space="preserve">; </w:t>
      </w:r>
      <w:r>
        <w:rPr>
          <w:rtl w:val="true"/>
        </w:rPr>
        <w:t>לתרומתו לחברה</w:t>
      </w:r>
      <w:r>
        <w:rPr>
          <w:rtl w:val="true"/>
        </w:rPr>
        <w:t xml:space="preserve">; </w:t>
      </w:r>
      <w:r>
        <w:rPr>
          <w:rtl w:val="true"/>
        </w:rPr>
        <w:t xml:space="preserve">לגילו המבוגר </w:t>
      </w:r>
      <w:r>
        <w:rPr>
          <w:rtl w:val="true"/>
        </w:rPr>
        <w:t>(</w:t>
      </w:r>
      <w:r>
        <w:rPr/>
        <w:t>65</w:t>
      </w:r>
      <w:r>
        <w:rPr>
          <w:rtl w:val="true"/>
        </w:rPr>
        <w:t xml:space="preserve">); </w:t>
      </w:r>
      <w:r>
        <w:rPr>
          <w:rtl w:val="true"/>
        </w:rPr>
        <w:t>לכך שטיפל במשך עשרות שנים ברבבות נשים</w:t>
      </w:r>
      <w:r>
        <w:rPr>
          <w:rtl w:val="true"/>
        </w:rPr>
        <w:t xml:space="preserve">, </w:t>
      </w:r>
      <w:r>
        <w:rPr>
          <w:rtl w:val="true"/>
        </w:rPr>
        <w:t>ללא כל תלונה</w:t>
      </w:r>
      <w:r>
        <w:rPr>
          <w:rtl w:val="true"/>
        </w:rPr>
        <w:t xml:space="preserve">; </w:t>
      </w:r>
      <w:r>
        <w:rPr>
          <w:rtl w:val="true"/>
        </w:rPr>
        <w:t>ולפגיעה הקשה במעמדו ובמשלח ידו</w:t>
      </w:r>
      <w:r>
        <w:rPr>
          <w:rtl w:val="true"/>
        </w:rPr>
        <w:t xml:space="preserve">, </w:t>
      </w:r>
      <w:r>
        <w:rPr>
          <w:rtl w:val="true"/>
        </w:rPr>
        <w:t>שכבר התרחשה בגין התליית רישיונו לעסוק ברפואה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אין זה מדרכה של ערכאת הערעור להתערב בגזר הדין של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שבהם ניכרת סטייה של ממש מן הענישה המקובלת והראויה</w:t>
      </w:r>
      <w:r>
        <w:rPr>
          <w:rtl w:val="true"/>
        </w:rPr>
        <w:t xml:space="preserve">, </w:t>
      </w:r>
      <w:r>
        <w:rPr>
          <w:rtl w:val="true"/>
        </w:rPr>
        <w:t>או כשנפלה שגגה בגזר 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8358/14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5.3.2017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הפכתי והפכתי בטענות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ולא מצאתי כי יש בהן כדי להצדיק חריגה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tl w:val="true"/>
        </w:rPr>
        <w:t xml:space="preserve"> המקובל בעבירות בהן הורשע</w:t>
      </w:r>
      <w:r>
        <w:rPr>
          <w:rtl w:val="true"/>
        </w:rPr>
        <w:t xml:space="preserve">. </w:t>
      </w:r>
      <w:r>
        <w:rPr>
          <w:rtl w:val="true"/>
        </w:rPr>
        <w:t>בצדק ציין בית המשפט המחוזי בגזר הדין</w:t>
      </w:r>
      <w:r>
        <w:rPr>
          <w:rtl w:val="true"/>
        </w:rPr>
        <w:t xml:space="preserve">, </w:t>
      </w:r>
      <w:r>
        <w:rPr>
          <w:rtl w:val="true"/>
        </w:rPr>
        <w:t>כי חומרת המעשים המתוארים בהכרעת הדין כמעט בלתי נתפסת</w:t>
      </w:r>
      <w:r>
        <w:rPr>
          <w:rtl w:val="true"/>
        </w:rPr>
        <w:t xml:space="preserve">, </w:t>
      </w:r>
      <w:r>
        <w:rPr>
          <w:rtl w:val="true"/>
        </w:rPr>
        <w:t>וכי בכגון דא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לזכות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יקבעו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זהותו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הטובים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תרומתו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לחברה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זאת ועוד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לצד טעמים נכונים שמעלה המערער להקלה בעונשו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בית המשפט המחוזי כבר נדרש אליה</w:t>
      </w:r>
      <w:r>
        <w:rPr>
          <w:rtl w:val="true"/>
        </w:rPr>
        <w:t>ם בגזר דינו</w:t>
      </w:r>
      <w:r>
        <w:rPr>
          <w:rtl w:val="true"/>
        </w:rPr>
        <w:t xml:space="preserve">, </w:t>
      </w:r>
      <w:r>
        <w:rPr>
          <w:rtl w:val="true"/>
        </w:rPr>
        <w:t>הרי שקיימים בענייננו גם טעמים כבדי משקל</w:t>
      </w:r>
      <w:r>
        <w:rPr>
          <w:rtl w:val="true"/>
        </w:rPr>
        <w:t xml:space="preserve">, </w:t>
      </w:r>
      <w:r>
        <w:rPr>
          <w:rtl w:val="true"/>
        </w:rPr>
        <w:t>שיש בהם כדי להטות את הכף דווקא לכיוון השני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ראש לכל</w:t>
      </w:r>
      <w:r>
        <w:rPr>
          <w:rtl w:val="true"/>
        </w:rPr>
        <w:t xml:space="preserve">, </w:t>
      </w:r>
      <w:r>
        <w:rPr>
          <w:rtl w:val="true"/>
        </w:rPr>
        <w:t>הפגיעה האנושה של המערער בערכים המוגנים שבבסיס העבירות בהן הורשע</w:t>
      </w:r>
      <w:r>
        <w:rPr>
          <w:rtl w:val="true"/>
        </w:rPr>
        <w:t xml:space="preserve">. </w:t>
      </w:r>
      <w:r>
        <w:rPr>
          <w:rtl w:val="true"/>
        </w:rPr>
        <w:t>אוטונומיית הרצון</w:t>
      </w:r>
      <w:r>
        <w:rPr>
          <w:rtl w:val="true"/>
        </w:rPr>
        <w:t xml:space="preserve">, </w:t>
      </w:r>
      <w:r>
        <w:rPr>
          <w:rtl w:val="true"/>
        </w:rPr>
        <w:t>הכבוד</w:t>
      </w:r>
      <w:r>
        <w:rPr>
          <w:rtl w:val="true"/>
        </w:rPr>
        <w:t xml:space="preserve">, </w:t>
      </w:r>
      <w:r>
        <w:rPr>
          <w:rtl w:val="true"/>
        </w:rPr>
        <w:t>זכות האשה על גופה</w:t>
      </w:r>
      <w:r>
        <w:rPr>
          <w:rtl w:val="true"/>
        </w:rPr>
        <w:t xml:space="preserve">, </w:t>
      </w:r>
      <w:r>
        <w:rPr>
          <w:rtl w:val="true"/>
        </w:rPr>
        <w:t xml:space="preserve">כולם נפגעו קשות כתוצאה ממעשיו של המערער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9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115/00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289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305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329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המעשים הקשים בהם הורשע המערער בוצעו תוך ניצול לרעה של מעמדו</w:t>
      </w:r>
      <w:r>
        <w:rPr>
          <w:rtl w:val="true"/>
        </w:rPr>
        <w:t xml:space="preserve">, </w:t>
      </w:r>
      <w:r>
        <w:rPr>
          <w:rtl w:val="true"/>
        </w:rPr>
        <w:t>ונגישותו הלגיטימית לאיברי מין של נשים</w:t>
      </w:r>
      <w:r>
        <w:rPr>
          <w:rtl w:val="true"/>
        </w:rPr>
        <w:t xml:space="preserve">; </w:t>
      </w:r>
      <w:r>
        <w:rPr>
          <w:rtl w:val="true"/>
        </w:rPr>
        <w:t>זוהי נסיבה הנזקפת לחובתו בעת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9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תובנה זו מתחזקת</w:t>
      </w:r>
      <w:r>
        <w:rPr>
          <w:rtl w:val="true"/>
        </w:rPr>
        <w:t xml:space="preserve">, </w:t>
      </w:r>
      <w:r>
        <w:rPr>
          <w:rtl w:val="true"/>
        </w:rPr>
        <w:t>נוכח מסכת האירועים שתוארה לעיל</w:t>
      </w:r>
      <w:r>
        <w:rPr>
          <w:rtl w:val="true"/>
        </w:rPr>
        <w:t xml:space="preserve">, </w:t>
      </w:r>
      <w:r>
        <w:rPr>
          <w:rtl w:val="true"/>
        </w:rPr>
        <w:t>שבגדרה ניצל המערער לטובתו</w:t>
      </w:r>
      <w:r>
        <w:rPr>
          <w:rtl w:val="true"/>
        </w:rPr>
        <w:t xml:space="preserve">,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את הידע שבו הוא אוחז לגבי דרך ההתנהלות התקינה בבדיקה רפואית</w:t>
      </w:r>
      <w:r>
        <w:rPr>
          <w:rtl w:val="true"/>
        </w:rPr>
        <w:t xml:space="preserve">, </w:t>
      </w:r>
      <w:r>
        <w:rPr>
          <w:rtl w:val="true"/>
        </w:rPr>
        <w:t>כמו גם את סמכותו כגורם המנווט את המפגש</w:t>
      </w:r>
      <w:r>
        <w:rPr>
          <w:rtl w:val="true"/>
        </w:rPr>
        <w:t xml:space="preserve">, </w:t>
      </w:r>
      <w:r>
        <w:rPr>
          <w:rtl w:val="true"/>
        </w:rPr>
        <w:t>על מנת לבסס את מצג השווא שהציג לנפגעות</w:t>
      </w:r>
      <w:r>
        <w:rPr>
          <w:rtl w:val="true"/>
        </w:rPr>
        <w:t xml:space="preserve">. </w:t>
      </w:r>
      <w:r>
        <w:rPr>
          <w:rtl w:val="true"/>
        </w:rPr>
        <w:t>התנהלות זו באה לידי ביטוי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באמירתו לא</w:t>
      </w:r>
      <w:r>
        <w:rPr>
          <w:rtl w:val="true"/>
        </w:rPr>
        <w:t xml:space="preserve">', </w:t>
      </w:r>
      <w:r>
        <w:rPr>
          <w:rtl w:val="true"/>
        </w:rPr>
        <w:t>כאשר בכתה</w:t>
      </w:r>
      <w:r>
        <w:rPr>
          <w:rtl w:val="true"/>
        </w:rPr>
        <w:t xml:space="preserve">, </w:t>
      </w:r>
      <w:r>
        <w:rPr>
          <w:rtl w:val="true"/>
        </w:rPr>
        <w:t>כי מדובר ב</w:t>
      </w:r>
      <w:r>
        <w:rPr>
          <w:rtl w:val="true"/>
        </w:rPr>
        <w:t>'</w:t>
      </w:r>
      <w:r>
        <w:rPr>
          <w:rtl w:val="true"/>
        </w:rPr>
        <w:t>בדיקה רגילה</w:t>
      </w:r>
      <w:r>
        <w:rPr>
          <w:rtl w:val="true"/>
        </w:rPr>
        <w:t xml:space="preserve">'; </w:t>
      </w:r>
      <w:r>
        <w:rPr>
          <w:rtl w:val="true"/>
        </w:rPr>
        <w:t>בסיפור המרמה שהציג ל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שלפיו נדרשת בדיקה פנימית בעיצומו של גירוי מיני</w:t>
      </w:r>
      <w:r>
        <w:rPr>
          <w:rtl w:val="true"/>
        </w:rPr>
        <w:t xml:space="preserve">, </w:t>
      </w:r>
      <w:r>
        <w:rPr>
          <w:rtl w:val="true"/>
        </w:rPr>
        <w:t>כדי לבדוק את תלונתה הרפואית</w:t>
      </w:r>
      <w:r>
        <w:rPr>
          <w:rtl w:val="true"/>
        </w:rPr>
        <w:t xml:space="preserve">; </w:t>
      </w:r>
      <w:r>
        <w:rPr>
          <w:rtl w:val="true"/>
        </w:rPr>
        <w:t>ובכך שלאחר שביקשה ב</w:t>
      </w:r>
      <w:r>
        <w:rPr>
          <w:rtl w:val="true"/>
        </w:rPr>
        <w:t xml:space="preserve">' </w:t>
      </w:r>
      <w:r>
        <w:rPr>
          <w:rtl w:val="true"/>
        </w:rPr>
        <w:t>להפסיק את המפגש</w:t>
      </w:r>
      <w:r>
        <w:rPr>
          <w:rtl w:val="true"/>
        </w:rPr>
        <w:t xml:space="preserve">, </w:t>
      </w:r>
      <w:r>
        <w:rPr>
          <w:rtl w:val="true"/>
        </w:rPr>
        <w:t>וללכת לשירותים</w:t>
      </w:r>
      <w:r>
        <w:rPr>
          <w:rtl w:val="true"/>
        </w:rPr>
        <w:t xml:space="preserve">, </w:t>
      </w:r>
      <w:r>
        <w:rPr>
          <w:rtl w:val="true"/>
        </w:rPr>
        <w:t>הכניס המערער את מתמר האולטרסאונד לגופה</w:t>
      </w:r>
      <w:r>
        <w:rPr>
          <w:rtl w:val="true"/>
        </w:rPr>
        <w:t xml:space="preserve">, </w:t>
      </w:r>
      <w:r>
        <w:rPr>
          <w:rtl w:val="true"/>
        </w:rPr>
        <w:t>ללא הסכמתה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 אמר המערער</w:t>
      </w:r>
      <w:r>
        <w:rPr>
          <w:rtl w:val="true"/>
        </w:rPr>
        <w:t xml:space="preserve">). </w:t>
      </w:r>
      <w:r>
        <w:rPr>
          <w:rtl w:val="true"/>
        </w:rPr>
        <w:t>שומה עלינו לזכור ולהזכיר</w:t>
      </w:r>
      <w:r>
        <w:rPr>
          <w:rtl w:val="true"/>
        </w:rPr>
        <w:t xml:space="preserve">: </w:t>
      </w:r>
      <w:r>
        <w:rPr>
          <w:rtl w:val="true"/>
        </w:rPr>
        <w:t>מול דמותו הסמכותית של המערער</w:t>
      </w:r>
      <w:r>
        <w:rPr>
          <w:rtl w:val="true"/>
        </w:rPr>
        <w:t xml:space="preserve">, </w:t>
      </w:r>
      <w:r>
        <w:rPr>
          <w:rtl w:val="true"/>
        </w:rPr>
        <w:t>רופא גניקולוג</w:t>
      </w:r>
      <w:r>
        <w:rPr>
          <w:rtl w:val="true"/>
        </w:rPr>
        <w:t xml:space="preserve">, </w:t>
      </w:r>
      <w:r>
        <w:rPr>
          <w:rtl w:val="true"/>
        </w:rPr>
        <w:t>באומרו את הדברים הללו</w:t>
      </w:r>
      <w:r>
        <w:rPr>
          <w:rtl w:val="true"/>
        </w:rPr>
        <w:t xml:space="preserve">, </w:t>
      </w:r>
      <w:r>
        <w:rPr>
          <w:rtl w:val="true"/>
        </w:rPr>
        <w:t>עומדות המטופלות</w:t>
      </w:r>
      <w:r>
        <w:rPr>
          <w:rtl w:val="true"/>
        </w:rPr>
        <w:t xml:space="preserve">, </w:t>
      </w:r>
      <w:r>
        <w:rPr>
          <w:rtl w:val="true"/>
        </w:rPr>
        <w:t>אשר יודעות רק את אשר נעשה בגופן</w:t>
      </w:r>
      <w:r>
        <w:rPr>
          <w:rtl w:val="true"/>
        </w:rPr>
        <w:t xml:space="preserve">; </w:t>
      </w:r>
      <w:r>
        <w:rPr>
          <w:rtl w:val="true"/>
        </w:rPr>
        <w:t>ספק חושדות</w:t>
      </w:r>
      <w:r>
        <w:rPr>
          <w:rtl w:val="true"/>
        </w:rPr>
        <w:t xml:space="preserve">, </w:t>
      </w:r>
      <w:r>
        <w:rPr>
          <w:rtl w:val="true"/>
        </w:rPr>
        <w:t>ספק יודעות</w:t>
      </w:r>
      <w:r>
        <w:rPr>
          <w:rtl w:val="true"/>
        </w:rPr>
        <w:t xml:space="preserve">, </w:t>
      </w:r>
      <w:r>
        <w:rPr>
          <w:rtl w:val="true"/>
        </w:rPr>
        <w:t xml:space="preserve">כי אין מדובר במעשים תקינים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השוו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באשר לנטייה להכחשת האלמנט המיני מצד קורבנות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מקום שבו מדובר בפגיעות מצד סמכות דתית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חינוכית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שרה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hyperlink r:id="rId9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זלצברג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מאפיינים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של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קשרים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מיניים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פוגעניים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בקרב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חרדים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ניתוחם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ומשמעותם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קרימינולוגיה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ד </w:t>
      </w:r>
      <w:r>
        <w:rPr>
          <w:rFonts w:cs="Century" w:ascii="Century" w:hAnsi="Century"/>
          <w:sz w:val="22"/>
        </w:rPr>
        <w:t>73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89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רדיאדה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44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 xml:space="preserve">מסכת עבירות מין כמו זו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שלפנינו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פוגעת קשות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אמון היסודי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ניתן 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רופאים בכלל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וברופאים שתחום עיסוקם כרוך באופן אינהרנטי במגע באיברי גוף מוצנעים בפרט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היא אף מביאה לפגיעה בתחושת הביטחון של נשים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ביושבן על כִּסא הבדיקה הגניקולוגית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לפיכך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rtl w:val="true"/>
        </w:rPr>
        <w:t>'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חלקת האלוהים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הקטנה שלנו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המערכת המשפטית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נדרשים אנו להתייחס לעבירות אלו בחומרה רבה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ולהבטיח מתן עונשים חמורים ומרתיעים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9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3124/18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שיקול נוסף שאינו מיטיב עם טענות המערער</w:t>
      </w:r>
      <w:r>
        <w:rPr>
          <w:rtl w:val="true"/>
        </w:rPr>
        <w:t xml:space="preserve">, </w:t>
      </w:r>
      <w:r>
        <w:rPr>
          <w:rtl w:val="true"/>
        </w:rPr>
        <w:t>נוגע לפגיעה בנפשן של הנפגעות</w:t>
      </w:r>
      <w:r>
        <w:rPr>
          <w:rtl w:val="true"/>
        </w:rPr>
        <w:t xml:space="preserve">. </w:t>
      </w:r>
      <w:r>
        <w:rPr>
          <w:rtl w:val="true"/>
        </w:rPr>
        <w:t>תסקירי נפגעות העבירה</w:t>
      </w:r>
      <w:r>
        <w:rPr>
          <w:rtl w:val="true"/>
        </w:rPr>
        <w:t xml:space="preserve">, </w:t>
      </w:r>
      <w:r>
        <w:rPr>
          <w:rtl w:val="true"/>
        </w:rPr>
        <w:t>שהונחו לפני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מבססים פגיעה כאמור</w:t>
      </w:r>
      <w:r>
        <w:rPr>
          <w:rtl w:val="true"/>
        </w:rPr>
        <w:t xml:space="preserve">, </w:t>
      </w:r>
      <w:r>
        <w:rPr>
          <w:rtl w:val="true"/>
        </w:rPr>
        <w:t>כאשר לגבי ב</w:t>
      </w:r>
      <w:r>
        <w:rPr>
          <w:rtl w:val="true"/>
        </w:rPr>
        <w:t xml:space="preserve">', </w:t>
      </w:r>
      <w:r>
        <w:rPr>
          <w:rtl w:val="true"/>
        </w:rPr>
        <w:t>הנזק שנגרם אף כולל הימנעות מביצוע בדיקות רפואיות במהלך הריונה</w:t>
      </w:r>
      <w:r>
        <w:rPr>
          <w:rtl w:val="true"/>
        </w:rPr>
        <w:t xml:space="preserve">, </w:t>
      </w:r>
      <w:r>
        <w:rPr>
          <w:rtl w:val="true"/>
        </w:rPr>
        <w:t>חרדה שמא בתה תהפוך גם היא לקורבן לניצול מיני</w:t>
      </w:r>
      <w:r>
        <w:rPr>
          <w:rtl w:val="true"/>
        </w:rPr>
        <w:t xml:space="preserve">, </w:t>
      </w:r>
      <w:r>
        <w:rPr>
          <w:rtl w:val="true"/>
        </w:rPr>
        <w:t>ודכאון שממנו סבלה לאחר לידה</w:t>
      </w:r>
      <w:r>
        <w:rPr>
          <w:rtl w:val="true"/>
        </w:rPr>
        <w:t xml:space="preserve">. </w:t>
      </w:r>
      <w:r>
        <w:rPr>
          <w:rtl w:val="true"/>
        </w:rPr>
        <w:t>יתרה מזאת</w:t>
      </w:r>
      <w:r>
        <w:rPr>
          <w:rtl w:val="true"/>
        </w:rPr>
        <w:t xml:space="preserve">, </w:t>
      </w:r>
      <w:r>
        <w:rPr>
          <w:rtl w:val="true"/>
        </w:rPr>
        <w:t>אדוותיהן של פגיעות אלה טרם ידועות עד תום</w:t>
      </w:r>
      <w:r>
        <w:rPr>
          <w:rtl w:val="true"/>
        </w:rPr>
        <w:t xml:space="preserve">, </w:t>
      </w:r>
      <w:r>
        <w:rPr>
          <w:rtl w:val="true"/>
        </w:rPr>
        <w:t>שכן למרבה הצער</w:t>
      </w:r>
      <w:r>
        <w:rPr>
          <w:rtl w:val="true"/>
        </w:rPr>
        <w:t xml:space="preserve">, </w:t>
      </w:r>
      <w:r>
        <w:rPr>
          <w:rtl w:val="true"/>
        </w:rPr>
        <w:t>השפעות הפגיעה המינית הולכות ומתגלות</w:t>
      </w:r>
      <w:r>
        <w:rPr>
          <w:rtl w:val="true"/>
        </w:rPr>
        <w:t xml:space="preserve">, </w:t>
      </w:r>
      <w:r>
        <w:rPr>
          <w:rtl w:val="true"/>
        </w:rPr>
        <w:t>במקרים רבים</w:t>
      </w:r>
      <w:r>
        <w:rPr>
          <w:rtl w:val="true"/>
        </w:rPr>
        <w:t xml:space="preserve">, </w:t>
      </w:r>
      <w:r>
        <w:rPr>
          <w:rtl w:val="true"/>
        </w:rPr>
        <w:t>אך במשך השנים</w:t>
      </w:r>
      <w:r>
        <w:rPr>
          <w:rtl w:val="true"/>
        </w:rPr>
        <w:t xml:space="preserve">. </w:t>
      </w:r>
      <w:r>
        <w:rPr>
          <w:rtl w:val="true"/>
        </w:rPr>
        <w:t>בדין נקבע אפוא כי אין בנדון נסיבות המצדיקות חריגה ממתחם הענישה ההולם</w:t>
      </w:r>
      <w:r>
        <w:rPr>
          <w:rtl w:val="true"/>
        </w:rPr>
        <w:t xml:space="preserve">.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באשר לשיקולים שבתוך מתחם הענישה</w:t>
      </w:r>
      <w:r>
        <w:rPr>
          <w:rtl w:val="true"/>
        </w:rPr>
        <w:t xml:space="preserve">, </w:t>
      </w:r>
      <w:r>
        <w:rPr>
          <w:rtl w:val="true"/>
        </w:rPr>
        <w:t>אעיר כי אמנם</w:t>
      </w:r>
      <w:r>
        <w:rPr>
          <w:rtl w:val="true"/>
        </w:rPr>
        <w:t xml:space="preserve">, </w:t>
      </w:r>
      <w:r>
        <w:rPr>
          <w:rtl w:val="true"/>
        </w:rPr>
        <w:t>כפירתו הגורפת של המערער בביצוע המעשים המיוחסים לו</w:t>
      </w:r>
      <w:r>
        <w:rPr>
          <w:rtl w:val="true"/>
        </w:rPr>
        <w:t xml:space="preserve">, </w:t>
      </w:r>
      <w:r>
        <w:rPr>
          <w:rtl w:val="true"/>
        </w:rPr>
        <w:t xml:space="preserve">אינה נזקפת לחובתו </w:t>
      </w:r>
      <w:r>
        <w:rPr>
          <w:rtl w:val="true"/>
        </w:rPr>
        <w:t>(</w:t>
      </w:r>
      <w:hyperlink r:id="rId10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 טעם להקלה בעונשו</w:t>
      </w:r>
      <w:r>
        <w:rPr>
          <w:rtl w:val="true"/>
        </w:rPr>
        <w:t xml:space="preserve">, </w:t>
      </w:r>
      <w:r>
        <w:rPr>
          <w:rtl w:val="true"/>
        </w:rPr>
        <w:t>בשל נטילת אחריות</w:t>
      </w:r>
      <w:r>
        <w:rPr>
          <w:rtl w:val="true"/>
        </w:rPr>
        <w:t xml:space="preserve">, </w:t>
      </w:r>
      <w:r>
        <w:rPr>
          <w:rtl w:val="true"/>
        </w:rPr>
        <w:t xml:space="preserve">ומאמץ לפצות את נפגעות העבירה על סבלן </w:t>
      </w:r>
      <w:r>
        <w:rPr>
          <w:rtl w:val="true"/>
        </w:rPr>
        <w:t>(</w:t>
      </w:r>
      <w:hyperlink r:id="rId10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3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אין כאן</w:t>
      </w:r>
      <w:r>
        <w:rPr>
          <w:rtl w:val="true"/>
        </w:rPr>
        <w:t xml:space="preserve">. </w:t>
      </w:r>
      <w:r>
        <w:rPr>
          <w:rtl w:val="true"/>
        </w:rPr>
        <w:t>רחוק מכך</w:t>
      </w:r>
      <w:r>
        <w:rPr>
          <w:rtl w:val="true"/>
        </w:rPr>
        <w:t xml:space="preserve">. </w:t>
      </w:r>
      <w:r>
        <w:rPr>
          <w:rtl w:val="true"/>
        </w:rPr>
        <w:t>עמדתו הקורבנית של המערער לגבי הפרשה</w:t>
      </w:r>
      <w:r>
        <w:rPr>
          <w:rtl w:val="true"/>
        </w:rPr>
        <w:t xml:space="preserve">, </w:t>
      </w:r>
      <w:r>
        <w:rPr>
          <w:rtl w:val="true"/>
        </w:rPr>
        <w:t>שבגדרה אף לא הביע תחושת אמפתיה כלפי הנפגעות</w:t>
      </w:r>
      <w:r>
        <w:rPr>
          <w:rtl w:val="true"/>
        </w:rPr>
        <w:t xml:space="preserve">, </w:t>
      </w:r>
      <w:r>
        <w:rPr>
          <w:rtl w:val="true"/>
        </w:rPr>
        <w:t xml:space="preserve">או הכרה בנזק שנגרם להן </w:t>
      </w:r>
      <w:r>
        <w:rPr>
          <w:rtl w:val="true"/>
        </w:rPr>
        <w:t>–</w:t>
      </w:r>
      <w:r>
        <w:rPr>
          <w:rtl w:val="true"/>
        </w:rPr>
        <w:t xml:space="preserve"> כך לפי חוות הדעת של המרכז להערכת מסוכנות </w:t>
      </w:r>
      <w:r>
        <w:rPr>
          <w:rtl w:val="true"/>
        </w:rPr>
        <w:t>–</w:t>
      </w:r>
      <w:r>
        <w:rPr>
          <w:rtl w:val="true"/>
        </w:rPr>
        <w:t xml:space="preserve"> הריהי גורם מגביר מסוכנות</w:t>
      </w:r>
      <w:r>
        <w:rPr>
          <w:rtl w:val="true"/>
        </w:rPr>
        <w:t xml:space="preserve">, </w:t>
      </w:r>
      <w:r>
        <w:rPr>
          <w:rtl w:val="true"/>
        </w:rPr>
        <w:t xml:space="preserve">ואף מקשה על שיקום הנפגעות </w:t>
      </w:r>
      <w:r>
        <w:rPr>
          <w:rtl w:val="true"/>
        </w:rPr>
        <w:t>(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 במשפט העברי</w:t>
      </w:r>
      <w:r>
        <w:rPr>
          <w:rtl w:val="true"/>
        </w:rPr>
        <w:t xml:space="preserve">, </w:t>
      </w:r>
      <w:r>
        <w:rPr>
          <w:rtl w:val="true"/>
        </w:rPr>
        <w:t>החרטה ובקשת הכפרה מנפגע העבירה</w:t>
      </w:r>
      <w:r>
        <w:rPr>
          <w:rtl w:val="true"/>
        </w:rPr>
        <w:t xml:space="preserve">, </w:t>
      </w:r>
      <w:r>
        <w:rPr>
          <w:rtl w:val="true"/>
        </w:rPr>
        <w:t>הריהן שלב הכרחי בטרם חזרה לחברה</w:t>
      </w:r>
      <w:r>
        <w:rPr>
          <w:rtl w:val="true"/>
        </w:rPr>
        <w:t xml:space="preserve">; </w:t>
      </w:r>
      <w:r>
        <w:rPr>
          <w:rtl w:val="true"/>
        </w:rPr>
        <w:t>כך בכלל</w:t>
      </w:r>
      <w:r>
        <w:rPr>
          <w:rtl w:val="true"/>
        </w:rPr>
        <w:t xml:space="preserve">, </w:t>
      </w:r>
      <w:r>
        <w:rPr>
          <w:rtl w:val="true"/>
        </w:rPr>
        <w:t>וכך בעבירות מין בפרט</w:t>
      </w:r>
      <w:r>
        <w:rPr>
          <w:rtl w:val="true"/>
        </w:rPr>
        <w:t xml:space="preserve">;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דמתקנת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גאונים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שיפייס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לחבריה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טור</w:t>
      </w:r>
      <w:r>
        <w:rPr>
          <w:rtl w:val="true"/>
        </w:rPr>
        <w:t xml:space="preserve">, </w:t>
      </w:r>
      <w:r>
        <w:rPr>
          <w:rtl w:val="true"/>
        </w:rPr>
        <w:t>אבן העזר</w:t>
      </w:r>
      <w:r>
        <w:rPr>
          <w:rtl w:val="true"/>
        </w:rPr>
        <w:t xml:space="preserve">, </w:t>
      </w:r>
      <w:r>
        <w:rPr>
          <w:rtl w:val="true"/>
        </w:rPr>
        <w:t>סימן קעז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במשפט המודרני</w:t>
      </w:r>
      <w:r>
        <w:rPr>
          <w:rtl w:val="true"/>
        </w:rPr>
        <w:t xml:space="preserve">, </w:t>
      </w:r>
      <w:r>
        <w:rPr>
          <w:rtl w:val="true"/>
        </w:rPr>
        <w:t>שלב הפיוס של נפגע העבירה אינו הכרחי</w:t>
      </w:r>
      <w:r>
        <w:rPr>
          <w:rtl w:val="true"/>
        </w:rPr>
        <w:t xml:space="preserve">, </w:t>
      </w:r>
      <w:r>
        <w:rPr>
          <w:rtl w:val="true"/>
        </w:rPr>
        <w:t>אולם ברי כי מי שאינו עובר דרכו</w:t>
      </w:r>
      <w:r>
        <w:rPr>
          <w:rtl w:val="true"/>
        </w:rPr>
        <w:t xml:space="preserve">, </w:t>
      </w:r>
      <w:r>
        <w:rPr>
          <w:rtl w:val="true"/>
        </w:rPr>
        <w:t xml:space="preserve">אינו זכאי להקלה מיוחדת בעונשו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מיכאל</w:t>
      </w:r>
      <w:r>
        <w:rPr>
          <w:rtl w:val="true"/>
        </w:rPr>
        <w:t xml:space="preserve"> </w:t>
      </w:r>
      <w:r>
        <w:rPr>
          <w:rtl w:val="true"/>
        </w:rPr>
        <w:t>ויגודה</w:t>
      </w:r>
      <w:r>
        <w:rPr>
          <w:rtl w:val="true"/>
        </w:rPr>
        <w:t xml:space="preserve">, </w:t>
      </w:r>
      <w:r>
        <w:rPr>
          <w:rtl w:val="true"/>
        </w:rPr>
        <w:t>נפגעי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/>
        <w:t>497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tl w:val="true"/>
        </w:rPr>
        <w:t>פרשת</w:t>
      </w:r>
      <w:r>
        <w:rPr>
          <w:rtl w:val="true"/>
        </w:rPr>
        <w:t xml:space="preserve"> </w:t>
      </w:r>
      <w:r>
        <w:rPr>
          <w:rtl w:val="true"/>
        </w:rPr>
        <w:t>משפטים</w:t>
      </w:r>
      <w:r>
        <w:rPr>
          <w:rtl w:val="true"/>
        </w:rPr>
        <w:t xml:space="preserve">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>)).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בכל הנוגע לפרק הזמן שחלף מאז התרחשות האירועים מושא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עד למתן פסק הדין שבערעור </w:t>
      </w:r>
      <w:r>
        <w:rPr>
          <w:rtl w:val="true"/>
        </w:rPr>
        <w:t>–</w:t>
      </w:r>
      <w:r>
        <w:rPr>
          <w:rtl w:val="true"/>
        </w:rPr>
        <w:t xml:space="preserve"> כ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–</w:t>
      </w:r>
      <w:r>
        <w:rPr>
          <w:rtl w:val="true"/>
        </w:rPr>
        <w:t xml:space="preserve"> אין חולק</w:t>
      </w:r>
      <w:r>
        <w:rPr>
          <w:rtl w:val="true"/>
        </w:rPr>
        <w:t xml:space="preserve">, </w:t>
      </w:r>
      <w:r>
        <w:rPr>
          <w:rtl w:val="true"/>
        </w:rPr>
        <w:t>כי מדובר בפרק זמן ארוך</w:t>
      </w:r>
      <w:r>
        <w:rPr>
          <w:rtl w:val="true"/>
        </w:rPr>
        <w:t xml:space="preserve">; </w:t>
      </w:r>
      <w:r>
        <w:rPr>
          <w:rtl w:val="true"/>
        </w:rPr>
        <w:t>ארוך מדי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עובדה זו אינה רובצת לפתחן של רשויות אכיפת החוק לבדן</w:t>
      </w:r>
      <w:r>
        <w:rPr>
          <w:rtl w:val="true"/>
        </w:rPr>
        <w:t xml:space="preserve">. </w:t>
      </w:r>
      <w:r>
        <w:rPr>
          <w:rtl w:val="true"/>
        </w:rPr>
        <w:t>המערער עמד על זכויותיו הדיוניות</w:t>
      </w:r>
      <w:r>
        <w:rPr>
          <w:rtl w:val="true"/>
        </w:rPr>
        <w:t xml:space="preserve">, </w:t>
      </w:r>
      <w:r>
        <w:rPr>
          <w:rtl w:val="true"/>
        </w:rPr>
        <w:t>ניהל הליך הוכחות ממושך</w:t>
      </w:r>
      <w:r>
        <w:rPr>
          <w:rtl w:val="true"/>
        </w:rPr>
        <w:t xml:space="preserve">, </w:t>
      </w:r>
      <w:r>
        <w:rPr>
          <w:rtl w:val="true"/>
        </w:rPr>
        <w:t>ביקש וקיבל החלטה על עיכוב ביצוע גזר הדין של בית המשפט המחוזי</w:t>
      </w:r>
      <w:r>
        <w:rPr>
          <w:rtl w:val="true"/>
        </w:rPr>
        <w:t xml:space="preserve">; </w:t>
      </w:r>
      <w:r>
        <w:rPr>
          <w:rtl w:val="true"/>
        </w:rPr>
        <w:t xml:space="preserve">כל אלה ודאי אינם נזקפים לחובתו </w:t>
      </w:r>
      <w:r>
        <w:rPr>
          <w:rtl w:val="true"/>
        </w:rPr>
        <w:t>–</w:t>
      </w:r>
      <w:r>
        <w:rPr>
          <w:rtl w:val="true"/>
        </w:rPr>
        <w:t xml:space="preserve"> אולם אין בהם כדי להטות את הכף לטובתו</w:t>
      </w:r>
      <w:r>
        <w:rPr>
          <w:rtl w:val="true"/>
        </w:rPr>
        <w:t xml:space="preserve">, </w:t>
      </w:r>
      <w:r>
        <w:rPr>
          <w:rtl w:val="true"/>
        </w:rPr>
        <w:t>מעבר למה שכבר נלקח בחשבון בגזר הדין של בית המשפט המחוזי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לצד האמור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שומה עלינו לזכור את עקרון העל אותו השמיענו המחוקק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בנסיבותיו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Fonts w:cs="Century" w:ascii="Century" w:hAnsi="Century"/>
          <w:sz w:val="22"/>
          <w:rtl w:val="true"/>
        </w:rPr>
        <w:t>(</w:t>
      </w:r>
      <w:hyperlink r:id="rId104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</w:t>
      </w:r>
      <w:hyperlink r:id="rId10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>).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יחס זה נלמד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בין היתר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מהשוואת עונשים שנגזרו על נאשמים אחרים בנסיבות דומות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כנזכר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בשבתנו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כערכאת ערעור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נקודת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המוצא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היא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כי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רק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במקרה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שבו העונש ש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נגזר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ח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רג באופן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ממשי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ממדיניות הענישה הנוהגת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יהיה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מקום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התערבות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מִיני</w:t>
      </w:r>
      <w:r>
        <w:rPr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25.8.2021</w:t>
      </w:r>
      <w:r>
        <w:rPr>
          <w:rtl w:val="true"/>
        </w:rPr>
        <w:t xml:space="preserve">); 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17.5.2012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 שבחנתי את כלל נסיבות העניין</w:t>
      </w:r>
      <w:r>
        <w:rPr>
          <w:rtl w:val="true"/>
        </w:rPr>
        <w:t xml:space="preserve">, </w:t>
      </w:r>
      <w:r>
        <w:rPr>
          <w:rtl w:val="true"/>
        </w:rPr>
        <w:t>סבורני כי יש מקום להקל מעט בעונשו של המערער</w:t>
      </w:r>
      <w:r>
        <w:rPr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עיון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בפסיקת</w:t>
      </w:r>
      <w:r>
        <w:rPr>
          <w:sz w:val="28"/>
          <w:sz w:val="28"/>
          <w:rtl w:val="true"/>
        </w:rPr>
        <w:t xml:space="preserve"> בית משפט 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מלמד כי במקרים </w:t>
      </w:r>
      <w:r>
        <w:rPr>
          <w:sz w:val="28"/>
          <w:sz w:val="28"/>
          <w:rtl w:val="true"/>
        </w:rPr>
        <w:t>שנסיבותיהם</w:t>
      </w:r>
      <w:r>
        <w:rPr>
          <w:sz w:val="28"/>
          <w:sz w:val="28"/>
          <w:rtl w:val="true"/>
        </w:rPr>
        <w:t xml:space="preserve"> דומות למקרה דנן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שעניינם אינוס באמצעות החדרת אצבעות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ומעשים מגונים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בנסיבות</w:t>
      </w:r>
      <w:r>
        <w:rPr>
          <w:sz w:val="28"/>
          <w:sz w:val="28"/>
          <w:rtl w:val="true"/>
        </w:rPr>
        <w:t xml:space="preserve"> של טיפול רגשי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גופני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עיסוי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או רפואי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נגזרו</w:t>
      </w:r>
      <w:r>
        <w:rPr>
          <w:sz w:val="28"/>
          <w:sz w:val="28"/>
          <w:rtl w:val="true"/>
        </w:rPr>
        <w:t xml:space="preserve"> על </w:t>
      </w:r>
      <w:r>
        <w:rPr>
          <w:sz w:val="28"/>
          <w:sz w:val="28"/>
          <w:rtl w:val="true"/>
        </w:rPr>
        <w:t>נאשמים</w:t>
      </w:r>
      <w:r>
        <w:rPr>
          <w:sz w:val="28"/>
          <w:sz w:val="28"/>
          <w:rtl w:val="true"/>
        </w:rPr>
        <w:t xml:space="preserve"> עונשים הנעים בטווח </w:t>
      </w:r>
      <w:r>
        <w:rPr>
          <w:sz w:val="28"/>
          <w:sz w:val="28"/>
          <w:rtl w:val="true"/>
        </w:rPr>
        <w:t>שבין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חודשי מאסר בפועל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עבירת אינוס אחת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לעתים בצירוף מעשה מגונה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לבין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בהתאמה</w:t>
      </w:r>
      <w:r>
        <w:rPr>
          <w:sz w:val="28"/>
          <w:rtl w:val="true"/>
        </w:rPr>
        <w:t>:</w:t>
      </w:r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>עניין</w:t>
      </w:r>
      <w:r>
        <w:rPr>
          <w:sz w:val="28"/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שרון</w:t>
      </w:r>
      <w:r>
        <w:rPr>
          <w:sz w:val="28"/>
          <w:rtl w:val="true"/>
        </w:rPr>
        <w:t xml:space="preserve">; </w:t>
      </w:r>
      <w:hyperlink r:id="rId10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3005/08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sz w:val="28"/>
          <w:rtl w:val="true"/>
        </w:rPr>
        <w:t xml:space="preserve"> (</w:t>
      </w:r>
      <w:r>
        <w:rPr>
          <w:sz w:val="28"/>
        </w:rPr>
        <w:t>2.3.2009</w:t>
      </w:r>
      <w:r>
        <w:rPr>
          <w:sz w:val="28"/>
          <w:rtl w:val="true"/>
        </w:rPr>
        <w:t xml:space="preserve">); </w:t>
      </w:r>
      <w:hyperlink r:id="rId10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6863/09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sz w:val="28"/>
          <w:rtl w:val="true"/>
        </w:rPr>
        <w:t xml:space="preserve"> (</w:t>
      </w:r>
      <w:r>
        <w:rPr>
          <w:sz w:val="28"/>
        </w:rPr>
        <w:t>1.3.2010</w:t>
      </w:r>
      <w:r>
        <w:rPr>
          <w:sz w:val="28"/>
          <w:rtl w:val="true"/>
        </w:rPr>
        <w:t xml:space="preserve">); 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9274/08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2.12.2009</w:t>
      </w:r>
      <w:r>
        <w:rPr>
          <w:rtl w:val="true"/>
        </w:rPr>
        <w:t>)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עניין</w:t>
      </w:r>
      <w:r>
        <w:rPr>
          <w:sz w:val="28"/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רדיאדה</w:t>
      </w:r>
      <w:r>
        <w:rPr>
          <w:sz w:val="28"/>
          <w:rtl w:val="true"/>
        </w:rPr>
        <w:t xml:space="preserve">; 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3677/21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שללאשוילי</w:t>
      </w:r>
      <w:r>
        <w:rPr>
          <w:sz w:val="28"/>
          <w:sz w:val="28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sz w:val="28"/>
          <w:rtl w:val="true"/>
        </w:rPr>
        <w:t xml:space="preserve"> (</w:t>
      </w:r>
      <w:r>
        <w:rPr>
          <w:sz w:val="28"/>
        </w:rPr>
        <w:t>13.2.22</w:t>
      </w:r>
      <w:r>
        <w:rPr>
          <w:sz w:val="28"/>
          <w:rtl w:val="true"/>
        </w:rPr>
        <w:t xml:space="preserve">); </w:t>
      </w:r>
      <w:hyperlink r:id="rId112">
        <w:r>
          <w:rPr>
            <w:rStyle w:val="Hyperlink"/>
            <w:rFonts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eastAsia="Garamond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color w:val="0000FF"/>
            <w:spacing w:val="0"/>
            <w:szCs w:val="24"/>
            <w:u w:val="single"/>
          </w:rPr>
          <w:t>3124/18</w:t>
        </w:r>
      </w:hyperlink>
      <w:r>
        <w:rPr>
          <w:sz w:val="28"/>
          <w:rtl w:val="true"/>
        </w:rPr>
        <w:t>)</w:t>
      </w:r>
      <w:r>
        <w:rPr>
          <w:rtl w:val="true"/>
        </w:rPr>
        <w:t xml:space="preserve">). </w:t>
      </w:r>
      <w:r>
        <w:rPr>
          <w:sz w:val="28"/>
          <w:sz w:val="28"/>
          <w:rtl w:val="true"/>
        </w:rPr>
        <w:t>במקרים שבהם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אינוס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או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סדום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אינוס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הושתו עונשי מאסר לתקופות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בין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40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לחמש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hyperlink r:id="rId113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187/10</w:t>
        </w:r>
      </w:hyperlink>
      <w:r>
        <w:rPr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נבו</w:t>
      </w:r>
      <w:r>
        <w:rPr>
          <w:sz w:val="28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21.1.2010</w:t>
      </w:r>
      <w:r>
        <w:rPr>
          <w:sz w:val="28"/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ישועה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1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7764/16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גולדנבלט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23.4.2017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tl w:val="true"/>
        </w:rPr>
        <w:t>עינינו הרואות</w:t>
      </w:r>
      <w:r>
        <w:rPr>
          <w:rtl w:val="true"/>
        </w:rPr>
        <w:t xml:space="preserve">, </w:t>
      </w:r>
      <w:r>
        <w:rPr>
          <w:rtl w:val="true"/>
        </w:rPr>
        <w:t>כי 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שעומד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חמור במידה ניכרת מעונשים שניתנו בנסיבות דומות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חרף חומרת המעשים שבהם עסקינן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והצטברות העבירות בנדון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מצאתי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הצדקה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לחריגה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ניכרת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שכזו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אציע לחברַי להפחית שנה מעונש המאסר שהוטל על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ולהעמידו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יתר רכיבי גזר הדין של בית המשפט המחוזי יעמדו בעינם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בעת חתימה</w:t>
      </w:r>
      <w:r>
        <w:rPr>
          <w:rtl w:val="true"/>
        </w:rPr>
        <w:t xml:space="preserve">, </w:t>
      </w:r>
      <w:r>
        <w:rPr>
          <w:rtl w:val="true"/>
        </w:rPr>
        <w:t>אעיר</w:t>
      </w:r>
      <w:r>
        <w:rPr>
          <w:rtl w:val="true"/>
        </w:rPr>
        <w:t xml:space="preserve">, </w:t>
      </w:r>
      <w:r>
        <w:rPr>
          <w:rtl w:val="true"/>
        </w:rPr>
        <w:t>כי לא מצאתי טעם טוב לשנות מהחלטת בית המשפט המחוזי</w:t>
      </w:r>
      <w:r>
        <w:rPr>
          <w:rtl w:val="true"/>
        </w:rPr>
        <w:t xml:space="preserve">, </w:t>
      </w:r>
      <w:r>
        <w:rPr>
          <w:rtl w:val="true"/>
        </w:rPr>
        <w:t>באשר לפרסום שמו של 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ההחלטה הזמנית מיום </w:t>
      </w:r>
      <w:r>
        <w:rPr/>
        <w:t>12.1.2023</w:t>
      </w:r>
      <w:r>
        <w:rPr>
          <w:rtl w:val="true"/>
        </w:rPr>
        <w:t xml:space="preserve">, </w:t>
      </w:r>
      <w:r>
        <w:rPr>
          <w:rtl w:val="true"/>
        </w:rPr>
        <w:t xml:space="preserve">באשר לאיסור הפרסום בתיק </w:t>
      </w:r>
      <w:r>
        <w:rPr>
          <w:rtl w:val="true"/>
        </w:rPr>
        <w:t>–</w:t>
      </w:r>
      <w:r>
        <w:rPr>
          <w:rtl w:val="true"/>
        </w:rPr>
        <w:t xml:space="preserve"> מבוטלת בזאת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0"/>
        <w:gridCol w:w="2319"/>
        <w:gridCol w:w="3264"/>
      </w:tblGrid>
      <w:tr>
        <w:trPr>
          <w:trHeight w:val="2102" w:hRule="atLeast"/>
        </w:trPr>
        <w:tc>
          <w:tcPr>
            <w:tcW w:w="2780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19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26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נעם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סולברג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Ruller42"/>
              <w:ind w:end="0"/>
              <w:jc w:val="both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וסף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0"/>
        <w:gridCol w:w="2319"/>
        <w:gridCol w:w="3264"/>
      </w:tblGrid>
      <w:tr>
        <w:trPr/>
        <w:tc>
          <w:tcPr>
            <w:tcW w:w="2780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19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26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Ruller42"/>
              <w:ind w:end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</w:tc>
      </w:tr>
    </w:tbl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חיאל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התלבטתי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להפחית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החלטתי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גניקולוג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0"/>
        <w:gridCol w:w="2319"/>
        <w:gridCol w:w="3264"/>
      </w:tblGrid>
      <w:tr>
        <w:trPr/>
        <w:tc>
          <w:tcPr>
            <w:tcW w:w="2780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319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26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lang w:val="en-IL" w:eastAsia="en-IL"/>
              </w:rPr>
            </w:pPr>
            <w:r>
              <w:rPr>
                <w:rFonts w:cs="Courier New" w:ascii="Courier New" w:hAnsi="Courier New"/>
                <w:rtl w:val="true"/>
                <w:lang w:val="en-IL" w:eastAsia="en-IL"/>
              </w:rPr>
              <w:drawing>
                <wp:anchor behindDoc="1" distT="0" distB="0" distL="114935" distR="114935" simplePos="0" locked="0" layoutInCell="1" allowOverlap="1" relativeHeight="38">
                  <wp:simplePos x="0" y="0"/>
                  <wp:positionH relativeFrom="column">
                    <wp:posOffset>4044315</wp:posOffset>
                  </wp:positionH>
                  <wp:positionV relativeFrom="paragraph">
                    <wp:posOffset>33020</wp:posOffset>
                  </wp:positionV>
                  <wp:extent cx="1038225" cy="868680"/>
                  <wp:effectExtent l="0" t="0" r="0" b="0"/>
                  <wp:wrapNone/>
                  <wp:docPr id="1" name="תמונה 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תמונה 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 l="-19" t="-23" r="-19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68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Ruller42"/>
              <w:ind w:end="0"/>
              <w:jc w:val="both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לפיכך </w:t>
      </w:r>
      <w:r>
        <w:rPr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יתייצב לריצוי עונשו ביום </w:t>
      </w:r>
      <w:r>
        <w:rPr/>
        <w:t>20.9.2024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 קישון או על פי החלטת שירות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המערער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שירות בתי 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074-7831077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074-7831078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23" w:name="Nitan"/>
      <w:bookmarkStart w:id="24" w:name="Start_Write"/>
      <w:bookmarkEnd w:id="24"/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ניתן היום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ט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ז אב תשפ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ד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אוגוסט </w:t>
      </w:r>
      <w:r>
        <w:rPr>
          <w:rFonts w:cs="FrankRuehl" w:ascii="FrankRuehl" w:hAnsi="FrankRuehl"/>
          <w:sz w:val="28"/>
        </w:rPr>
        <w:t>2024</w:t>
      </w:r>
      <w:r>
        <w:rPr>
          <w:rFonts w:cs="FrankRuehl" w:ascii="FrankRuehl" w:hAnsi="FrankRuehl"/>
          <w:sz w:val="28"/>
          <w:rtl w:val="true"/>
        </w:rPr>
        <w:t xml:space="preserve">). </w:t>
      </w:r>
      <w:bookmarkEnd w:id="2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0"/>
        <w:gridCol w:w="2319"/>
        <w:gridCol w:w="3264"/>
      </w:tblGrid>
      <w:tr>
        <w:trPr/>
        <w:tc>
          <w:tcPr>
            <w:tcW w:w="2780" w:type="dxa"/>
            <w:tcBorders/>
          </w:tcPr>
          <w:p>
            <w:pPr>
              <w:pStyle w:val="Normal"/>
              <w:ind w:end="0"/>
              <w:jc w:val="start"/>
              <w:rPr>
                <w:rFonts w:ascii="Courier New" w:hAnsi="Courier New" w:cs="Courier New"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color w:val="FFFFFF"/>
                <w:sz w:val="2"/>
                <w:szCs w:val="2"/>
              </w:rPr>
              <w:t>54678313</w:t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נעם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סולברג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Ruller42"/>
              <w:ind w:end="0"/>
              <w:jc w:val="both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</w:tc>
        <w:tc>
          <w:tcPr>
            <w:tcW w:w="231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Ruller42"/>
              <w:ind w:end="0"/>
              <w:jc w:val="both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</w:tc>
        <w:tc>
          <w:tcPr>
            <w:tcW w:w="326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lang w:val="en-IL" w:eastAsia="en-IL"/>
              </w:rPr>
            </w:pPr>
            <w:r>
              <w:rPr>
                <w:rFonts w:cs="Courier New" w:ascii="Courier New" w:hAnsi="Courier New"/>
                <w:rtl w:val="true"/>
                <w:lang w:val="en-IL" w:eastAsia="en-IL"/>
              </w:rPr>
              <w:drawing>
                <wp:anchor behindDoc="1" distT="0" distB="0" distL="114935" distR="114935" simplePos="0" locked="0" layoutInCell="1" allowOverlap="1" relativeHeight="39">
                  <wp:simplePos x="0" y="0"/>
                  <wp:positionH relativeFrom="column">
                    <wp:posOffset>4044315</wp:posOffset>
                  </wp:positionH>
                  <wp:positionV relativeFrom="paragraph">
                    <wp:posOffset>33020</wp:posOffset>
                  </wp:positionV>
                  <wp:extent cx="1038225" cy="868680"/>
                  <wp:effectExtent l="0" t="0" r="0" b="0"/>
                  <wp:wrapNone/>
                  <wp:docPr id="2" name="תמונה 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rcRect l="-19" t="-23" r="-19" b="-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68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3"/>
              <w:spacing w:lineRule="auto" w:line="240"/>
              <w:ind w:hanging="0" w:start="0" w:end="0"/>
              <w:jc w:val="center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cs="Times New Roman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spacing w:lineRule="auto" w:line="240"/>
              <w:ind w:hanging="0" w:start="0" w:end="0"/>
              <w:jc w:val="start"/>
              <w:rPr>
                <w:rFonts w:cs="FrankRuehl"/>
                <w:b w:val="false"/>
                <w:bCs w:val="false"/>
                <w:spacing w:val="10"/>
                <w:sz w:val="28"/>
                <w:szCs w:val="28"/>
              </w:rPr>
            </w:pPr>
            <w:r>
              <w:rPr>
                <w:rFonts w:cs="FrankRuehl"/>
                <w:b w:val="false"/>
                <w:b w:val="false"/>
                <w:bCs w:val="false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Ruller42"/>
              <w:ind w:end="0"/>
              <w:jc w:val="both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</w:tc>
      </w:tr>
    </w:tbl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8"/>
          <w:szCs w:val="28"/>
        </w:rPr>
      </w:pPr>
      <w:r>
        <w:rPr>
          <w:rFonts w:cs="FrankRuehl" w:ascii="FrankRuehl" w:hAnsi="FrankRuehl"/>
          <w:color w:val="FFFFFF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8"/>
          <w:u w:val="single"/>
        </w:rPr>
      </w:pPr>
      <w:hyperlink r:id="rId11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נעם סולברג </w:t>
      </w:r>
      <w:r>
        <w:rPr>
          <w:rFonts w:cs="David" w:ascii="David" w:hAnsi="David"/>
          <w:color w:val="000000"/>
          <w:sz w:val="22"/>
          <w:szCs w:val="22"/>
        </w:rPr>
        <w:t>54678313-8561/22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000000"/>
          <w:sz w:val="28"/>
          <w:u w:val="single"/>
        </w:rPr>
      </w:pPr>
      <w:r>
        <w:rPr>
          <w:rFonts w:ascii="FrankRuehl" w:hAnsi="FrankRuehl" w:cs="FrankRuehl"/>
          <w:color w:val="000000"/>
          <w:sz w:val="28"/>
          <w:sz w:val="28"/>
          <w:u w:val="single"/>
          <w:rtl w:val="true"/>
        </w:rPr>
        <w:t>נוסח מסמך זה כפוף לשינויי ניסוח ועריכה</w:t>
      </w:r>
    </w:p>
    <w:sectPr>
      <w:headerReference w:type="default" r:id="rId118"/>
      <w:footerReference w:type="default" r:id="rId119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3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8561/22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אליאס חורי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1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18539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18539&amp;lt;/CaseID&amp;gt;&#10;        &amp;lt;CaseMonth&amp;gt;12&amp;lt;/CaseMonth&amp;gt;&#10;        &amp;lt;CaseYear&amp;gt;2022&amp;lt;/CaseYear&amp;gt;&#10;        &amp;lt;CaseNumber&amp;gt;68265&amp;lt;/CaseNumber&amp;gt;&#10;        &amp;lt;NumeratorGroupID&amp;gt;1&amp;lt;/NumeratorGroupID&amp;gt;&#10;        &amp;lt;CaseName&amp;gt;חורי(מעוכב ביצוע בתיק נוכחי ) נ&amp;#39; מדינת ישראל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2&amp;lt;/PreviousCaseYear&amp;gt;&#10;        &amp;lt;PreviousCaseNumber&amp;gt;8561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8561/22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2-12-13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התייצבות 8-1-23&amp;lt;/CaseDesc&amp;gt;&#10;        &amp;lt;isExistMinorSide&amp;gt;false&amp;lt;/isExistMinorSide&amp;gt;&#10;        &amp;lt;isExistMinorWitness&amp;gt;false&amp;lt;/isExistMinorWitness&amp;gt;&#10;        &amp;lt;PreviousCaseIdentifier&amp;gt;2022008561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fals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18539&amp;lt;/CaseID&amp;gt;&#10;        &amp;lt;CaseMonth&amp;gt;12&amp;lt;/CaseMonth&amp;gt;&#10;        &amp;lt;CaseYear&amp;gt;2022&amp;lt;/CaseYear&amp;gt;&#10;        &amp;lt;CaseNumber&amp;gt;68265&amp;lt;/CaseNumber&amp;gt;&#10;        &amp;lt;NumeratorGroupID&amp;gt;1&amp;lt;/NumeratorGroupID&amp;gt;&#10;        &amp;lt;CaseName&amp;gt;חורי(מעוכב ביצוע בתיק נוכחי ) נ&amp;#39; מדינת ישראל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2&amp;lt;/PreviousCaseYear&amp;gt;&#10;        &amp;lt;PreviousCaseNumber&amp;gt;8561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8561/22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2-12-13T00:00:00+02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התייצבות 8-1-23&amp;lt;/CaseDesc&amp;gt;&#10;        &amp;lt;PreviousCaseIdentifier&amp;gt;2022008561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4488851&amp;lt;/DecisionID&amp;gt;&#10;        &amp;lt;DecisionName&amp;gt;פסק דין  שניתנה ע&amp;quot;י  נעם סולברג&amp;lt;/DecisionName&amp;gt;&#10;        &amp;lt;DecisionStatusID&amp;gt;1&amp;lt;/DecisionStatusID&amp;gt;&#10;        &amp;lt;DecisionStatusChangeDate&amp;gt;2024-08-20T11:37:55.243+03:00&amp;lt;/DecisionStatusChangeDate&amp;gt;&#10;        &amp;lt;DecisionSignatureDate&amp;gt;2024-08-20T11:37:52.843+03:00&amp;lt;/DecisionSignatureDate&amp;gt;&#10;        &amp;lt;DecisionSignatureUserID&amp;gt;057380099@GOV.IL&amp;lt;/DecisionSignatureUserID&amp;gt;&#10;        &amp;lt;DecisionCreateDate&amp;gt;2024-08-19T11:35:37.043+03:00&amp;lt;/DecisionCreateDate&amp;gt;&#10;        &amp;lt;DecisionChangeDate&amp;gt;2024-08-20T11:37:55.347+03:00&amp;lt;/DecisionChangeDate&amp;gt;&#10;        &amp;lt;DecisionChangeUserID&amp;gt;318348851@GOV.IL&amp;lt;/DecisionChangeUserID&amp;gt;&#10;        &amp;lt;DecisionDesc /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3048322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7380099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318348851@GOV.IL&amp;lt;/DecisionCreationUserID&amp;gt;&#10;        &amp;lt;DecisionDisplayName&amp;gt;פסק דין  שניתנה ע&amp;quot;י  נעם סולברג&amp;lt;/DecisionDisplayName&amp;gt;&#10;        &amp;lt;IsScanned&amp;gt;false&amp;lt;/IsScanned&amp;gt;&#10;        &amp;lt;DecisionSignatureUserName&amp;gt;נעם סולברג&amp;lt;/DecisionSignatureUserName&amp;gt;&#10;        &amp;lt;ChangePrivilegeUserID&amp;gt;057380099@GOV.IL&amp;lt;/ChangePrivilegeUserID&amp;gt;&#10;        &amp;lt;PublishInWebUserID&amp;gt;057380099@GOV.IL&amp;lt;/PublishInWebUserID&amp;gt;&#10;        &amp;lt;NotificationTypeID&amp;gt;1&amp;lt;/NotificationTypeID&amp;gt;&#10;        &amp;lt;DecisionReleaseDate&amp;gt;2024-08-19T00:00:00+03:00&amp;lt;/DecisionReleaseDate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15&amp;lt;/DecisionNumberInCase&amp;gt;&#10;        &amp;lt;DecisionNote xml:space=&amp;quot;preserve&amp;quot;&amp;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lt;/DecisionNote&amp;gt;&#10;        &amp;lt;DecisionMeetingDate&amp;gt;2024-08-19T00:00:00+03:00&amp;lt;/DecisionMeetingDate&amp;gt;&#10;        &amp;lt;IsViewInSiteChosenVerdict&amp;gt;false&amp;lt;/IsViewInSiteChosenVerdict&amp;gt;&#10;      &amp;lt;/dt_Decision&amp;gt;&#10;      &amp;lt;dt_DecisionCase diffgr:id=&amp;quot;dt_DecisionCase1&amp;quot; msdata:rowOrder=&amp;quot;0&amp;quot;&amp;gt;&#10;        &amp;lt;DecisionID&amp;gt;154488851&amp;lt;/DecisionID&amp;gt;&#10;        &amp;lt;CaseID&amp;gt;81818539&amp;lt;/CaseID&amp;gt;&#10;        &amp;lt;IsOriginal&amp;gt;true&amp;lt;/IsOriginal&amp;gt;&#10;        &amp;lt;IsDeleted&amp;gt;false&amp;lt;/IsDeleted&amp;gt;&#10;        &amp;lt;CaseName&amp;gt;חורי(מעוכב ביצוע בתיק נוכחי ) נ&amp;#39; מדינת ישראל&amp;lt;/CaseName&amp;gt;&#10;        &amp;lt;CaseDisplayIdentifier&amp;gt;ע&amp;quot;פ 8561/22&amp;lt;/CaseDisplayIdentifier&amp;gt;&#10;      &amp;lt;/dt_DecisionCase&amp;gt;&#10;    &amp;lt;/DecisionDS&amp;gt;&#10;  &amp;lt;/diffgr:diffgram&amp;gt;&#10;&amp;lt;/DecisionDS&amp;gt;"/>
    <w:docVar w:name="DecisionID" w:val="154488851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7">
    <w:name w:val=" Char Char27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yle5">
    <w:name w:val="טקסט הערה תו"/>
    <w:qFormat/>
    <w:rPr>
      <w:rFonts w:cs="David"/>
    </w:rPr>
  </w:style>
  <w:style w:type="character" w:styleId="CharChar26">
    <w:name w:val=" Char Char26"/>
    <w:qFormat/>
    <w:rPr>
      <w:sz w:val="24"/>
      <w:szCs w:val="24"/>
    </w:rPr>
  </w:style>
  <w:style w:type="character" w:styleId="CharChar24">
    <w:name w:val=" Char Char24"/>
    <w:qFormat/>
    <w:rPr>
      <w:rFonts w:cs="David"/>
      <w:b/>
      <w:bCs/>
      <w:sz w:val="24"/>
      <w:szCs w:val="24"/>
    </w:rPr>
  </w:style>
  <w:style w:type="character" w:styleId="CharChar25">
    <w:name w:val=" Char Char25"/>
    <w:qFormat/>
    <w:rPr>
      <w:rFonts w:ascii="Tahoma" w:hAnsi="Tahoma" w:cs="Tahoma"/>
      <w:sz w:val="16"/>
      <w:szCs w:val="16"/>
    </w:rPr>
  </w:style>
  <w:style w:type="character" w:styleId="default">
    <w:name w:val="default"/>
    <w:qFormat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CharChar23">
    <w:name w:val=" Char Char23"/>
    <w:qFormat/>
    <w:rPr>
      <w:rFonts w:ascii="Arial" w:hAnsi="Arial" w:eastAsia="Calibri" w:cs="David"/>
      <w:color w:val="000000"/>
    </w:rPr>
  </w:style>
  <w:style w:type="character" w:styleId="CharChar33">
    <w:name w:val=" Char Char33"/>
    <w:qFormat/>
    <w:rPr>
      <w:rFonts w:cs="David"/>
      <w:b/>
      <w:bCs/>
      <w:szCs w:val="24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2">
    <w:name w:val=" Char Char22"/>
    <w:qFormat/>
    <w:rPr>
      <w:rFonts w:ascii="Consolas" w:hAnsi="Consolas" w:cs="David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24"/>
      <w:szCs w:val="24"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7">
    <w:name w:val=" Char Char17"/>
    <w:qFormat/>
    <w:rPr>
      <w:rFonts w:cs="David"/>
      <w:sz w:val="24"/>
      <w:szCs w:val="24"/>
    </w:rPr>
  </w:style>
  <w:style w:type="character" w:styleId="CharChar16">
    <w:name w:val=" Char Char16"/>
    <w:qFormat/>
    <w:rPr>
      <w:rFonts w:cs="David"/>
      <w:sz w:val="24"/>
      <w:szCs w:val="24"/>
    </w:rPr>
  </w:style>
  <w:style w:type="character" w:styleId="CharChar15">
    <w:name w:val=" Char Char15"/>
    <w:qFormat/>
    <w:rPr>
      <w:rFonts w:cs="David"/>
    </w:rPr>
  </w:style>
  <w:style w:type="character" w:styleId="CharChar14">
    <w:name w:val=" Char Char14"/>
    <w:qFormat/>
    <w:rPr>
      <w:rFonts w:ascii="Consolas" w:hAnsi="Consolas" w:cs="David"/>
    </w:rPr>
  </w:style>
  <w:style w:type="character" w:styleId="CharChar13">
    <w:name w:val=" Char Char13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5">
    <w:name w:val=" Char Char35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2">
    <w:name w:val=" Char Char32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8">
    <w:name w:val=" Char Char28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2">
    <w:name w:val=" Char Char12"/>
    <w:qFormat/>
    <w:rPr>
      <w:rFonts w:cs="David"/>
      <w:sz w:val="24"/>
      <w:szCs w:val="24"/>
    </w:rPr>
  </w:style>
  <w:style w:type="character" w:styleId="CharChar11">
    <w:name w:val=" Char Char11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0">
    <w:name w:val=" Char Char10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9">
    <w:name w:val=" Char Char9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24"/>
      <w:szCs w:val="24"/>
    </w:rPr>
  </w:style>
  <w:style w:type="character" w:styleId="CharChar6">
    <w:name w:val=" Char Char6"/>
    <w:qFormat/>
    <w:rPr>
      <w:rFonts w:cs="David"/>
      <w:sz w:val="16"/>
      <w:szCs w:val="16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sz w:val="24"/>
      <w:szCs w:val="24"/>
    </w:rPr>
  </w:style>
  <w:style w:type="character" w:styleId="CharChar3">
    <w:name w:val=" Char Char3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2">
    <w:name w:val=" Char Char2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6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2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31">
    <w:name w:val="Ruller 3"/>
    <w:basedOn w:val="Normal"/>
    <w:qFormat/>
    <w:pPr>
      <w:overflowPunct w:val="false"/>
      <w:autoSpaceDE w:val="false"/>
      <w:spacing w:lineRule="auto" w:line="360"/>
      <w:textAlignment w:val="baseline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overflowPunct w:val="false"/>
      <w:autoSpaceDE w:val="false"/>
      <w:spacing w:lineRule="auto" w:line="360"/>
      <w:textAlignment w:val="baseline"/>
    </w:pPr>
    <w:rPr>
      <w:b/>
      <w:bCs/>
      <w:sz w:val="20"/>
      <w:u w:val="single"/>
    </w:rPr>
  </w:style>
  <w:style w:type="paragraph" w:styleId="FileNumber">
    <w:name w:val="File Number"/>
    <w:basedOn w:val="Normal"/>
    <w:qFormat/>
    <w:pPr>
      <w:overflowPunct w:val="false"/>
      <w:autoSpaceDE w:val="false"/>
      <w:spacing w:lineRule="auto" w:line="360"/>
      <w:jc w:val="end"/>
      <w:textAlignment w:val="baseline"/>
    </w:pPr>
    <w:rPr>
      <w:bCs/>
      <w:sz w:val="20"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overflowPunct w:val="false"/>
      <w:autoSpaceDE w:val="false"/>
      <w:jc w:val="center"/>
      <w:textAlignment w:val="baseline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overflowPunct w:val="false"/>
      <w:autoSpaceDE w:val="false"/>
      <w:spacing w:lineRule="auto" w:line="360"/>
      <w:jc w:val="center"/>
      <w:textAlignment w:val="baseline"/>
    </w:pPr>
    <w:rPr>
      <w:bCs/>
      <w:spacing w:val="30"/>
      <w:sz w:val="20"/>
      <w:szCs w:val="28"/>
      <w:u w:val="single"/>
    </w:rPr>
  </w:style>
  <w:style w:type="paragraph" w:styleId="TfutzaList">
    <w:name w:val="Tfutza List"/>
    <w:basedOn w:val="Normal"/>
    <w:qFormat/>
    <w:pPr>
      <w:overflowPunct w:val="false"/>
      <w:autoSpaceDE w:val="false"/>
      <w:textAlignment w:val="baseline"/>
    </w:pPr>
    <w:rPr>
      <w:i/>
      <w:iCs/>
      <w:sz w:val="20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  <w:textAlignment w:val="baseline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overflowPunct w:val="false"/>
      <w:autoSpaceDE w:val="false"/>
      <w:textAlignment w:val="baseline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textAlignment w:val="baseline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autoSpaceDE w:val="false"/>
    </w:pPr>
    <w:rPr>
      <w:rFonts w:cs="Times New Roman"/>
      <w:sz w:val="20"/>
    </w:rPr>
  </w:style>
  <w:style w:type="paragraph" w:styleId="Casenameintextbody">
    <w:name w:val="Case name in text body"/>
    <w:basedOn w:val="Normal"/>
    <w:qFormat/>
    <w:pPr>
      <w:autoSpaceDE w:val="false"/>
      <w:jc w:val="end"/>
    </w:pPr>
    <w:rPr>
      <w:rFonts w:cs="Times New Roman"/>
      <w:b/>
      <w:bCs/>
      <w:sz w:val="20"/>
      <w:u w:val="single"/>
    </w:rPr>
  </w:style>
  <w:style w:type="paragraph" w:styleId="precasestyle">
    <w:name w:val="pre_case style"/>
    <w:basedOn w:val="Normal"/>
    <w:qFormat/>
    <w:pPr>
      <w:autoSpaceDE w:val="false"/>
      <w:ind w:hanging="0" w:start="0" w:end="2549"/>
    </w:pPr>
    <w:rPr>
      <w:rFonts w:cs="Times New Roman"/>
      <w:sz w:val="20"/>
    </w:rPr>
  </w:style>
  <w:style w:type="paragraph" w:styleId="BodyRuller1">
    <w:name w:val="Body Ruller"/>
    <w:basedOn w:val="Normal"/>
    <w:qFormat/>
    <w:pPr>
      <w:overflowPunct w:val="false"/>
      <w:autoSpaceDE w:val="false"/>
      <w:textAlignment w:val="baseline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>
      <w:overflowPunct w:val="false"/>
      <w:autoSpaceDE w:val="false"/>
      <w:textAlignment w:val="baseline"/>
    </w:pPr>
    <w:rPr>
      <w:rFonts w:cs="FrankRuehl"/>
      <w:spacing w:val="10"/>
      <w:sz w:val="22"/>
      <w:szCs w:val="28"/>
    </w:rPr>
  </w:style>
  <w:style w:type="paragraph" w:styleId="CommentSubject">
    <w:name w:val="Comment Subject"/>
    <w:basedOn w:val="CommentText"/>
    <w:next w:val="CommentText"/>
    <w:qFormat/>
    <w:pPr>
      <w:overflowPunct w:val="false"/>
      <w:autoSpaceDE w:val="false"/>
      <w:textAlignment w:val="baseline"/>
    </w:pPr>
    <w:rPr>
      <w:rFonts w:cs="David"/>
      <w:b/>
      <w:bCs/>
      <w:sz w:val="20"/>
      <w:szCs w:val="20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2"/>
      </w:numPr>
      <w:textAlignment w:val="baseline"/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13"/>
      </w:numPr>
      <w:textAlignment w:val="baseline"/>
    </w:pPr>
    <w:rPr/>
  </w:style>
  <w:style w:type="paragraph" w:styleId="p00">
    <w:name w:val="p00"/>
    <w:basedOn w:val="Normal"/>
    <w:qFormat/>
    <w:pPr>
      <w:bidi w:val="0"/>
      <w:spacing w:before="280" w:after="280"/>
    </w:pPr>
    <w:rPr>
      <w:rFonts w:cs="Times New Roman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ruller411">
    <w:name w:val="ruller41"/>
    <w:basedOn w:val="Normal"/>
    <w:qFormat/>
    <w:pPr>
      <w:bidi w:val="0"/>
      <w:spacing w:before="280" w:after="280"/>
    </w:pPr>
    <w:rPr>
      <w:rFonts w:cs="Times New Roman"/>
    </w:rPr>
  </w:style>
  <w:style w:type="paragraph" w:styleId="ruller51">
    <w:name w:val="ruller51"/>
    <w:basedOn w:val="Normal"/>
    <w:qFormat/>
    <w:pPr>
      <w:bidi w:val="0"/>
      <w:spacing w:before="280" w:after="280"/>
    </w:pPr>
    <w:rPr>
      <w:rFonts w:cs="Times New Roman"/>
    </w:rPr>
  </w:style>
  <w:style w:type="paragraph" w:styleId="FootnoteText">
    <w:name w:val="footnote text"/>
    <w:basedOn w:val="Normal"/>
    <w:pPr/>
    <w:rPr>
      <w:rFonts w:ascii="Arial" w:hAnsi="Arial" w:eastAsia="Calibri" w:cs="Arial"/>
      <w:color w:val="000000"/>
      <w:sz w:val="20"/>
      <w:szCs w:val="20"/>
    </w:rPr>
  </w:style>
  <w:style w:type="paragraph" w:styleId="ruller421">
    <w:name w:val="ruller42"/>
    <w:basedOn w:val="Normal"/>
    <w:qFormat/>
    <w:pPr>
      <w:bidi w:val="0"/>
      <w:spacing w:before="280" w:after="280"/>
    </w:pPr>
    <w:rPr>
      <w:rFonts w:cs="Times New Roman"/>
    </w:rPr>
  </w:style>
  <w:style w:type="paragraph" w:styleId="ruller50">
    <w:name w:val="ruller50"/>
    <w:basedOn w:val="Normal"/>
    <w:qFormat/>
    <w:pPr>
      <w:bidi w:val="0"/>
      <w:spacing w:before="280" w:after="280"/>
    </w:pPr>
    <w:rPr>
      <w:rFonts w:cs="Times New Roman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Style7">
    <w:name w:val="ללא מרווח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142365" TargetMode="External"/><Relationship Id="rId3" Type="http://schemas.openxmlformats.org/officeDocument/2006/relationships/hyperlink" Target="http://www.nevo.co.il/safrut/book/2911" TargetMode="External"/><Relationship Id="rId4" Type="http://schemas.openxmlformats.org/officeDocument/2006/relationships/hyperlink" Target="http://www.nevo.co.il/safrut/book/2911" TargetMode="External"/><Relationship Id="rId5" Type="http://schemas.openxmlformats.org/officeDocument/2006/relationships/hyperlink" Target="http://www.nevo.co.il/safrut/book/23216" TargetMode="External"/><Relationship Id="rId6" Type="http://schemas.openxmlformats.org/officeDocument/2006/relationships/hyperlink" Target="http://www.nevo.co.il/safrut/bookgroup/412" TargetMode="External"/><Relationship Id="rId7" Type="http://schemas.openxmlformats.org/officeDocument/2006/relationships/hyperlink" Target="http://www.nevo.co.il/safrut/bookgroup/2258" TargetMode="External"/><Relationship Id="rId8" Type="http://schemas.openxmlformats.org/officeDocument/2006/relationships/hyperlink" Target="http://www.nevo.co.il/safrut/bookgroup/225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law/70301/40i.a.11" TargetMode="External"/><Relationship Id="rId12" Type="http://schemas.openxmlformats.org/officeDocument/2006/relationships/hyperlink" Target="http://www.nevo.co.il/law/70301/345.a.2" TargetMode="External"/><Relationship Id="rId13" Type="http://schemas.openxmlformats.org/officeDocument/2006/relationships/hyperlink" Target="http://www.nevo.co.il/law/70301/348.a" TargetMode="External"/><Relationship Id="rId14" Type="http://schemas.openxmlformats.org/officeDocument/2006/relationships/hyperlink" Target="http://www.nevo.co.il/law/70301/348.c" TargetMode="External"/><Relationship Id="rId15" Type="http://schemas.openxmlformats.org/officeDocument/2006/relationships/hyperlink" Target="http://www.nevo.co.il/law/70301/354.c" TargetMode="External"/><Relationship Id="rId16" Type="http://schemas.openxmlformats.org/officeDocument/2006/relationships/hyperlink" Target="http://www.nevo.co.il/law/70301/40ja.4" TargetMode="External"/><Relationship Id="rId17" Type="http://schemas.openxmlformats.org/officeDocument/2006/relationships/hyperlink" Target="http://www.nevo.co.il/law/70301/40ja.5" TargetMode="External"/><Relationship Id="rId18" Type="http://schemas.openxmlformats.org/officeDocument/2006/relationships/hyperlink" Target="http://www.nevo.co.il/law/70301/40ja.6" TargetMode="External"/><Relationship Id="rId19" Type="http://schemas.openxmlformats.org/officeDocument/2006/relationships/hyperlink" Target="http://www.nevo.co.il/law/72507" TargetMode="External"/><Relationship Id="rId20" Type="http://schemas.openxmlformats.org/officeDocument/2006/relationships/hyperlink" Target="http://www.nevo.co.il/law/72507/.6.b" TargetMode="External"/><Relationship Id="rId21" Type="http://schemas.openxmlformats.org/officeDocument/2006/relationships/hyperlink" Target="http://www.nevo.co.il/law/72507/3.a.3" TargetMode="External"/><Relationship Id="rId22" Type="http://schemas.openxmlformats.org/officeDocument/2006/relationships/hyperlink" Target="http://www.nevo.co.il/law/72507/3.a.5" TargetMode="External"/><Relationship Id="rId23" Type="http://schemas.openxmlformats.org/officeDocument/2006/relationships/hyperlink" Target="http://www.nevo.co.il/law/98569" TargetMode="External"/><Relationship Id="rId24" Type="http://schemas.openxmlformats.org/officeDocument/2006/relationships/hyperlink" Target="http://www.nevo.co.il/law/98569/53" TargetMode="External"/><Relationship Id="rId25" Type="http://schemas.openxmlformats.org/officeDocument/2006/relationships/hyperlink" Target="http://www.nevo.co.il/law/98569/54a.b" TargetMode="External"/><Relationship Id="rId26" Type="http://schemas.openxmlformats.org/officeDocument/2006/relationships/hyperlink" Target="http://www.nevo.co.il/law/98639" TargetMode="External"/><Relationship Id="rId27" Type="http://schemas.openxmlformats.org/officeDocument/2006/relationships/hyperlink" Target="http://www.nevo.co.il/law/98639/7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9142365" TargetMode="External"/><Relationship Id="rId31" Type="http://schemas.openxmlformats.org/officeDocument/2006/relationships/hyperlink" Target="http://www.nevo.co.il/law/70301/345.a.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48.a" TargetMode="External"/><Relationship Id="rId34" Type="http://schemas.openxmlformats.org/officeDocument/2006/relationships/hyperlink" Target="http://www.nevo.co.il/law/70301/345.a.2" TargetMode="External"/><Relationship Id="rId35" Type="http://schemas.openxmlformats.org/officeDocument/2006/relationships/hyperlink" Target="http://www.nevo.co.il/law/70301/348.c" TargetMode="External"/><Relationship Id="rId36" Type="http://schemas.openxmlformats.org/officeDocument/2006/relationships/hyperlink" Target="http://www.nevo.co.il/law/72507/3.a.3" TargetMode="External"/><Relationship Id="rId37" Type="http://schemas.openxmlformats.org/officeDocument/2006/relationships/hyperlink" Target="http://www.nevo.co.il/law/72507/3.a.5" TargetMode="External"/><Relationship Id="rId38" Type="http://schemas.openxmlformats.org/officeDocument/2006/relationships/hyperlink" Target="http://www.nevo.co.il/law/72507/.6.b" TargetMode="External"/><Relationship Id="rId39" Type="http://schemas.openxmlformats.org/officeDocument/2006/relationships/hyperlink" Target="http://www.nevo.co.il/law/72507" TargetMode="External"/><Relationship Id="rId40" Type="http://schemas.openxmlformats.org/officeDocument/2006/relationships/hyperlink" Target="http://www.nevo.co.il/case/6147805" TargetMode="External"/><Relationship Id="rId41" Type="http://schemas.openxmlformats.org/officeDocument/2006/relationships/hyperlink" Target="http://www.nevo.co.il/safrut/book/2911" TargetMode="External"/><Relationship Id="rId42" Type="http://schemas.openxmlformats.org/officeDocument/2006/relationships/hyperlink" Target="http://www.nevo.co.il/case/20884406" TargetMode="External"/><Relationship Id="rId43" Type="http://schemas.openxmlformats.org/officeDocument/2006/relationships/hyperlink" Target="http://www.nevo.co.il/case/25246147" TargetMode="External"/><Relationship Id="rId44" Type="http://schemas.openxmlformats.org/officeDocument/2006/relationships/hyperlink" Target="http://www.nevo.co.il/case/25246147" TargetMode="External"/><Relationship Id="rId45" Type="http://schemas.openxmlformats.org/officeDocument/2006/relationships/hyperlink" Target="http://www.nevo.co.il/case/5758600" TargetMode="External"/><Relationship Id="rId46" Type="http://schemas.openxmlformats.org/officeDocument/2006/relationships/hyperlink" Target="http://www.nevo.co.il/law/98569/53" TargetMode="External"/><Relationship Id="rId47" Type="http://schemas.openxmlformats.org/officeDocument/2006/relationships/hyperlink" Target="http://www.nevo.co.il/law/98569" TargetMode="External"/><Relationship Id="rId48" Type="http://schemas.openxmlformats.org/officeDocument/2006/relationships/hyperlink" Target="http://www.nevo.co.il/case/5951406" TargetMode="External"/><Relationship Id="rId49" Type="http://schemas.openxmlformats.org/officeDocument/2006/relationships/hyperlink" Target="http://www.nevo.co.il/case/5951406" TargetMode="External"/><Relationship Id="rId50" Type="http://schemas.openxmlformats.org/officeDocument/2006/relationships/hyperlink" Target="http://www.nevo.co.il/law/98569/54a.b" TargetMode="External"/><Relationship Id="rId51" Type="http://schemas.openxmlformats.org/officeDocument/2006/relationships/hyperlink" Target="http://www.nevo.co.il/law/98569" TargetMode="External"/><Relationship Id="rId52" Type="http://schemas.openxmlformats.org/officeDocument/2006/relationships/hyperlink" Target="http://www.nevo.co.il/case/27245032" TargetMode="External"/><Relationship Id="rId53" Type="http://schemas.openxmlformats.org/officeDocument/2006/relationships/hyperlink" Target="http://www.nevo.co.il/case/5951406" TargetMode="External"/><Relationship Id="rId54" Type="http://schemas.openxmlformats.org/officeDocument/2006/relationships/hyperlink" Target="http://www.nevo.co.il/case/25246147" TargetMode="External"/><Relationship Id="rId55" Type="http://schemas.openxmlformats.org/officeDocument/2006/relationships/hyperlink" Target="http://www.nevo.co.il/case/17942669" TargetMode="External"/><Relationship Id="rId56" Type="http://schemas.openxmlformats.org/officeDocument/2006/relationships/hyperlink" Target="http://www.nevo.co.il/case/30271294" TargetMode="External"/><Relationship Id="rId57" Type="http://schemas.openxmlformats.org/officeDocument/2006/relationships/hyperlink" Target="http://www.nevo.co.il/case/5573589" TargetMode="External"/><Relationship Id="rId58" Type="http://schemas.openxmlformats.org/officeDocument/2006/relationships/hyperlink" Target="http://www.nevo.co.il/case/5739234" TargetMode="External"/><Relationship Id="rId59" Type="http://schemas.openxmlformats.org/officeDocument/2006/relationships/hyperlink" Target="http://www.nevo.co.il/case/6094380" TargetMode="External"/><Relationship Id="rId60" Type="http://schemas.openxmlformats.org/officeDocument/2006/relationships/hyperlink" Target="http://www.nevo.co.il/case/5691848" TargetMode="External"/><Relationship Id="rId61" Type="http://schemas.openxmlformats.org/officeDocument/2006/relationships/hyperlink" Target="http://www.nevo.co.il/safrut/bookgroup/2258" TargetMode="External"/><Relationship Id="rId62" Type="http://schemas.openxmlformats.org/officeDocument/2006/relationships/hyperlink" Target="http://www.nevo.co.il/case/25246147" TargetMode="External"/><Relationship Id="rId63" Type="http://schemas.openxmlformats.org/officeDocument/2006/relationships/hyperlink" Target="http://www.nevo.co.il/case/20030304" TargetMode="External"/><Relationship Id="rId64" Type="http://schemas.openxmlformats.org/officeDocument/2006/relationships/hyperlink" Target="http://www.nevo.co.il/case/5857076" TargetMode="External"/><Relationship Id="rId65" Type="http://schemas.openxmlformats.org/officeDocument/2006/relationships/hyperlink" Target="http://www.nevo.co.il/case/27915723" TargetMode="External"/><Relationship Id="rId66" Type="http://schemas.openxmlformats.org/officeDocument/2006/relationships/hyperlink" Target="http://www.nevo.co.il/case/20003691" TargetMode="External"/><Relationship Id="rId67" Type="http://schemas.openxmlformats.org/officeDocument/2006/relationships/hyperlink" Target="http://www.nevo.co.il/case/16968058" TargetMode="External"/><Relationship Id="rId68" Type="http://schemas.openxmlformats.org/officeDocument/2006/relationships/hyperlink" Target="http://www.nevo.co.il/case/5939887" TargetMode="External"/><Relationship Id="rId69" Type="http://schemas.openxmlformats.org/officeDocument/2006/relationships/hyperlink" Target="http://www.nevo.co.il/law/98639/7" TargetMode="External"/><Relationship Id="rId70" Type="http://schemas.openxmlformats.org/officeDocument/2006/relationships/hyperlink" Target="http://www.nevo.co.il/law/98639" TargetMode="External"/><Relationship Id="rId71" Type="http://schemas.openxmlformats.org/officeDocument/2006/relationships/hyperlink" Target="http://www.nevo.co.il/case/25651804" TargetMode="External"/><Relationship Id="rId72" Type="http://schemas.openxmlformats.org/officeDocument/2006/relationships/hyperlink" Target="http://www.nevo.co.il/case/6103934" TargetMode="External"/><Relationship Id="rId73" Type="http://schemas.openxmlformats.org/officeDocument/2006/relationships/hyperlink" Target="http://www.nevo.co.il/case/26923550" TargetMode="External"/><Relationship Id="rId74" Type="http://schemas.openxmlformats.org/officeDocument/2006/relationships/hyperlink" Target="http://www.nevo.co.il/case/26923550" TargetMode="External"/><Relationship Id="rId75" Type="http://schemas.openxmlformats.org/officeDocument/2006/relationships/hyperlink" Target="http://www.nevo.co.il/case/5984379" TargetMode="External"/><Relationship Id="rId76" Type="http://schemas.openxmlformats.org/officeDocument/2006/relationships/hyperlink" Target="http://www.nevo.co.il/case/26412534" TargetMode="External"/><Relationship Id="rId77" Type="http://schemas.openxmlformats.org/officeDocument/2006/relationships/hyperlink" Target="http://www.nevo.co.il/case/24140670" TargetMode="External"/><Relationship Id="rId78" Type="http://schemas.openxmlformats.org/officeDocument/2006/relationships/hyperlink" Target="http://www.nevo.co.il/case/24140670" TargetMode="External"/><Relationship Id="rId79" Type="http://schemas.openxmlformats.org/officeDocument/2006/relationships/hyperlink" Target="http://www.nevo.co.il/case/6241105" TargetMode="External"/><Relationship Id="rId80" Type="http://schemas.openxmlformats.org/officeDocument/2006/relationships/hyperlink" Target="http://www.nevo.co.il/case/17921401" TargetMode="External"/><Relationship Id="rId81" Type="http://schemas.openxmlformats.org/officeDocument/2006/relationships/hyperlink" Target="http://www.nevo.co.il/case/17941097" TargetMode="External"/><Relationship Id="rId82" Type="http://schemas.openxmlformats.org/officeDocument/2006/relationships/hyperlink" Target="http://www.nevo.co.il/case/21865277" TargetMode="External"/><Relationship Id="rId83" Type="http://schemas.openxmlformats.org/officeDocument/2006/relationships/hyperlink" Target="http://www.nevo.co.il/case/30326834" TargetMode="External"/><Relationship Id="rId84" Type="http://schemas.openxmlformats.org/officeDocument/2006/relationships/hyperlink" Target="http://www.nevo.co.il/case/4161804" TargetMode="External"/><Relationship Id="rId85" Type="http://schemas.openxmlformats.org/officeDocument/2006/relationships/hyperlink" Target="http://www.nevo.co.il/law/70301/345.a.2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70301/354.c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case/5676454" TargetMode="External"/><Relationship Id="rId90" Type="http://schemas.openxmlformats.org/officeDocument/2006/relationships/hyperlink" Target="http://www.nevo.co.il/case/6093371" TargetMode="External"/><Relationship Id="rId91" Type="http://schemas.openxmlformats.org/officeDocument/2006/relationships/hyperlink" Target="http://www.nevo.co.il/case/6238635" TargetMode="External"/><Relationship Id="rId92" Type="http://schemas.openxmlformats.org/officeDocument/2006/relationships/hyperlink" Target="http://www.nevo.co.il/safrut/bookgroup/412" TargetMode="External"/><Relationship Id="rId93" Type="http://schemas.openxmlformats.org/officeDocument/2006/relationships/hyperlink" Target="http://www.nevo.co.il/case/23826493" TargetMode="External"/><Relationship Id="rId94" Type="http://schemas.openxmlformats.org/officeDocument/2006/relationships/hyperlink" Target="http://www.nevo.co.il/case/20842375" TargetMode="External"/><Relationship Id="rId95" Type="http://schemas.openxmlformats.org/officeDocument/2006/relationships/hyperlink" Target="http://www.nevo.co.il/case/5678391" TargetMode="External"/><Relationship Id="rId96" Type="http://schemas.openxmlformats.org/officeDocument/2006/relationships/hyperlink" Target="http://www.nevo.co.il/law/70301/40i.a.11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safrut/book/23216" TargetMode="External"/><Relationship Id="rId99" Type="http://schemas.openxmlformats.org/officeDocument/2006/relationships/hyperlink" Target="http://www.nevo.co.il/case/24140670" TargetMode="External"/><Relationship Id="rId100" Type="http://schemas.openxmlformats.org/officeDocument/2006/relationships/hyperlink" Target="http://www.nevo.co.il/law/70301/40ja.6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/40ja.4" TargetMode="External"/><Relationship Id="rId103" Type="http://schemas.openxmlformats.org/officeDocument/2006/relationships/hyperlink" Target="http://www.nevo.co.il/law/70301/40ja.5" TargetMode="External"/><Relationship Id="rId104" Type="http://schemas.openxmlformats.org/officeDocument/2006/relationships/hyperlink" Target="http://www.nevo.co.il/law/70301/40b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case/26923550" TargetMode="External"/><Relationship Id="rId107" Type="http://schemas.openxmlformats.org/officeDocument/2006/relationships/hyperlink" Target="http://www.nevo.co.il/case/5571832" TargetMode="External"/><Relationship Id="rId108" Type="http://schemas.openxmlformats.org/officeDocument/2006/relationships/hyperlink" Target="http://www.nevo.co.il/case/6244643" TargetMode="External"/><Relationship Id="rId109" Type="http://schemas.openxmlformats.org/officeDocument/2006/relationships/hyperlink" Target="http://www.nevo.co.il/case/6247413" TargetMode="External"/><Relationship Id="rId110" Type="http://schemas.openxmlformats.org/officeDocument/2006/relationships/hyperlink" Target="http://www.nevo.co.il/case/6249045" TargetMode="External"/><Relationship Id="rId111" Type="http://schemas.openxmlformats.org/officeDocument/2006/relationships/hyperlink" Target="http://www.nevo.co.il/case/27652842" TargetMode="External"/><Relationship Id="rId112" Type="http://schemas.openxmlformats.org/officeDocument/2006/relationships/hyperlink" Target="http://www.nevo.co.il/case/24140670" TargetMode="External"/><Relationship Id="rId113" Type="http://schemas.openxmlformats.org/officeDocument/2006/relationships/hyperlink" Target="http://www.nevo.co.il/case/6243861" TargetMode="External"/><Relationship Id="rId114" Type="http://schemas.openxmlformats.org/officeDocument/2006/relationships/hyperlink" Target="http://www.nevo.co.il/case/21486648" TargetMode="External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hyperlink" Target="http://www.nevo.co.il/advertisements/nevo-100.doc" TargetMode="External"/><Relationship Id="rId118" Type="http://schemas.openxmlformats.org/officeDocument/2006/relationships/header" Target="header1.xml"/><Relationship Id="rId119" Type="http://schemas.openxmlformats.org/officeDocument/2006/relationships/footer" Target="footer1.xml"/><Relationship Id="rId120" Type="http://schemas.openxmlformats.org/officeDocument/2006/relationships/numbering" Target="numbering.xml"/><Relationship Id="rId121" Type="http://schemas.openxmlformats.org/officeDocument/2006/relationships/fontTable" Target="fontTable.xml"/><Relationship Id="rId122" Type="http://schemas.openxmlformats.org/officeDocument/2006/relationships/settings" Target="settings.xml"/><Relationship Id="rId1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2024-08-21T11:52:00Z</dcterms:created>
  <dc:creator>h4</dc:creator>
  <dc:description/>
  <cp:keywords/>
  <dc:language>en-IL</dc:language>
  <cp:lastModifiedBy>orly</cp:lastModifiedBy>
  <dcterms:modified xsi:type="dcterms:W3CDTF">2024-08-21T11:52:00Z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אליאס חורי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412;2258</vt:lpwstr>
  </property>
  <property fmtid="{D5CDD505-2E9C-101B-9397-08002B2CF9AE}" pid="9" name="BOOKLISTTMP1">
    <vt:lpwstr>2911;23216</vt:lpwstr>
  </property>
  <property fmtid="{D5CDD505-2E9C-101B-9397-08002B2CF9AE}" pid="10" name="CASESLISTTMP1">
    <vt:lpwstr>29142365:2;6147805;20884406;25246147:4;5758600;5951406:3;27245032;17942669;30271294;5573589;5739234;6094380;5691848;20030304;5857076;27915723;20003691;16968058;5939887;25651804;6103934;26923550:3;5984379;26412534;24140670:4;6241105;17921401;17941097</vt:lpwstr>
  </property>
  <property fmtid="{D5CDD505-2E9C-101B-9397-08002B2CF9AE}" pid="11" name="CASESLISTTMP2">
    <vt:lpwstr>21865277;30326834;4161804;5676454;6093371;6238635;23826493;20842375;5678391;5571832;6244643;6247413;6249045;27652842;6243861;21486648</vt:lpwstr>
  </property>
  <property fmtid="{D5CDD505-2E9C-101B-9397-08002B2CF9AE}" pid="12" name="CITY">
    <vt:lpwstr/>
  </property>
  <property fmtid="{D5CDD505-2E9C-101B-9397-08002B2CF9AE}" pid="13" name="DATE">
    <vt:lpwstr>20240820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נעם סולברג;יוסף אלרון;יחיאל כשר</vt:lpwstr>
  </property>
  <property fmtid="{D5CDD505-2E9C-101B-9397-08002B2CF9AE}" pid="17" name="LAWLISTTMP1">
    <vt:lpwstr>70301/345.a.2:3;348.a;348.c;354.c;040i.a.11;40ja.6;40ja.4;40ja.5;040b</vt:lpwstr>
  </property>
  <property fmtid="{D5CDD505-2E9C-101B-9397-08002B2CF9AE}" pid="18" name="LAWLISTTMP2">
    <vt:lpwstr>72507/003.a.3;003.a.5;.6.b</vt:lpwstr>
  </property>
  <property fmtid="{D5CDD505-2E9C-101B-9397-08002B2CF9AE}" pid="19" name="LAWLISTTMP3">
    <vt:lpwstr>98569/053;054a.b</vt:lpwstr>
  </property>
  <property fmtid="{D5CDD505-2E9C-101B-9397-08002B2CF9AE}" pid="20" name="LAWLISTTMP4">
    <vt:lpwstr>98639/007</vt:lpwstr>
  </property>
  <property fmtid="{D5CDD505-2E9C-101B-9397-08002B2CF9AE}" pid="21" name="LAWYER">
    <vt:lpwstr>אביגדור פלדמן;יפעה בקר-מימרן;נועה עזרא רחמני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נעה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1">
    <vt:lpwstr>עונשין</vt:lpwstr>
  </property>
  <property fmtid="{D5CDD505-2E9C-101B-9397-08002B2CF9AE}" pid="33" name="NOSE110">
    <vt:lpwstr/>
  </property>
  <property fmtid="{D5CDD505-2E9C-101B-9397-08002B2CF9AE}" pid="34" name="NOSE12">
    <vt:lpwstr>דיון פלילי</vt:lpwstr>
  </property>
  <property fmtid="{D5CDD505-2E9C-101B-9397-08002B2CF9AE}" pid="35" name="NOSE13">
    <vt:lpwstr>ראיות</vt:lpwstr>
  </property>
  <property fmtid="{D5CDD505-2E9C-101B-9397-08002B2CF9AE}" pid="36" name="NOSE14">
    <vt:lpwstr>דיון פלילי</vt:lpwstr>
  </property>
  <property fmtid="{D5CDD505-2E9C-101B-9397-08002B2CF9AE}" pid="37" name="NOSE15">
    <vt:lpwstr>עונשין</vt:lpwstr>
  </property>
  <property fmtid="{D5CDD505-2E9C-101B-9397-08002B2CF9AE}" pid="38" name="NOSE16">
    <vt:lpwstr>עונשין</vt:lpwstr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77;18;89;18;77;77</vt:lpwstr>
  </property>
  <property fmtid="{D5CDD505-2E9C-101B-9397-08002B2CF9AE}" pid="43" name="NOSE21">
    <vt:lpwstr>עבירות</vt:lpwstr>
  </property>
  <property fmtid="{D5CDD505-2E9C-101B-9397-08002B2CF9AE}" pid="44" name="NOSE210">
    <vt:lpwstr/>
  </property>
  <property fmtid="{D5CDD505-2E9C-101B-9397-08002B2CF9AE}" pid="45" name="NOSE22">
    <vt:lpwstr>ערעור</vt:lpwstr>
  </property>
  <property fmtid="{D5CDD505-2E9C-101B-9397-08002B2CF9AE}" pid="46" name="NOSE23">
    <vt:lpwstr>עדות</vt:lpwstr>
  </property>
  <property fmtid="{D5CDD505-2E9C-101B-9397-08002B2CF9AE}" pid="47" name="NOSE24">
    <vt:lpwstr>חקירה במשטרה</vt:lpwstr>
  </property>
  <property fmtid="{D5CDD505-2E9C-101B-9397-08002B2CF9AE}" pid="48" name="NOSE25">
    <vt:lpwstr>ענישה</vt:lpwstr>
  </property>
  <property fmtid="{D5CDD505-2E9C-101B-9397-08002B2CF9AE}" pid="49" name="NOSE26">
    <vt:lpwstr>ענישה</vt:lpwstr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1443;504;1654;475;1446;1446</vt:lpwstr>
  </property>
  <property fmtid="{D5CDD505-2E9C-101B-9397-08002B2CF9AE}" pid="54" name="NOSE31">
    <vt:lpwstr>אינוס במירמה</vt:lpwstr>
  </property>
  <property fmtid="{D5CDD505-2E9C-101B-9397-08002B2CF9AE}" pid="55" name="NOSE310">
    <vt:lpwstr/>
  </property>
  <property fmtid="{D5CDD505-2E9C-101B-9397-08002B2CF9AE}" pid="56" name="NOSE32">
    <vt:lpwstr>אי-התערבות בממצאים עובדתיים</vt:lpwstr>
  </property>
  <property fmtid="{D5CDD505-2E9C-101B-9397-08002B2CF9AE}" pid="57" name="NOSE33">
    <vt:lpwstr>קורבן עבירת מין</vt:lpwstr>
  </property>
  <property fmtid="{D5CDD505-2E9C-101B-9397-08002B2CF9AE}" pid="58" name="NOSE34">
    <vt:lpwstr>מחדלי חקירה</vt:lpwstr>
  </property>
  <property fmtid="{D5CDD505-2E9C-101B-9397-08002B2CF9AE}" pid="59" name="NOSE35">
    <vt:lpwstr>מדיניות ענישה: עבירות מין</vt:lpwstr>
  </property>
  <property fmtid="{D5CDD505-2E9C-101B-9397-08002B2CF9AE}" pid="60" name="NOSE36">
    <vt:lpwstr>מדיניות ענישה: שיקולים</vt:lpwstr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11790;3849;12270;3672;8988;8994</vt:lpwstr>
  </property>
  <property fmtid="{D5CDD505-2E9C-101B-9397-08002B2CF9AE}" pid="65" name="PADIDATE">
    <vt:lpwstr>20240821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</vt:lpwstr>
  </property>
  <property fmtid="{D5CDD505-2E9C-101B-9397-08002B2CF9AE}" pid="70" name="PROCNUM">
    <vt:lpwstr>8561</vt:lpwstr>
  </property>
  <property fmtid="{D5CDD505-2E9C-101B-9397-08002B2CF9AE}" pid="71" name="PROCYEAR">
    <vt:lpwstr>22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410120240820</vt:lpwstr>
  </property>
  <property fmtid="{D5CDD505-2E9C-101B-9397-08002B2CF9AE}" pid="75" name="TYPE_N_DATE">
    <vt:lpwstr>41020240820</vt:lpwstr>
  </property>
  <property fmtid="{D5CDD505-2E9C-101B-9397-08002B2CF9AE}" pid="76" name="VOLUME">
    <vt:lpwstr/>
  </property>
  <property fmtid="{D5CDD505-2E9C-101B-9397-08002B2CF9AE}" pid="77" name="WORDNUMPAGES">
    <vt:lpwstr>32</vt:lpwstr>
  </property>
</Properties>
</file>