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8577/22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סרגיי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יפימוב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61364-05-20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2.11.2022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24.1.2024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בלפור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ירוסלב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סלביק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מץ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מייקלס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56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כבוב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כשר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300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לדקדק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דוקטרינת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סרגיי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יפימוב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61364-05-20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גריגורי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גריגורייב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19.10.2022</w:t>
      </w:r>
      <w:r>
        <w:rPr>
          <w:rtl w:val="true"/>
        </w:rPr>
        <w:t xml:space="preserve"> </w:t>
      </w:r>
      <w:r>
        <w:rPr>
          <w:rtl w:val="true"/>
        </w:rPr>
        <w:t>וכפועל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2.11.2022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בתקופה הרלוונטית לכתב האישום המערער עבד כספר במספרה בבת ים שבבעלות אחמד סעדה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המספרה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המנוח עבד באותה העת כרופא שיניים במרפאת שיניים סמוכה</w:t>
      </w:r>
      <w:r>
        <w:rPr>
          <w:rtl w:val="true"/>
        </w:rPr>
        <w:t xml:space="preserve">. </w:t>
      </w:r>
      <w:r>
        <w:rPr>
          <w:rtl w:val="true"/>
        </w:rPr>
        <w:t>בין השניים הייתה היכרות מוקדמת רבת 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 שישי ה</w:t>
      </w:r>
      <w:r>
        <w:rPr>
          <w:rtl w:val="true"/>
        </w:rPr>
        <w:t>-</w:t>
      </w:r>
      <w:r>
        <w:rPr/>
        <w:t>8.5.2020</w:t>
      </w:r>
      <w:r>
        <w:rPr>
          <w:rtl w:val="true"/>
        </w:rPr>
        <w:t xml:space="preserve"> </w:t>
      </w:r>
      <w:r>
        <w:rPr>
          <w:rtl w:val="true"/>
        </w:rPr>
        <w:t>התפתח בין המערער למנוח ויכוח בעניין נגיף הקורונה אשר במהלכו המנוח כינה את המערער בכינויי גנאי</w:t>
      </w:r>
      <w:r>
        <w:rPr>
          <w:rtl w:val="true"/>
        </w:rPr>
        <w:t xml:space="preserve">, </w:t>
      </w:r>
      <w:r>
        <w:rPr>
          <w:rtl w:val="true"/>
        </w:rPr>
        <w:t xml:space="preserve">ובין היתר בביטוי </w:t>
      </w:r>
      <w:r>
        <w:rPr>
          <w:rtl w:val="true"/>
        </w:rPr>
        <w:t>"</w:t>
      </w:r>
      <w:r>
        <w:rPr>
          <w:rtl w:val="true"/>
        </w:rPr>
        <w:t>פידרסט</w:t>
      </w:r>
      <w:r>
        <w:rPr>
          <w:rtl w:val="true"/>
        </w:rPr>
        <w:t xml:space="preserve">", </w:t>
      </w:r>
      <w:r>
        <w:rPr>
          <w:rtl w:val="true"/>
        </w:rPr>
        <w:t xml:space="preserve">שמשמעותו בשפה הרוסית היא </w:t>
      </w:r>
      <w:r>
        <w:rPr>
          <w:rtl w:val="true"/>
        </w:rPr>
        <w:t>"</w:t>
      </w:r>
      <w:r>
        <w:rPr>
          <w:rtl w:val="true"/>
        </w:rPr>
        <w:t>הומו</w:t>
      </w:r>
      <w:r>
        <w:rPr>
          <w:rtl w:val="true"/>
        </w:rPr>
        <w:t xml:space="preserve">".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בין מועד הוויכוח ליום ראשון ה</w:t>
      </w:r>
      <w:r>
        <w:rPr>
          <w:rtl w:val="true"/>
        </w:rPr>
        <w:t>-</w:t>
      </w:r>
      <w:r>
        <w:rPr/>
        <w:t>10.5.2020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tl w:val="true"/>
        </w:rPr>
        <w:t xml:space="preserve">) </w:t>
      </w:r>
      <w:r>
        <w:rPr>
          <w:rtl w:val="true"/>
        </w:rPr>
        <w:t>התגבשה אצל המערער החלטה להמית את המנוח</w:t>
      </w:r>
      <w:r>
        <w:rPr>
          <w:rtl w:val="true"/>
        </w:rPr>
        <w:t xml:space="preserve">. </w:t>
      </w:r>
      <w:r>
        <w:rPr>
          <w:rtl w:val="true"/>
        </w:rPr>
        <w:t>לצורך זאת</w:t>
      </w:r>
      <w:r>
        <w:rPr>
          <w:rtl w:val="true"/>
        </w:rPr>
        <w:t xml:space="preserve">, </w:t>
      </w:r>
      <w:r>
        <w:rPr>
          <w:rtl w:val="true"/>
        </w:rPr>
        <w:t>הגיע ביום האירוע למספרה כשברשותו סכין בה הצטייד מבעוד מועד</w:t>
      </w:r>
      <w:r>
        <w:rPr>
          <w:rtl w:val="true"/>
        </w:rPr>
        <w:t xml:space="preserve">. </w:t>
      </w:r>
      <w:r>
        <w:rPr>
          <w:rtl w:val="true"/>
        </w:rPr>
        <w:t>המערער פנה לאחמד ושאל אם ראה את המנוח</w:t>
      </w:r>
      <w:r>
        <w:rPr>
          <w:rtl w:val="true"/>
        </w:rPr>
        <w:t xml:space="preserve">. </w:t>
      </w:r>
      <w:r>
        <w:rPr>
          <w:rtl w:val="true"/>
        </w:rPr>
        <w:t>משאחמד השיב בשלילה</w:t>
      </w:r>
      <w:r>
        <w:rPr>
          <w:rtl w:val="true"/>
        </w:rPr>
        <w:t xml:space="preserve">, </w:t>
      </w:r>
      <w:r>
        <w:rPr>
          <w:rtl w:val="true"/>
        </w:rPr>
        <w:t>בתכוף לכך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17:05</w:t>
      </w:r>
      <w:r>
        <w:rPr>
          <w:rtl w:val="true"/>
        </w:rPr>
        <w:t xml:space="preserve">, </w:t>
      </w:r>
      <w:r>
        <w:rPr>
          <w:rtl w:val="true"/>
        </w:rPr>
        <w:t>המערער התקשר למנוח</w:t>
      </w:r>
      <w:r>
        <w:rPr>
          <w:rtl w:val="true"/>
        </w:rPr>
        <w:t xml:space="preserve">, </w:t>
      </w:r>
      <w:r>
        <w:rPr>
          <w:rtl w:val="true"/>
        </w:rPr>
        <w:t>שאל אותו למקום הימצאו והורה לו להגיע אל המספרה</w:t>
      </w:r>
      <w:r>
        <w:rPr>
          <w:rtl w:val="true"/>
        </w:rPr>
        <w:t xml:space="preserve">. </w:t>
      </w: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המערער המתין למנוח ברחוב מול דלת המספרה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בשעה </w:t>
      </w:r>
      <w:r>
        <w:rPr/>
        <w:t>17:09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בעקבות שיחתו הטלפונית עם המערער</w:t>
      </w:r>
      <w:r>
        <w:rPr>
          <w:rtl w:val="true"/>
        </w:rPr>
        <w:t xml:space="preserve">, </w:t>
      </w:r>
      <w:r>
        <w:rPr>
          <w:rtl w:val="true"/>
        </w:rPr>
        <w:t>המנוח הגיע למקום</w:t>
      </w:r>
      <w:r>
        <w:rPr>
          <w:rtl w:val="true"/>
        </w:rPr>
        <w:t xml:space="preserve">. </w:t>
      </w:r>
      <w:r>
        <w:rPr>
          <w:rtl w:val="true"/>
        </w:rPr>
        <w:t>כאשר פגש במערער התפתח שיח בין השניים ובשלב מסוים המנוח פנה לאחור על מנת לעזוב את המקום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המערער שלף את הסכין ממכנסיו ואחז בה בידו הימנית</w:t>
      </w:r>
      <w:r>
        <w:rPr>
          <w:rtl w:val="true"/>
        </w:rPr>
        <w:t xml:space="preserve">. </w:t>
      </w:r>
      <w:r>
        <w:rPr>
          <w:rtl w:val="true"/>
        </w:rPr>
        <w:t>לאחר שהמנוח הסתובב לעברו</w:t>
      </w:r>
      <w:r>
        <w:rPr>
          <w:rtl w:val="true"/>
        </w:rPr>
        <w:t xml:space="preserve">, </w:t>
      </w:r>
      <w:r>
        <w:rPr>
          <w:rtl w:val="true"/>
        </w:rPr>
        <w:t>דקר את המנוח דקירה אחת</w:t>
      </w:r>
      <w:r>
        <w:rPr>
          <w:rtl w:val="true"/>
        </w:rPr>
        <w:t xml:space="preserve">, </w:t>
      </w:r>
      <w:r>
        <w:rPr>
          <w:rtl w:val="true"/>
        </w:rPr>
        <w:t>בחזה משמאל</w:t>
      </w:r>
      <w:r>
        <w:rPr>
          <w:rtl w:val="true"/>
        </w:rPr>
        <w:t xml:space="preserve">, </w:t>
      </w:r>
      <w:r>
        <w:rPr>
          <w:rtl w:val="true"/>
        </w:rPr>
        <w:t>בכוונה להמיתו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פצע הדקירה שנגרם למנוח עבר דרך החדר השמאלי של הלב</w:t>
      </w:r>
      <w:r>
        <w:rPr>
          <w:rtl w:val="true"/>
        </w:rPr>
        <w:t xml:space="preserve">. </w:t>
      </w:r>
      <w:r>
        <w:rPr>
          <w:rtl w:val="true"/>
        </w:rPr>
        <w:t>המנוח נפל על הקרקע ומיד לאחר מכן קם על רגליו</w:t>
      </w:r>
      <w:r>
        <w:rPr>
          <w:rtl w:val="true"/>
        </w:rPr>
        <w:t xml:space="preserve">. </w:t>
      </w:r>
      <w:r>
        <w:rPr>
          <w:rtl w:val="true"/>
        </w:rPr>
        <w:t>הוא החל ללכת ברחוב</w:t>
      </w:r>
      <w:r>
        <w:rPr>
          <w:rtl w:val="true"/>
        </w:rPr>
        <w:t xml:space="preserve">, </w:t>
      </w:r>
      <w:r>
        <w:rPr>
          <w:rtl w:val="true"/>
        </w:rPr>
        <w:t>לכיוון דרום</w:t>
      </w:r>
      <w:r>
        <w:rPr>
          <w:rtl w:val="true"/>
        </w:rPr>
        <w:t xml:space="preserve">, </w:t>
      </w:r>
      <w:r>
        <w:rPr>
          <w:rtl w:val="true"/>
        </w:rPr>
        <w:t>כשהוא דקור ומדמם</w:t>
      </w:r>
      <w:r>
        <w:rPr>
          <w:rtl w:val="true"/>
        </w:rPr>
        <w:t xml:space="preserve">. </w:t>
      </w:r>
      <w:r>
        <w:rPr>
          <w:rtl w:val="true"/>
        </w:rPr>
        <w:t>המנוח נכנס למספרה סמוכה</w:t>
      </w:r>
      <w:r>
        <w:rPr>
          <w:rtl w:val="true"/>
        </w:rPr>
        <w:t xml:space="preserve">, </w:t>
      </w:r>
      <w:r>
        <w:rPr>
          <w:rtl w:val="true"/>
        </w:rPr>
        <w:t>ביקש להזמין אמבולנס ומיד לאחר מכן התמוטט על הרצפה</w:t>
      </w:r>
      <w:r>
        <w:rPr>
          <w:rtl w:val="true"/>
        </w:rPr>
        <w:t xml:space="preserve">. </w:t>
      </w:r>
      <w:r>
        <w:rPr>
          <w:rtl w:val="true"/>
        </w:rPr>
        <w:t>המנוח פונה לבית החולים וולפסון</w:t>
      </w:r>
      <w:r>
        <w:rPr>
          <w:rtl w:val="true"/>
        </w:rPr>
        <w:t xml:space="preserve">, </w:t>
      </w:r>
      <w:r>
        <w:rPr>
          <w:rtl w:val="true"/>
        </w:rPr>
        <w:t>שם נקבע מותו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שדקר את המנוח</w:t>
      </w:r>
      <w:r>
        <w:rPr>
          <w:rtl w:val="true"/>
        </w:rPr>
        <w:t xml:space="preserve">, </w:t>
      </w:r>
      <w:r>
        <w:rPr>
          <w:rtl w:val="true"/>
        </w:rPr>
        <w:t>המערער נכנס אל המספרה</w:t>
      </w:r>
      <w:r>
        <w:rPr>
          <w:rtl w:val="true"/>
        </w:rPr>
        <w:t xml:space="preserve">. </w:t>
      </w:r>
      <w:r>
        <w:rPr>
          <w:rtl w:val="true"/>
        </w:rPr>
        <w:t>כעבור מספר דקות יצא ממנה</w:t>
      </w:r>
      <w:r>
        <w:rPr>
          <w:rtl w:val="true"/>
        </w:rPr>
        <w:t xml:space="preserve">, </w:t>
      </w:r>
      <w:r>
        <w:rPr>
          <w:rtl w:val="true"/>
        </w:rPr>
        <w:t>עזב את המקום ונסע לביתו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האמור</w:t>
      </w:r>
      <w:r>
        <w:rPr>
          <w:rtl w:val="true"/>
        </w:rPr>
        <w:t xml:space="preserve">, </w:t>
      </w:r>
      <w:r>
        <w:rPr>
          <w:rtl w:val="true"/>
        </w:rPr>
        <w:t>יוחסה למערער עבירה של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הודה בעובדות כתב האישום ובכך שגרם למות המנוח</w:t>
      </w:r>
      <w:r>
        <w:rPr>
          <w:rtl w:val="true"/>
        </w:rPr>
        <w:t xml:space="preserve">. </w:t>
      </w:r>
      <w:r>
        <w:rPr>
          <w:rtl w:val="true"/>
        </w:rPr>
        <w:t>בהינתן הודאתו ביסוד העובדתי של העבירה</w:t>
      </w:r>
      <w:r>
        <w:rPr>
          <w:rtl w:val="true"/>
        </w:rPr>
        <w:t xml:space="preserve">, </w:t>
      </w:r>
      <w:r>
        <w:rPr>
          <w:rtl w:val="true"/>
        </w:rPr>
        <w:t>ראיות רבות הוגשו בהסכמה</w:t>
      </w:r>
      <w:r>
        <w:rPr>
          <w:rtl w:val="true"/>
        </w:rPr>
        <w:t xml:space="preserve">, </w:t>
      </w:r>
      <w:r>
        <w:rPr>
          <w:rtl w:val="true"/>
        </w:rPr>
        <w:t>וביניהן סרטוני מצלמות אבטחה ודיסק ערוך המבוסס על תצלומי מצלמות האבטחה שבו מתועד אירוע הדקירה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הוגשו בהסכמה אמרותיהן בחקירה של רעיית המערער </w:t>
      </w:r>
      <w:r>
        <w:rPr>
          <w:rtl w:val="true"/>
        </w:rPr>
        <w:t>–</w:t>
      </w:r>
      <w:r>
        <w:rPr>
          <w:rtl w:val="true"/>
        </w:rPr>
        <w:t xml:space="preserve"> לריסה</w:t>
      </w:r>
      <w:r>
        <w:rPr>
          <w:rtl w:val="true"/>
        </w:rPr>
        <w:t xml:space="preserve">, </w:t>
      </w:r>
      <w:r>
        <w:rPr>
          <w:rtl w:val="true"/>
        </w:rPr>
        <w:t xml:space="preserve">בתו </w:t>
      </w:r>
      <w:r>
        <w:rPr>
          <w:rtl w:val="true"/>
        </w:rPr>
        <w:t>–</w:t>
      </w:r>
      <w:r>
        <w:rPr>
          <w:rtl w:val="true"/>
        </w:rPr>
        <w:t xml:space="preserve"> אלכסנדרה</w:t>
      </w:r>
      <w:r>
        <w:rPr>
          <w:rtl w:val="true"/>
        </w:rPr>
        <w:t xml:space="preserve">; </w:t>
      </w:r>
      <w:r>
        <w:rPr>
          <w:rtl w:val="true"/>
        </w:rPr>
        <w:t>דוחות תקשורת</w:t>
      </w:r>
      <w:r>
        <w:rPr>
          <w:rtl w:val="true"/>
        </w:rPr>
        <w:t xml:space="preserve">; </w:t>
      </w:r>
      <w:r>
        <w:rPr>
          <w:rtl w:val="true"/>
        </w:rPr>
        <w:t>וראיות נוספות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המחלוקת בהליך קמא התמקדה אפוא בנסיבות שהובילו לדקירה</w:t>
      </w:r>
      <w:r>
        <w:rPr>
          <w:rtl w:val="true"/>
        </w:rPr>
        <w:t xml:space="preserve">, </w:t>
      </w:r>
      <w:r>
        <w:rPr>
          <w:rtl w:val="true"/>
        </w:rPr>
        <w:t xml:space="preserve">ביסוד הנפשי של המערער </w:t>
      </w:r>
      <w:r>
        <w:rPr>
          <w:rtl w:val="true"/>
        </w:rPr>
        <w:t>–</w:t>
      </w:r>
      <w:r>
        <w:rPr>
          <w:rtl w:val="true"/>
        </w:rPr>
        <w:t xml:space="preserve"> האם התכוון להמית את המנוח או שהיה אדיש לאפשרות זו</w:t>
      </w:r>
      <w:r>
        <w:rPr>
          <w:rtl w:val="true"/>
        </w:rPr>
        <w:t xml:space="preserve">, </w:t>
      </w:r>
      <w:r>
        <w:rPr>
          <w:rtl w:val="true"/>
        </w:rPr>
        <w:t xml:space="preserve">ובהתקיימות הנסיבה המחמירה הקבועה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שלפיה עשה כן לאחר תכנון מוקדם או הליך ממשי של שקילה וגיבוש החלטה להמית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>המערער התייצב זמן קצר לאחר שדקר למוות את המנוח בתחנת משטרה בליווי רעייתו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 xml:space="preserve">בחקירה הראשונה שנערכה לו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), </w:t>
      </w:r>
      <w:r>
        <w:rPr>
          <w:rtl w:val="true"/>
        </w:rPr>
        <w:t>מסר לשוטרים הודאה מפורטת</w:t>
      </w:r>
      <w:r>
        <w:rPr>
          <w:rtl w:val="true"/>
        </w:rPr>
        <w:t xml:space="preserve">. </w:t>
      </w:r>
      <w:r>
        <w:rPr>
          <w:rtl w:val="true"/>
        </w:rPr>
        <w:t>יש לציין כי ראיה הניצבת במרכז הטענות בערעור היא עדות רס</w:t>
      </w:r>
      <w:r>
        <w:rPr>
          <w:rtl w:val="true"/>
        </w:rPr>
        <w:t>"</w:t>
      </w:r>
      <w:r>
        <w:rPr>
          <w:rtl w:val="true"/>
        </w:rPr>
        <w:t xml:space="preserve">מ אירנה בר ניב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החוקרת</w:t>
      </w:r>
      <w:r>
        <w:rPr>
          <w:rtl w:val="true"/>
        </w:rPr>
        <w:t xml:space="preserve">), </w:t>
      </w:r>
      <w:r>
        <w:rPr>
          <w:rtl w:val="true"/>
        </w:rPr>
        <w:t>אשר ערכה מסמך המתאר את השתלשלו</w:t>
      </w:r>
      <w:r>
        <w:rPr>
          <w:rtl w:val="true"/>
        </w:rPr>
        <w:t>ת</w:t>
      </w:r>
      <w:r>
        <w:rPr>
          <w:rtl w:val="true"/>
        </w:rPr>
        <w:t xml:space="preserve"> החקירה הראשונה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בחקירה זו</w:t>
      </w:r>
      <w:r>
        <w:rPr>
          <w:rtl w:val="true"/>
        </w:rPr>
        <w:t xml:space="preserve">, </w:t>
      </w:r>
      <w:r>
        <w:rPr>
          <w:rtl w:val="true"/>
        </w:rPr>
        <w:t>אשר תועדה ברובה גם בהקלטת וידאו</w:t>
      </w:r>
      <w:r>
        <w:rPr>
          <w:rtl w:val="true"/>
        </w:rPr>
        <w:t xml:space="preserve">, </w:t>
      </w:r>
      <w:r>
        <w:rPr>
          <w:rtl w:val="true"/>
        </w:rPr>
        <w:t>המערער סיפר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רצה להמית את המנוח לאחר שהאחרון קילל אותו בשפה הרוסית</w:t>
      </w:r>
      <w:r>
        <w:rPr>
          <w:rtl w:val="true"/>
        </w:rPr>
        <w:t xml:space="preserve">; </w:t>
      </w:r>
      <w:r>
        <w:rPr>
          <w:rtl w:val="true"/>
        </w:rPr>
        <w:t>לקח מביתו סכינים על מנת לרצוח את המנוח</w:t>
      </w:r>
      <w:r>
        <w:rPr>
          <w:rtl w:val="true"/>
        </w:rPr>
        <w:t xml:space="preserve">; </w:t>
      </w:r>
      <w:r>
        <w:rPr>
          <w:rtl w:val="true"/>
        </w:rPr>
        <w:t>וכי לאחר הגעתו למספרה הזמין את המנוח לזירה שבה דקר אותו</w:t>
      </w:r>
      <w:r>
        <w:rPr>
          <w:rtl w:val="true"/>
        </w:rPr>
        <w:t xml:space="preserve">. </w:t>
      </w:r>
      <w:r>
        <w:rPr>
          <w:rtl w:val="true"/>
        </w:rPr>
        <w:t xml:space="preserve">עוד סיפר המערער כי הוא כלל אינו מצטער על מעשיו ואם תהיה לו הזדמנות לרצוח את המנוח שוב </w:t>
      </w:r>
      <w:r>
        <w:rPr>
          <w:rtl w:val="true"/>
        </w:rPr>
        <w:t>–</w:t>
      </w:r>
      <w:r>
        <w:rPr>
          <w:rtl w:val="true"/>
        </w:rPr>
        <w:t xml:space="preserve"> כך יעשה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חלק על קבילות הודאתו בחקירה הראשונה</w:t>
      </w:r>
      <w:r>
        <w:rPr>
          <w:rtl w:val="true"/>
        </w:rPr>
        <w:t xml:space="preserve">, </w:t>
      </w:r>
      <w:r>
        <w:rPr>
          <w:rtl w:val="true"/>
        </w:rPr>
        <w:t>והוסכם כי ההכרעה ביחס לקבילות אמרות המערער תינתן במסגרת הכרעת הדין ולא במשפט זוטא אשר יתנהל בנפרד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בחקירה מאוחרת יותר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11.5.2020</w:t>
      </w:r>
      <w:r>
        <w:rPr>
          <w:rtl w:val="true"/>
        </w:rPr>
        <w:t xml:space="preserve">, </w:t>
      </w:r>
      <w:r>
        <w:rPr>
          <w:rtl w:val="true"/>
        </w:rPr>
        <w:t>המערער טען כי אינו זוכר דבר מהאירוע בשל מחלת האפילפסיה ממנה הוא סובל</w:t>
      </w:r>
      <w:r>
        <w:rPr>
          <w:rtl w:val="true"/>
        </w:rPr>
        <w:t xml:space="preserve">. </w:t>
      </w:r>
      <w:r>
        <w:rPr>
          <w:rtl w:val="true"/>
        </w:rPr>
        <w:t>בחקירה נוספת</w:t>
      </w:r>
      <w:r>
        <w:rPr>
          <w:rtl w:val="true"/>
        </w:rPr>
        <w:t xml:space="preserve">, </w:t>
      </w:r>
      <w:r>
        <w:rPr>
          <w:rtl w:val="true"/>
        </w:rPr>
        <w:t xml:space="preserve">שנערכה ביום </w:t>
      </w:r>
      <w:r>
        <w:rPr/>
        <w:t>21.5.2020</w:t>
      </w:r>
      <w:r>
        <w:rPr>
          <w:rtl w:val="true"/>
        </w:rPr>
        <w:t xml:space="preserve">, </w:t>
      </w:r>
      <w:r>
        <w:rPr>
          <w:rtl w:val="true"/>
        </w:rPr>
        <w:t>השיב כי הוא שומר על זכות השתיקה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העיד להגנתו כעד יחיד</w:t>
      </w:r>
      <w:r>
        <w:rPr>
          <w:rtl w:val="true"/>
        </w:rPr>
        <w:t xml:space="preserve">. </w:t>
      </w:r>
      <w:r>
        <w:rPr>
          <w:rtl w:val="true"/>
        </w:rPr>
        <w:t>בעדותו סיפר כי יומיים עובר לאירוע התגלע בינו לבין המנוח ויכוח ביחס למחלת הקורונה</w:t>
      </w:r>
      <w:r>
        <w:rPr>
          <w:rtl w:val="true"/>
        </w:rPr>
        <w:t xml:space="preserve">, </w:t>
      </w:r>
      <w:r>
        <w:rPr>
          <w:rtl w:val="true"/>
        </w:rPr>
        <w:t>שבו המנוח כינה אותו בביטוי קשה ביותר בתרבות ובשפה הרוסית</w:t>
      </w:r>
      <w:r>
        <w:rPr>
          <w:rtl w:val="true"/>
        </w:rPr>
        <w:t xml:space="preserve">. </w:t>
      </w:r>
      <w:r>
        <w:rPr>
          <w:rtl w:val="true"/>
        </w:rPr>
        <w:t>המערער העיד כי בדרכו הביתה רכש בקבוק רום וביום האירוע נסע לאכול בביתו ושתה מחצית מבקבוק הרום שרכש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 שהאלכוהול השפיע עליו ומצבו הוקל שב לעבודה והחליט לשוחח עם המנוח כדי לסיים את הוויכוח ביניהם</w:t>
      </w:r>
      <w:r>
        <w:rPr>
          <w:rtl w:val="true"/>
        </w:rPr>
        <w:t xml:space="preserve">. </w:t>
      </w:r>
      <w:r>
        <w:rPr>
          <w:rtl w:val="true"/>
        </w:rPr>
        <w:t>הוא התקשר אל המנוח על מנת שיגיע וכך היה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התחיל לשוחח עם המנוח</w:t>
      </w:r>
      <w:r>
        <w:rPr>
          <w:rtl w:val="true"/>
        </w:rPr>
        <w:t xml:space="preserve">, </w:t>
      </w:r>
      <w:r>
        <w:rPr>
          <w:rtl w:val="true"/>
        </w:rPr>
        <w:t xml:space="preserve">אולם האחרון היה במצב רוח </w:t>
      </w:r>
      <w:r>
        <w:rPr>
          <w:rtl w:val="true"/>
        </w:rPr>
        <w:t>"</w:t>
      </w:r>
      <w:r>
        <w:rPr>
          <w:rtl w:val="true"/>
        </w:rPr>
        <w:t>תוקפני</w:t>
      </w:r>
      <w:r>
        <w:rPr>
          <w:rtl w:val="true"/>
        </w:rPr>
        <w:t xml:space="preserve">" </w:t>
      </w:r>
      <w:r>
        <w:rPr>
          <w:rtl w:val="true"/>
        </w:rPr>
        <w:t>וחזר על הדברים שאמר בוויכוח הקודם בין השניים</w:t>
      </w:r>
      <w:r>
        <w:rPr>
          <w:rtl w:val="true"/>
        </w:rPr>
        <w:t xml:space="preserve">. </w:t>
      </w:r>
      <w:r>
        <w:rPr>
          <w:rtl w:val="true"/>
        </w:rPr>
        <w:t>כאשר המנוח כבר התכוון לעזוב את המקום</w:t>
      </w:r>
      <w:r>
        <w:rPr>
          <w:rtl w:val="true"/>
        </w:rPr>
        <w:t xml:space="preserve">, </w:t>
      </w:r>
      <w:r>
        <w:rPr>
          <w:rtl w:val="true"/>
        </w:rPr>
        <w:t>המערער שלף סכין מפאוץ</w:t>
      </w:r>
      <w:r>
        <w:rPr>
          <w:rtl w:val="true"/>
        </w:rPr>
        <w:t xml:space="preserve">' </w:t>
      </w:r>
      <w:r>
        <w:rPr>
          <w:rtl w:val="true"/>
        </w:rPr>
        <w:t>שבו החזיק כלי עבודה</w:t>
      </w:r>
      <w:r>
        <w:rPr>
          <w:rtl w:val="true"/>
        </w:rPr>
        <w:t xml:space="preserve">, </w:t>
      </w:r>
      <w:r>
        <w:rPr>
          <w:rtl w:val="true"/>
        </w:rPr>
        <w:t>ודקר את המנוח באמצעותה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הוסיף וטען כי לא הביא במיוחד את הסכין מביתו וכי דקר את המנוח בהשפעת אלכוהול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הוא כלל לא זוכר את החקירה הראשונה הואיל והיה </w:t>
      </w:r>
      <w:r>
        <w:rPr>
          <w:rtl w:val="true"/>
        </w:rPr>
        <w:t>"</w:t>
      </w:r>
      <w:r>
        <w:rPr>
          <w:rtl w:val="true"/>
        </w:rPr>
        <w:t>מאוד שיכור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הרשיע את המערער במיוחס לו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תוצאה זו מתקבלת בשתי דרכים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קביעה כי אמרתו של המערער בחקירה הראשונה במשטרה קבילה</w:t>
      </w:r>
      <w:r>
        <w:rPr>
          <w:rtl w:val="true"/>
        </w:rPr>
        <w:t xml:space="preserve">, </w:t>
      </w:r>
      <w:r>
        <w:rPr>
          <w:rtl w:val="true"/>
        </w:rPr>
        <w:t xml:space="preserve">בתוספת </w:t>
      </w:r>
      <w:r>
        <w:rPr>
          <w:rtl w:val="true"/>
        </w:rPr>
        <w:t>"</w:t>
      </w:r>
      <w:r>
        <w:rPr>
          <w:rtl w:val="true"/>
        </w:rPr>
        <w:t>דבר מה</w:t>
      </w:r>
      <w:r>
        <w:rPr>
          <w:rtl w:val="true"/>
        </w:rPr>
        <w:t xml:space="preserve">" </w:t>
      </w:r>
      <w:r>
        <w:rPr>
          <w:rtl w:val="true"/>
        </w:rPr>
        <w:t>לחיזוקה</w:t>
      </w:r>
      <w:r>
        <w:rPr>
          <w:rtl w:val="true"/>
        </w:rPr>
        <w:t xml:space="preserve">, </w:t>
      </w:r>
      <w:r>
        <w:rPr>
          <w:rtl w:val="true"/>
        </w:rPr>
        <w:t>כעולה מיתר צבר הראיות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התעלמות מהודאת המערער בדבר היסוד הנפשי שבו פעל</w:t>
      </w:r>
      <w:r>
        <w:rPr>
          <w:rtl w:val="true"/>
        </w:rPr>
        <w:t xml:space="preserve">, </w:t>
      </w:r>
      <w:r>
        <w:rPr>
          <w:rtl w:val="true"/>
        </w:rPr>
        <w:t>וקביעה כי אף ללא הודאתו</w:t>
      </w:r>
      <w:r>
        <w:rPr>
          <w:rtl w:val="true"/>
        </w:rPr>
        <w:t xml:space="preserve">, </w:t>
      </w:r>
      <w:r>
        <w:rPr>
          <w:rtl w:val="true"/>
        </w:rPr>
        <w:t>דרך התנהלותו בחקירה</w:t>
      </w:r>
      <w:r>
        <w:rPr>
          <w:rtl w:val="true"/>
        </w:rPr>
        <w:t xml:space="preserve">, </w:t>
      </w:r>
      <w:r>
        <w:rPr>
          <w:rtl w:val="true"/>
        </w:rPr>
        <w:t>עדותו בבית המשפט</w:t>
      </w:r>
      <w:r>
        <w:rPr>
          <w:rtl w:val="true"/>
        </w:rPr>
        <w:t xml:space="preserve">, </w:t>
      </w:r>
      <w:r>
        <w:rPr>
          <w:rtl w:val="true"/>
        </w:rPr>
        <w:t>מעשיו עובר לדקירת המנוח ולאחריה</w:t>
      </w:r>
      <w:r>
        <w:rPr>
          <w:rtl w:val="true"/>
        </w:rPr>
        <w:t xml:space="preserve">, </w:t>
      </w:r>
      <w:r>
        <w:rPr>
          <w:rtl w:val="true"/>
        </w:rPr>
        <w:t>לצד תיעוד אירוע הדקירה וראיות נוספות</w:t>
      </w:r>
      <w:r>
        <w:rPr>
          <w:rtl w:val="true"/>
        </w:rPr>
        <w:t xml:space="preserve">, </w:t>
      </w:r>
      <w:r>
        <w:rPr>
          <w:rtl w:val="true"/>
        </w:rPr>
        <w:t>מלמדים כי התכוון להמית את המנוח לאחר ששקל ותכנן את המעשה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דחה את טענת המערער כי היה במצב של שכרות עובר לאירוע הדקירה ובמהלכו</w:t>
      </w:r>
      <w:r>
        <w:rPr>
          <w:rtl w:val="true"/>
        </w:rPr>
        <w:t xml:space="preserve">, </w:t>
      </w:r>
      <w:r>
        <w:rPr>
          <w:rtl w:val="true"/>
        </w:rPr>
        <w:t>אשר הועלתה לראשונה בתשובתו לכתב האישום</w:t>
      </w:r>
      <w:r>
        <w:rPr>
          <w:rtl w:val="true"/>
        </w:rPr>
        <w:t xml:space="preserve">. </w:t>
      </w:r>
      <w:r>
        <w:rPr>
          <w:rtl w:val="true"/>
        </w:rPr>
        <w:t>נקבע כי מדובר בטענה כבושה אשר אינה מתיישבת עם כך שרעיית המערער ואחמד לא הבחינו בהתנהגות חריגה של המערער לפני המעשה או אחריו</w:t>
      </w:r>
      <w:r>
        <w:rPr>
          <w:rtl w:val="true"/>
        </w:rPr>
        <w:t xml:space="preserve">. </w:t>
      </w:r>
      <w:r>
        <w:rPr>
          <w:rtl w:val="true"/>
        </w:rPr>
        <w:t>כן נקבע</w:t>
      </w:r>
      <w:r>
        <w:rPr>
          <w:rtl w:val="true"/>
        </w:rPr>
        <w:t xml:space="preserve">, </w:t>
      </w:r>
      <w:r>
        <w:rPr>
          <w:rtl w:val="true"/>
        </w:rPr>
        <w:t>על בסיס המבחנים בפסיקה</w:t>
      </w:r>
      <w:r>
        <w:rPr>
          <w:rtl w:val="true"/>
        </w:rPr>
        <w:t xml:space="preserve">, </w:t>
      </w:r>
      <w:r>
        <w:rPr>
          <w:rtl w:val="true"/>
        </w:rPr>
        <w:t>כי המערער לא פעל בחסות סייג השכרות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נקבע כי הטענה שהמערער עשה שימוש בסכין אשר היה עמו דרך קבע בפאוץ</w:t>
      </w:r>
      <w:r>
        <w:rPr>
          <w:rtl w:val="true"/>
        </w:rPr>
        <w:t xml:space="preserve">' </w:t>
      </w:r>
      <w:r>
        <w:rPr>
          <w:rtl w:val="true"/>
        </w:rPr>
        <w:t>שנשא לצרכי עבודה היא טענה כבושה</w:t>
      </w:r>
      <w:r>
        <w:rPr>
          <w:rtl w:val="true"/>
        </w:rPr>
        <w:t xml:space="preserve">. </w:t>
      </w:r>
      <w:r>
        <w:rPr>
          <w:rtl w:val="true"/>
        </w:rPr>
        <w:t>טענה נוספת שהעלה המערער בעדותו בבית המשפט</w:t>
      </w:r>
      <w:r>
        <w:rPr>
          <w:rtl w:val="true"/>
        </w:rPr>
        <w:t xml:space="preserve">, </w:t>
      </w:r>
      <w:r>
        <w:rPr>
          <w:rtl w:val="true"/>
        </w:rPr>
        <w:t>כי הוא זה אשר חשש מהמנוח</w:t>
      </w:r>
      <w:r>
        <w:rPr>
          <w:rtl w:val="true"/>
        </w:rPr>
        <w:t xml:space="preserve">, </w:t>
      </w:r>
      <w:r>
        <w:rPr>
          <w:rtl w:val="true"/>
        </w:rPr>
        <w:t xml:space="preserve">נמצאה אף היא כטענה כבושה וכונתה בהכרעת הדין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כזב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הוסיף והדגיש כי יתרת התנהלות המערער בחקירה ובמשפט מלמדת כי הגרסה שמסר בעדותו בבית המשפט היא שקרית</w:t>
      </w:r>
      <w:r>
        <w:rPr>
          <w:rtl w:val="true"/>
        </w:rPr>
        <w:t xml:space="preserve">, </w:t>
      </w:r>
      <w:r>
        <w:rPr>
          <w:rtl w:val="true"/>
        </w:rPr>
        <w:t>והיא תוארה כ</w:t>
      </w:r>
      <w:r>
        <w:rPr>
          <w:color w:val="000000"/>
          <w:sz w:val="27"/>
          <w:szCs w:val="27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פתלתלה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קוהרנטית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ומותאמת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להתפתחותם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color w:val="000000"/>
          <w:sz w:val="27"/>
          <w:szCs w:val="27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מאחר שמדובר בשקרים ברורים בעניינים מהותיים</w:t>
      </w:r>
      <w:r>
        <w:rPr>
          <w:rtl w:val="true"/>
        </w:rPr>
        <w:t xml:space="preserve">, </w:t>
      </w:r>
      <w:r>
        <w:rPr>
          <w:rtl w:val="true"/>
        </w:rPr>
        <w:t>נקבע כי יש להקנות להם משקל ראייתי לחובתו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בסיס קביעות אלו</w:t>
      </w:r>
      <w:r>
        <w:rPr>
          <w:rtl w:val="true"/>
        </w:rPr>
        <w:t xml:space="preserve">, </w:t>
      </w:r>
      <w:r>
        <w:rPr>
          <w:rtl w:val="true"/>
        </w:rPr>
        <w:t>בית המשפט המחוזי דחה את טענת המערער כי פעל נוכח התגרות המנוח</w:t>
      </w:r>
      <w:r>
        <w:rPr>
          <w:rtl w:val="true"/>
        </w:rPr>
        <w:t xml:space="preserve">, </w:t>
      </w:r>
      <w:r>
        <w:rPr>
          <w:rtl w:val="true"/>
        </w:rPr>
        <w:t>אשר הובילה לכך שהתקשה במידה ניכרת לשלוט בעצמו באופן הממתן את אשמתו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 xml:space="preserve">כי חלפו יומיים בין ההתגרות הנטענת </w:t>
      </w:r>
      <w:r>
        <w:rPr>
          <w:rtl w:val="true"/>
        </w:rPr>
        <w:t>–</w:t>
      </w:r>
      <w:r>
        <w:rPr>
          <w:rtl w:val="true"/>
        </w:rPr>
        <w:t xml:space="preserve"> הקללה שהמנוח הפנה כלפי המערער</w:t>
      </w:r>
      <w:r>
        <w:rPr>
          <w:rtl w:val="true"/>
        </w:rPr>
        <w:t xml:space="preserve">, </w:t>
      </w:r>
      <w:r>
        <w:rPr>
          <w:rtl w:val="true"/>
        </w:rPr>
        <w:t>לבין אירוע הדקירה</w:t>
      </w:r>
      <w:r>
        <w:rPr>
          <w:rtl w:val="true"/>
        </w:rPr>
        <w:t xml:space="preserve">, </w:t>
      </w:r>
      <w:r>
        <w:rPr>
          <w:rtl w:val="true"/>
        </w:rPr>
        <w:t>ואף לא ניתן לקבל שבשל אמרה כזו המערער התקשה מבחינה סובייקטיבית לשלוט בעצמו במידה ניכרת</w:t>
      </w:r>
      <w:r>
        <w:rPr>
          <w:rtl w:val="true"/>
        </w:rPr>
        <w:t xml:space="preserve">; </w:t>
      </w:r>
      <w:r>
        <w:rPr>
          <w:rtl w:val="true"/>
        </w:rPr>
        <w:t>ובוודאי שמבחינה אובייקטיבית עלבון זה אינו ממתן את אשמתו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הוסיף ועמד על כך שמדובר בדקירה אחת בלב המנוח</w:t>
      </w:r>
      <w:r>
        <w:rPr>
          <w:rtl w:val="true"/>
        </w:rPr>
        <w:t xml:space="preserve">, </w:t>
      </w:r>
      <w:r>
        <w:rPr>
          <w:rtl w:val="true"/>
        </w:rPr>
        <w:t>כאשר המערער הביא עמו סכין מהבית למפגש</w:t>
      </w:r>
      <w:r>
        <w:rPr>
          <w:rtl w:val="true"/>
        </w:rPr>
        <w:t xml:space="preserve">, </w:t>
      </w:r>
      <w:r>
        <w:rPr>
          <w:rtl w:val="true"/>
        </w:rPr>
        <w:t>זימן את המנוח לזירה</w:t>
      </w:r>
      <w:r>
        <w:rPr>
          <w:rtl w:val="true"/>
        </w:rPr>
        <w:t xml:space="preserve">, </w:t>
      </w:r>
      <w:r>
        <w:rPr>
          <w:rtl w:val="true"/>
        </w:rPr>
        <w:t>ולאחר שסירב להתנצל דקר אותו בליבו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הותיר את המנוח להתבוסס בדמו ונטש את המקום</w:t>
      </w:r>
      <w:r>
        <w:rPr>
          <w:rtl w:val="true"/>
        </w:rPr>
        <w:t xml:space="preserve">. </w:t>
      </w:r>
      <w:r>
        <w:rPr>
          <w:rtl w:val="true"/>
        </w:rPr>
        <w:t>עוד נקבע כי הכנת הסכין</w:t>
      </w:r>
      <w:r>
        <w:rPr>
          <w:rtl w:val="true"/>
        </w:rPr>
        <w:t xml:space="preserve">, </w:t>
      </w:r>
      <w:r>
        <w:rPr>
          <w:rtl w:val="true"/>
        </w:rPr>
        <w:t>קביעת המפגש</w:t>
      </w:r>
      <w:r>
        <w:rPr>
          <w:rtl w:val="true"/>
        </w:rPr>
        <w:t xml:space="preserve">, </w:t>
      </w:r>
      <w:r>
        <w:rPr>
          <w:rtl w:val="true"/>
        </w:rPr>
        <w:t xml:space="preserve">הדרישה להתנצלות שלא נענתה והדקירה בלב </w:t>
      </w:r>
      <w:r>
        <w:rPr>
          <w:rtl w:val="true"/>
        </w:rPr>
        <w:t>–</w:t>
      </w:r>
      <w:r>
        <w:rPr>
          <w:rtl w:val="true"/>
        </w:rPr>
        <w:t xml:space="preserve"> מוכיחים את שתי החלופות </w:t>
      </w:r>
      <w:hyperlink r:id="rId19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עד כאן ניתח בית המשפט המחוזי את הרשעת המערער בהתעלם מהודאתו בחקירה הראשונה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פנה לבחון את אמרת המערער בחקירתו הראשונה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היא לא מותירה ספק באשר להודאתו הברורה בכל יסודות העבירה המיוחסת לו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מסר כי לקח סכינים מהבית כדי </w:t>
      </w:r>
      <w:r>
        <w:rPr>
          <w:rtl w:val="true"/>
        </w:rPr>
        <w:t>"</w:t>
      </w:r>
      <w:r>
        <w:rPr>
          <w:rtl w:val="true"/>
        </w:rPr>
        <w:t>להרוג</w:t>
      </w:r>
      <w:r>
        <w:rPr>
          <w:rtl w:val="true"/>
        </w:rPr>
        <w:t xml:space="preserve">" </w:t>
      </w:r>
      <w:r>
        <w:rPr>
          <w:rtl w:val="true"/>
        </w:rPr>
        <w:t>את המנוח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כפי שעשה</w:t>
      </w:r>
      <w:r>
        <w:rPr>
          <w:rtl w:val="true"/>
        </w:rPr>
        <w:t xml:space="preserve">, </w:t>
      </w:r>
      <w:r>
        <w:rPr>
          <w:rtl w:val="true"/>
        </w:rPr>
        <w:t>הוסיף כי רצה להמית את המנוח</w:t>
      </w:r>
      <w:r>
        <w:rPr>
          <w:rtl w:val="true"/>
        </w:rPr>
        <w:t xml:space="preserve">, </w:t>
      </w:r>
      <w:r>
        <w:rPr>
          <w:rtl w:val="true"/>
        </w:rPr>
        <w:t>אינו מתחרט על מה שקרה</w:t>
      </w:r>
      <w:r>
        <w:rPr>
          <w:rtl w:val="true"/>
        </w:rPr>
        <w:t xml:space="preserve">, </w:t>
      </w:r>
      <w:r>
        <w:rPr>
          <w:rtl w:val="true"/>
        </w:rPr>
        <w:t>וכי היה הורג את המנוח פעם נוספת אם ניתן היה</w:t>
      </w:r>
      <w:r>
        <w:rPr>
          <w:rtl w:val="true"/>
        </w:rPr>
        <w:t xml:space="preserve">. </w:t>
      </w:r>
      <w:r>
        <w:rPr>
          <w:rtl w:val="true"/>
        </w:rPr>
        <w:t>נקבע כי משקלה הפנימי של הודאה זו הוא גבוה</w:t>
      </w:r>
      <w:r>
        <w:rPr>
          <w:rtl w:val="true"/>
        </w:rPr>
        <w:t xml:space="preserve">, </w:t>
      </w:r>
      <w:r>
        <w:rPr>
          <w:rtl w:val="true"/>
        </w:rPr>
        <w:t>היות שהאמור מתיישב לחלוטין עם הנצפה בסרטון האירוע</w:t>
      </w:r>
      <w:r>
        <w:rPr>
          <w:rtl w:val="true"/>
        </w:rPr>
        <w:t xml:space="preserve">, </w:t>
      </w:r>
      <w:r>
        <w:rPr>
          <w:rtl w:val="true"/>
        </w:rPr>
        <w:t>עם עדויות אחמד</w:t>
      </w:r>
      <w:r>
        <w:rPr>
          <w:rtl w:val="true"/>
        </w:rPr>
        <w:t xml:space="preserve">, </w:t>
      </w:r>
      <w:r>
        <w:rPr>
          <w:rtl w:val="true"/>
        </w:rPr>
        <w:t>רעייתו ובתו של המערער</w:t>
      </w:r>
      <w:r>
        <w:rPr>
          <w:rtl w:val="true"/>
        </w:rPr>
        <w:t xml:space="preserve">, </w:t>
      </w:r>
      <w:r>
        <w:rPr>
          <w:rtl w:val="true"/>
        </w:rPr>
        <w:t>וכן עם ראיות נוספות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כי ההודאה גם עומדת במבחני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לפגמים הנטענים בחקירה הראשונה </w:t>
      </w:r>
      <w:r>
        <w:rPr>
          <w:rtl w:val="true"/>
        </w:rPr>
        <w:t>–</w:t>
      </w:r>
      <w:r>
        <w:rPr>
          <w:rtl w:val="true"/>
        </w:rPr>
        <w:t xml:space="preserve"> נקבע כי אכן נפלו פגמים באופן שבו החוקרת והקצין רוטמן אמרו למערער כי זכותו להיוועץ עם סנגור או לחלופין סנגור ציבורי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הייצוג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 xml:space="preserve">"; </w:t>
      </w:r>
      <w:r>
        <w:rPr>
          <w:rtl w:val="true"/>
        </w:rPr>
        <w:t>וראוי היה שכל ההליך של גביית אמרת המערער היה מוקלט</w:t>
      </w:r>
      <w:r>
        <w:rPr>
          <w:rtl w:val="true"/>
        </w:rPr>
        <w:t xml:space="preserve">, </w:t>
      </w:r>
      <w:r>
        <w:rPr>
          <w:rtl w:val="true"/>
        </w:rPr>
        <w:t>ובפרט אזהרתו הראשונה על ידי החוקרת</w:t>
      </w:r>
      <w:r>
        <w:rPr>
          <w:rtl w:val="true"/>
        </w:rPr>
        <w:t xml:space="preserve">. </w:t>
      </w:r>
      <w:r>
        <w:rPr>
          <w:rtl w:val="true"/>
        </w:rPr>
        <w:t>לכך הוסיף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שנתתי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זכויותיו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בפנינו</w:t>
      </w:r>
      <w:r>
        <w:rPr>
          <w:rtl w:val="true"/>
        </w:rPr>
        <w:t xml:space="preserve">". </w:t>
      </w:r>
      <w:r>
        <w:rPr>
          <w:rtl w:val="true"/>
        </w:rPr>
        <w:t>לצד זאת הובהר</w:t>
      </w:r>
      <w:r>
        <w:rPr>
          <w:rtl w:val="true"/>
        </w:rPr>
        <w:t xml:space="preserve">, </w:t>
      </w:r>
      <w:r>
        <w:rPr>
          <w:rtl w:val="true"/>
        </w:rPr>
        <w:t>כי הראיות מלמדות שהמערער היה מודע לזכותו לייצוג</w:t>
      </w:r>
      <w:r>
        <w:rPr>
          <w:rtl w:val="true"/>
        </w:rPr>
        <w:t xml:space="preserve">.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נקבע כי אמרת המערער בחקירתו הראשונה במשטרה קבילה כראיה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במיוחס לו </w:t>
      </w:r>
      <w:r>
        <w:rPr>
          <w:rtl w:val="true"/>
        </w:rPr>
        <w:t>–</w:t>
      </w:r>
      <w:r>
        <w:rPr>
          <w:rtl w:val="true"/>
        </w:rPr>
        <w:t xml:space="preserve"> 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נוכח הרשעתו בעבירה זו</w:t>
      </w:r>
      <w:r>
        <w:rPr>
          <w:rtl w:val="true"/>
        </w:rPr>
        <w:t xml:space="preserve">, </w:t>
      </w:r>
      <w:r>
        <w:rPr>
          <w:rtl w:val="true"/>
        </w:rPr>
        <w:t>אשר בצדה עונש מאסר עולם חובה</w:t>
      </w:r>
      <w:r>
        <w:rPr>
          <w:rtl w:val="true"/>
        </w:rPr>
        <w:t xml:space="preserve">, </w:t>
      </w:r>
      <w:r>
        <w:rPr>
          <w:rtl w:val="true"/>
        </w:rPr>
        <w:t>הטיל בית המשפט המחוזי עונש זה על המערער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בהתחשב בעמדת משפחת המנוח</w:t>
      </w:r>
      <w:r>
        <w:rPr>
          <w:rtl w:val="true"/>
        </w:rPr>
        <w:t xml:space="preserve">, </w:t>
      </w:r>
      <w:r>
        <w:rPr>
          <w:rtl w:val="true"/>
        </w:rPr>
        <w:t>שלפיה אין בכוונתה לבקש פיצוי על מות המנוח היות שפיצוי זה יוטל למעשה על משפחת המערער</w:t>
      </w:r>
      <w:r>
        <w:rPr>
          <w:rtl w:val="true"/>
        </w:rPr>
        <w:t xml:space="preserve">, </w:t>
      </w:r>
      <w:r>
        <w:rPr>
          <w:rtl w:val="true"/>
        </w:rPr>
        <w:t>נמנע בית המשפט המחוזי מלחייב את המערער בתשלום פיצוי כספי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באי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הם אינם חולקים על קביעה עובדתית כלשהי של בית המשפט המחוזי המבוססת על התרשמותו הבלתי</w:t>
      </w:r>
      <w:r>
        <w:rPr>
          <w:rtl w:val="true"/>
        </w:rPr>
        <w:t>-</w:t>
      </w:r>
      <w:r>
        <w:rPr>
          <w:rtl w:val="true"/>
        </w:rPr>
        <w:t>אמצעית מהעדים שנשמעו לפניו</w:t>
      </w:r>
      <w:r>
        <w:rPr>
          <w:rtl w:val="true"/>
        </w:rPr>
        <w:t xml:space="preserve">. </w:t>
      </w:r>
      <w:r>
        <w:rPr>
          <w:rtl w:val="true"/>
        </w:rPr>
        <w:t>בערעור מוצגות שתי מחלוקות עובדתיות משמעותיות שבהן נטען כי בית המשפט המחוזי שגה</w:t>
      </w:r>
      <w:r>
        <w:rPr>
          <w:rtl w:val="true"/>
        </w:rPr>
        <w:t xml:space="preserve">: </w:t>
      </w:r>
      <w:r>
        <w:rPr>
          <w:rtl w:val="true"/>
        </w:rPr>
        <w:t xml:space="preserve">הראשונה </w:t>
      </w:r>
      <w:r>
        <w:rPr>
          <w:rtl w:val="true"/>
        </w:rPr>
        <w:t>–</w:t>
      </w:r>
      <w:r>
        <w:rPr>
          <w:rtl w:val="true"/>
        </w:rPr>
        <w:t xml:space="preserve"> אם המערער היה שיכור בעת חקירתו הראשונה במשטרה</w:t>
      </w:r>
      <w:r>
        <w:rPr>
          <w:rtl w:val="true"/>
        </w:rPr>
        <w:t xml:space="preserve">; </w:t>
      </w:r>
      <w:r>
        <w:rPr>
          <w:rtl w:val="true"/>
        </w:rPr>
        <w:t xml:space="preserve">השנייה </w:t>
      </w:r>
      <w:r>
        <w:rPr>
          <w:rtl w:val="true"/>
        </w:rPr>
        <w:t>–</w:t>
      </w:r>
      <w:r>
        <w:rPr>
          <w:rtl w:val="true"/>
        </w:rPr>
        <w:t xml:space="preserve"> אם אכן הוסברו למערער זכויותיו בדקות שבהן החקירה לא תועדה בווידאו</w:t>
      </w:r>
      <w:r>
        <w:rPr>
          <w:rtl w:val="true"/>
        </w:rPr>
        <w:t>-</w:t>
      </w:r>
      <w:r>
        <w:rPr>
          <w:rtl w:val="true"/>
        </w:rPr>
        <w:t>אודיו</w:t>
      </w:r>
      <w:r>
        <w:rPr>
          <w:rtl w:val="true"/>
        </w:rPr>
        <w:t xml:space="preserve">. </w:t>
      </w:r>
      <w:r>
        <w:rPr>
          <w:rtl w:val="true"/>
        </w:rPr>
        <w:t>בהתבסס על סוגיות אלו</w:t>
      </w:r>
      <w:r>
        <w:rPr>
          <w:rtl w:val="true"/>
        </w:rPr>
        <w:t xml:space="preserve">, </w:t>
      </w:r>
      <w:r>
        <w:rPr>
          <w:rtl w:val="true"/>
        </w:rPr>
        <w:t>המשליכות על קבילות הודאת המערער בחקירה הראשונה ומשקלה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ישנן שתי תזות חלופיות שבהן בית המשפט נדרש להכריע </w:t>
      </w:r>
      <w:r>
        <w:rPr>
          <w:rtl w:val="true"/>
        </w:rPr>
        <w:t>–</w:t>
      </w:r>
      <w:r>
        <w:rPr>
          <w:rtl w:val="true"/>
        </w:rPr>
        <w:t xml:space="preserve"> האם המערער היה נתון בסערת רגשות במהלך הוויכוח עם המנוח</w:t>
      </w:r>
      <w:r>
        <w:rPr>
          <w:rtl w:val="true"/>
        </w:rPr>
        <w:t xml:space="preserve">, </w:t>
      </w:r>
      <w:r>
        <w:rPr>
          <w:rtl w:val="true"/>
        </w:rPr>
        <w:t>שבעקבותיה קיבל החלטה ספונטנית לדקור את המנוח</w:t>
      </w:r>
      <w:r>
        <w:rPr>
          <w:rtl w:val="true"/>
        </w:rPr>
        <w:t xml:space="preserve">; </w:t>
      </w:r>
      <w:r>
        <w:rPr>
          <w:rtl w:val="true"/>
        </w:rPr>
        <w:t>או שמדובר היה ב</w:t>
      </w:r>
      <w:r>
        <w:rPr>
          <w:rtl w:val="true"/>
        </w:rPr>
        <w:t>"</w:t>
      </w:r>
      <w:r>
        <w:rPr>
          <w:rtl w:val="true"/>
        </w:rPr>
        <w:t>רצח בדם קר</w:t>
      </w:r>
      <w:r>
        <w:rPr>
          <w:rtl w:val="true"/>
        </w:rPr>
        <w:t xml:space="preserve">" </w:t>
      </w:r>
      <w:r>
        <w:rPr>
          <w:rtl w:val="true"/>
        </w:rPr>
        <w:t>לאחר שקילת מעשה ההמתה משך יומיים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המערער הפנו לתיעוד החקירה הראשונה במשטרה</w:t>
      </w:r>
      <w:r>
        <w:rPr>
          <w:rtl w:val="true"/>
        </w:rPr>
        <w:t xml:space="preserve">, </w:t>
      </w:r>
      <w:r>
        <w:rPr>
          <w:rtl w:val="true"/>
        </w:rPr>
        <w:t>בווידאו ובאודיו</w:t>
      </w:r>
      <w:r>
        <w:rPr>
          <w:rtl w:val="true"/>
        </w:rPr>
        <w:t xml:space="preserve">, </w:t>
      </w:r>
      <w:r>
        <w:rPr>
          <w:rtl w:val="true"/>
        </w:rPr>
        <w:t>ובפרט לעותק התיעוד שהוגש בערעור</w:t>
      </w:r>
      <w:r>
        <w:rPr>
          <w:rtl w:val="true"/>
        </w:rPr>
        <w:t xml:space="preserve">, </w:t>
      </w:r>
      <w:r>
        <w:rPr>
          <w:rtl w:val="true"/>
        </w:rPr>
        <w:t>ללא התנגדות המדינה</w:t>
      </w:r>
      <w:r>
        <w:rPr>
          <w:rtl w:val="true"/>
        </w:rPr>
        <w:t xml:space="preserve">, </w:t>
      </w:r>
      <w:r>
        <w:rPr>
          <w:rtl w:val="true"/>
        </w:rPr>
        <w:t>הכולל כתוביות</w:t>
      </w:r>
      <w:r>
        <w:rPr>
          <w:rtl w:val="true"/>
        </w:rPr>
        <w:t xml:space="preserve">. </w:t>
      </w:r>
      <w:r>
        <w:rPr>
          <w:rtl w:val="true"/>
        </w:rPr>
        <w:t>תיעוד זה מלמד</w:t>
      </w:r>
      <w:r>
        <w:rPr>
          <w:rtl w:val="true"/>
        </w:rPr>
        <w:t xml:space="preserve">, </w:t>
      </w:r>
      <w:r>
        <w:rPr>
          <w:rtl w:val="true"/>
        </w:rPr>
        <w:t>לשיטת באי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הוא היה </w:t>
      </w:r>
      <w:r>
        <w:rPr>
          <w:rtl w:val="true"/>
        </w:rPr>
        <w:t>"</w:t>
      </w:r>
      <w:r>
        <w:rPr>
          <w:rtl w:val="true"/>
        </w:rPr>
        <w:t>שיכור כלוט</w:t>
      </w:r>
      <w:r>
        <w:rPr>
          <w:rtl w:val="true"/>
        </w:rPr>
        <w:t xml:space="preserve">" </w:t>
      </w:r>
      <w:r>
        <w:rPr>
          <w:rtl w:val="true"/>
        </w:rPr>
        <w:t>בעת החקירה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בית המשפט המחוזי אף לא הפריד כנדרש בין שאלת שכרותו של המערער לפני מעשה ההמתה</w:t>
      </w:r>
      <w:r>
        <w:rPr>
          <w:rtl w:val="true"/>
        </w:rPr>
        <w:t xml:space="preserve">, </w:t>
      </w:r>
      <w:r>
        <w:rPr>
          <w:rtl w:val="true"/>
        </w:rPr>
        <w:t>לבין שכרותו לאחר מעשה ההמתה</w:t>
      </w:r>
      <w:r>
        <w:rPr>
          <w:rtl w:val="true"/>
        </w:rPr>
        <w:t xml:space="preserve">, </w:t>
      </w:r>
      <w:r>
        <w:rPr>
          <w:rtl w:val="true"/>
        </w:rPr>
        <w:t>עובר לחקירתו במשטרה ובמהלכה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גם בשלב הלא מתועד של החקירה</w:t>
      </w:r>
      <w:r>
        <w:rPr>
          <w:rtl w:val="true"/>
        </w:rPr>
        <w:t xml:space="preserve">, </w:t>
      </w:r>
      <w:r>
        <w:rPr>
          <w:rtl w:val="true"/>
        </w:rPr>
        <w:t>הסברת הזכויות למערער הייתה לקויה מאחר שלא הוסברה למערער זכותו להיוועץ בסנגור ציבורי ולא התקבל ויתור מדעת על זכות ההיוועצות</w:t>
      </w:r>
      <w:r>
        <w:rPr>
          <w:rtl w:val="true"/>
        </w:rPr>
        <w:t xml:space="preserve">. </w:t>
      </w:r>
      <w:r>
        <w:rPr>
          <w:rtl w:val="true"/>
        </w:rPr>
        <w:t>לטענת באי</w:t>
      </w:r>
      <w:r>
        <w:rPr>
          <w:rtl w:val="true"/>
        </w:rPr>
        <w:t>-</w:t>
      </w:r>
      <w:r>
        <w:rPr>
          <w:rtl w:val="true"/>
        </w:rPr>
        <w:t>כוח המערער כלל לא ברור אם הוסבר לו במה הוא נחשד</w:t>
      </w:r>
      <w:r>
        <w:rPr>
          <w:rtl w:val="true"/>
        </w:rPr>
        <w:t xml:space="preserve">, </w:t>
      </w:r>
      <w:r>
        <w:rPr>
          <w:rtl w:val="true"/>
        </w:rPr>
        <w:t>אם נאמר לו שהדברים שימסור עלולים לשמש נגדו ואם נאמר לו שיש לו זכות להימנע מהפללה עצמית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נטען כי תיעוד החקירה מלמד שקיימים </w:t>
      </w:r>
      <w:r>
        <w:rPr>
          <w:rtl w:val="true"/>
        </w:rPr>
        <w:t>"</w:t>
      </w:r>
      <w:r>
        <w:rPr>
          <w:rtl w:val="true"/>
        </w:rPr>
        <w:t>פערים עצומים</w:t>
      </w:r>
      <w:r>
        <w:rPr>
          <w:rtl w:val="true"/>
        </w:rPr>
        <w:t xml:space="preserve">" </w:t>
      </w:r>
      <w:r>
        <w:rPr>
          <w:rtl w:val="true"/>
        </w:rPr>
        <w:t>בין האופן בו תועדה החקירה בכתב לבין התנהלותה בפועל</w:t>
      </w:r>
      <w:r>
        <w:rPr>
          <w:rtl w:val="true"/>
        </w:rPr>
        <w:t xml:space="preserve">, </w:t>
      </w:r>
      <w:r>
        <w:rPr>
          <w:rtl w:val="true"/>
        </w:rPr>
        <w:t>כך שלא ניתן להניח שדווקא בשלב שלא תועד הווידאו נשמרו זכויותיו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המערער הוסיפו ופירטו בדבר הפגמים שנפלו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בחקירה הראשונה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נטען כי אף על פי שהחוקרת שמעה את המערער אומר לרעייתו בשלב מסוים שהוא מעוניין להיוועץ בעורך דין היא לא הפסיקה את החקירה על מנת לאפשר לו לממש את זכותו</w:t>
      </w:r>
      <w:r>
        <w:rPr>
          <w:rtl w:val="true"/>
        </w:rPr>
        <w:t xml:space="preserve">, </w:t>
      </w:r>
      <w:r>
        <w:rPr>
          <w:rtl w:val="true"/>
        </w:rPr>
        <w:t>אלא ביקשה מהקצין רוטמן להוציא אותה מהחדר</w:t>
      </w:r>
      <w:r>
        <w:rPr>
          <w:rtl w:val="true"/>
        </w:rPr>
        <w:t xml:space="preserve">. </w:t>
      </w: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כאשר החוקרת התבקשה על ידי מפקדיה להזהיר את המערער כנדרש</w:t>
      </w:r>
      <w:r>
        <w:rPr>
          <w:rtl w:val="true"/>
        </w:rPr>
        <w:t xml:space="preserve">, </w:t>
      </w:r>
      <w:r>
        <w:rPr>
          <w:rtl w:val="true"/>
        </w:rPr>
        <w:t>היא לא עשתה כן</w:t>
      </w:r>
      <w:r>
        <w:rPr>
          <w:rtl w:val="true"/>
        </w:rPr>
        <w:t xml:space="preserve">, </w:t>
      </w:r>
      <w:r>
        <w:rPr>
          <w:rtl w:val="true"/>
        </w:rPr>
        <w:t>אלא רק כחצי שעה לאחר תחילת החקירה</w:t>
      </w:r>
      <w:r>
        <w:rPr>
          <w:rtl w:val="true"/>
        </w:rPr>
        <w:t xml:space="preserve">, </w:t>
      </w:r>
      <w:r>
        <w:rPr>
          <w:rtl w:val="true"/>
        </w:rPr>
        <w:t>משמפקדיה ביקשו ממנה זאת בשלישית</w:t>
      </w:r>
      <w:r>
        <w:rPr>
          <w:rtl w:val="true"/>
        </w:rPr>
        <w:t xml:space="preserve">. </w:t>
      </w:r>
      <w:r>
        <w:rPr>
          <w:rtl w:val="true"/>
        </w:rPr>
        <w:t>גם לאחר שהוזמנה למערער סנגורית מהסנגוריה הציבורית</w:t>
      </w:r>
      <w:r>
        <w:rPr>
          <w:rtl w:val="true"/>
        </w:rPr>
        <w:t xml:space="preserve">, </w:t>
      </w:r>
      <w:r>
        <w:rPr>
          <w:rtl w:val="true"/>
        </w:rPr>
        <w:t>חקירתו נמשכה מבלי להמתין להגעתה לתחנה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המערער משיגים על קביעות בית המשפט המחוזי בהקשר זה</w:t>
      </w:r>
      <w:r>
        <w:rPr>
          <w:rtl w:val="true"/>
        </w:rPr>
        <w:t xml:space="preserve">, </w:t>
      </w:r>
      <w:r>
        <w:rPr>
          <w:rtl w:val="true"/>
        </w:rPr>
        <w:t>כאשר לטענתם הוא התייחס להפרת זכויותיו של המערער באופן כללי בלבד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נטען כי יש לקבוע כי הודאת המערער בחקירה הראשונה אינה קבילה ופסולה מלשמש כראיה נגדו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56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נטען כי גם אם תידחה טענה זו</w:t>
      </w:r>
      <w:r>
        <w:rPr>
          <w:rtl w:val="true"/>
        </w:rPr>
        <w:t xml:space="preserve">, </w:t>
      </w:r>
      <w:r>
        <w:rPr>
          <w:rtl w:val="true"/>
        </w:rPr>
        <w:t>יש לייחס להודאת המערער ביחס ליסוד הנפשי שנלווה למעשיו משקל אפסי בלבד</w:t>
      </w:r>
      <w:r>
        <w:rPr>
          <w:rtl w:val="true"/>
        </w:rPr>
        <w:t xml:space="preserve">, </w:t>
      </w:r>
      <w:r>
        <w:rPr>
          <w:rtl w:val="true"/>
        </w:rPr>
        <w:t>בשים לב לפגיעה בזכויותיו</w:t>
      </w:r>
      <w:r>
        <w:rPr>
          <w:rtl w:val="true"/>
        </w:rPr>
        <w:t xml:space="preserve">; </w:t>
      </w:r>
      <w:r>
        <w:rPr>
          <w:rtl w:val="true"/>
        </w:rPr>
        <w:t>להיותו שיכור ונתון בסערת רגשות במהלך החקירה</w:t>
      </w:r>
      <w:r>
        <w:rPr>
          <w:rtl w:val="true"/>
        </w:rPr>
        <w:t xml:space="preserve">; </w:t>
      </w:r>
      <w:r>
        <w:rPr>
          <w:rtl w:val="true"/>
        </w:rPr>
        <w:t>ולהיעדר ההתאמה בין הודאתו ל</w:t>
      </w:r>
      <w:r>
        <w:rPr>
          <w:rtl w:val="true"/>
        </w:rPr>
        <w:t>"</w:t>
      </w:r>
      <w:r>
        <w:rPr>
          <w:rtl w:val="true"/>
        </w:rPr>
        <w:t>עולם האמת</w:t>
      </w:r>
      <w:r>
        <w:rPr>
          <w:rtl w:val="true"/>
        </w:rPr>
        <w:t xml:space="preserve">" </w:t>
      </w:r>
      <w:r>
        <w:rPr>
          <w:rtl w:val="true"/>
        </w:rPr>
        <w:t>כלשון 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בגדר זאת</w:t>
      </w:r>
      <w:r>
        <w:rPr>
          <w:rtl w:val="true"/>
        </w:rPr>
        <w:t xml:space="preserve">, </w:t>
      </w:r>
      <w:r>
        <w:rPr>
          <w:rtl w:val="true"/>
        </w:rPr>
        <w:t xml:space="preserve">נטען לסתירות בתוכן הודאתו וגם לקיומו של </w:t>
      </w:r>
      <w:r>
        <w:rPr>
          <w:rtl w:val="true"/>
        </w:rPr>
        <w:t>"</w:t>
      </w:r>
      <w:r>
        <w:rPr>
          <w:rtl w:val="true"/>
        </w:rPr>
        <w:t>דבר מה חסר</w:t>
      </w:r>
      <w:r>
        <w:rPr>
          <w:rtl w:val="true"/>
        </w:rPr>
        <w:t xml:space="preserve">"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אשר לא נבעו מניסיון מכוון של המערער לשקר לחוקריו</w:t>
      </w:r>
      <w:r>
        <w:rPr>
          <w:rtl w:val="true"/>
        </w:rPr>
        <w:t xml:space="preserve">, </w:t>
      </w:r>
      <w:r>
        <w:rPr>
          <w:rtl w:val="true"/>
        </w:rPr>
        <w:t>אלא משכרותו וסערת הרגשות שבה היה נתון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נטען כי חומר הראיות החיצוני להודאה מלמד אף הוא כי מדובר במעשה המתה בלתי מתוכנן</w:t>
      </w:r>
      <w:r>
        <w:rPr>
          <w:rtl w:val="true"/>
        </w:rPr>
        <w:t xml:space="preserve">, </w:t>
      </w:r>
      <w:r>
        <w:rPr>
          <w:rtl w:val="true"/>
        </w:rPr>
        <w:t>אשר בוצע ביסוד נפשי של אדישות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נדרש היה לקבוע מבחינה עובדתית כי ה</w:t>
      </w:r>
      <w:r>
        <w:rPr>
          <w:rtl w:val="true"/>
        </w:rPr>
        <w:t>"</w:t>
      </w:r>
      <w:r>
        <w:rPr>
          <w:rtl w:val="true"/>
        </w:rPr>
        <w:t>טריגר</w:t>
      </w:r>
      <w:r>
        <w:rPr>
          <w:rtl w:val="true"/>
        </w:rPr>
        <w:t xml:space="preserve">" </w:t>
      </w:r>
      <w:r>
        <w:rPr>
          <w:rtl w:val="true"/>
        </w:rPr>
        <w:t>לדקירה היה שילוב של היעדר התנצלות המנוח ביחס לדבריו הקודמים וחזרתו עליהם במסגרת הוויכוח שקדם לדקירה</w:t>
      </w:r>
      <w:r>
        <w:rPr>
          <w:rtl w:val="true"/>
        </w:rPr>
        <w:t xml:space="preserve">. </w:t>
      </w: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>שתיית אלכוהול עובר לאירוע היא שהובילה להתרופפות מנגנוני השליטה העצמית של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משיגים באי</w:t>
      </w:r>
      <w:r>
        <w:rPr>
          <w:rtl w:val="true"/>
        </w:rPr>
        <w:t>-</w:t>
      </w:r>
      <w:r>
        <w:rPr>
          <w:rtl w:val="true"/>
        </w:rPr>
        <w:t>כוח המערער על קביעתו העובדתית של בית המשפט המחוזי כי המערער הביא עמו מביתו את הסכין שבאמצעותה דקר את המנוח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הסיק זאת מחקירת המערער בלבד</w:t>
      </w:r>
      <w:r>
        <w:rPr>
          <w:rtl w:val="true"/>
        </w:rPr>
        <w:t xml:space="preserve">, </w:t>
      </w:r>
      <w:r>
        <w:rPr>
          <w:rtl w:val="true"/>
        </w:rPr>
        <w:t>ובהתעלם ממנה לא ניתן לקבוע מעבר לספק סביר ממצא ביחס לשאלה מתי בדיוק בחר להצטייד בסכין</w:t>
      </w:r>
      <w:r>
        <w:rPr>
          <w:rtl w:val="true"/>
        </w:rPr>
        <w:t xml:space="preserve">. </w:t>
      </w:r>
      <w:r>
        <w:rPr>
          <w:rtl w:val="true"/>
        </w:rPr>
        <w:t>טענה נוספת אשר הועלתה היא כי נדרש היה לקבוע כממצא עובדתי שקיימת אפשרות שהדקירה כוונה לכתפו של המנוח</w:t>
      </w:r>
      <w:r>
        <w:rPr>
          <w:rtl w:val="true"/>
        </w:rPr>
        <w:t xml:space="preserve">, </w:t>
      </w:r>
      <w:r>
        <w:rPr>
          <w:rtl w:val="true"/>
        </w:rPr>
        <w:t>ולא למקום בו פגעה</w:t>
      </w:r>
      <w:r>
        <w:rPr>
          <w:rtl w:val="true"/>
        </w:rPr>
        <w:t xml:space="preserve">, </w:t>
      </w:r>
      <w:r>
        <w:rPr>
          <w:rtl w:val="true"/>
        </w:rPr>
        <w:t>בהינתן שבזמן הדקירה השניים היו בתנועה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המערער מוסיפים כי גם אם תדחנה כל הטענות העובדתיות המועלות בערעור</w:t>
      </w:r>
      <w:r>
        <w:rPr>
          <w:rtl w:val="true"/>
        </w:rPr>
        <w:t xml:space="preserve">, </w:t>
      </w:r>
      <w:r>
        <w:rPr>
          <w:rtl w:val="true"/>
        </w:rPr>
        <w:t>הרי שנוכח השתלשלו</w:t>
      </w:r>
      <w:r>
        <w:rPr>
          <w:rtl w:val="true"/>
        </w:rPr>
        <w:t>ת</w:t>
      </w:r>
      <w:r>
        <w:rPr>
          <w:rtl w:val="true"/>
        </w:rPr>
        <w:t xml:space="preserve"> העניינים שלאחר הדקירה</w:t>
      </w:r>
      <w:r>
        <w:rPr>
          <w:rtl w:val="true"/>
        </w:rPr>
        <w:t xml:space="preserve">, </w:t>
      </w:r>
      <w:r>
        <w:rPr>
          <w:rtl w:val="true"/>
        </w:rPr>
        <w:t>שבה המערער נותר במקומו והביט במנוח מתרחק מהמקום</w:t>
      </w:r>
      <w:r>
        <w:rPr>
          <w:rtl w:val="true"/>
        </w:rPr>
        <w:t xml:space="preserve">, </w:t>
      </w:r>
      <w:r>
        <w:rPr>
          <w:rtl w:val="true"/>
        </w:rPr>
        <w:t>נשללת ונסתרת חזקת הכוונה</w:t>
      </w:r>
      <w:r>
        <w:rPr>
          <w:rtl w:val="true"/>
        </w:rPr>
        <w:t xml:space="preserve">.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 xml:space="preserve">הסמיכות שבין מקום הדקירה בפועל </w:t>
      </w:r>
      <w:r>
        <w:rPr>
          <w:rtl w:val="true"/>
        </w:rPr>
        <w:t>–</w:t>
      </w:r>
      <w:r>
        <w:rPr>
          <w:rtl w:val="true"/>
        </w:rPr>
        <w:t xml:space="preserve"> חלקו העליון של החזה</w:t>
      </w:r>
      <w:r>
        <w:rPr>
          <w:rtl w:val="true"/>
        </w:rPr>
        <w:t xml:space="preserve">, </w:t>
      </w:r>
      <w:r>
        <w:rPr>
          <w:rtl w:val="true"/>
        </w:rPr>
        <w:t>לבין הכתף</w:t>
      </w:r>
      <w:r>
        <w:rPr>
          <w:rtl w:val="true"/>
        </w:rPr>
        <w:t xml:space="preserve">, </w:t>
      </w:r>
      <w:r>
        <w:rPr>
          <w:rtl w:val="true"/>
        </w:rPr>
        <w:t>מחייבת אף היא זהירות משימוש בחזקת הכוונה</w:t>
      </w:r>
      <w:r>
        <w:rPr>
          <w:rtl w:val="true"/>
        </w:rPr>
        <w:t xml:space="preserve">. </w:t>
      </w:r>
      <w:r>
        <w:rPr>
          <w:rtl w:val="true"/>
        </w:rPr>
        <w:t>בנוסף הועלתה טענה חלופית כי הפרת הזכויות בחקירתו הראשונה של המערער מקימה לו סעד מכוח דוקטרינת הגנה מן הצדק</w:t>
      </w:r>
      <w:r>
        <w:rPr>
          <w:rtl w:val="true"/>
        </w:rPr>
        <w:t xml:space="preserve">. </w:t>
      </w:r>
      <w:r>
        <w:rPr>
          <w:rtl w:val="true"/>
        </w:rPr>
        <w:t>יש לציין כי במסגרת הדיון בערעור באי</w:t>
      </w:r>
      <w:r>
        <w:rPr>
          <w:rtl w:val="true"/>
        </w:rPr>
        <w:t>-</w:t>
      </w:r>
      <w:r>
        <w:rPr>
          <w:rtl w:val="true"/>
        </w:rPr>
        <w:t>כוח המערער חזרו בהם מהטענות בדבר תחולת סייג השכרות וקיומה של התגרות בממד האובייקטיבי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בעוד באי</w:t>
      </w:r>
      <w:r>
        <w:rPr>
          <w:rtl w:val="true"/>
        </w:rPr>
        <w:t>-</w:t>
      </w:r>
      <w:r>
        <w:rPr>
          <w:rtl w:val="true"/>
        </w:rPr>
        <w:t>כוח המערער טוענים כי הם אינם מבקשים מבית משפט זה להתערב בממצאי מהימנות</w:t>
      </w:r>
      <w:r>
        <w:rPr>
          <w:rtl w:val="true"/>
        </w:rPr>
        <w:t xml:space="preserve">, </w:t>
      </w:r>
      <w:r>
        <w:rPr>
          <w:rtl w:val="true"/>
        </w:rPr>
        <w:t>בפועל הם מבקשים לעשות כן</w:t>
      </w:r>
      <w:r>
        <w:rPr>
          <w:rtl w:val="true"/>
        </w:rPr>
        <w:t xml:space="preserve">.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אין הצדקה בהליך זה לסטות מהכלל שלפיו ערכאת הערעור תמעט להתערב בממצאי הערכאה הדיונית המבוססים על התרשמותה הבלתי אמצעית מהעדים שהעידו לפניה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נתן אמון בדבריי המערער אשר שינה את גרסאותיו</w:t>
      </w:r>
      <w:r>
        <w:rPr>
          <w:rtl w:val="true"/>
        </w:rPr>
        <w:t xml:space="preserve">, </w:t>
      </w:r>
      <w:r>
        <w:rPr>
          <w:rtl w:val="true"/>
        </w:rPr>
        <w:t>ולא בכדי גרסתו תוארה כפתלתלה כבושה ולא קוהרנטית</w:t>
      </w:r>
      <w:r>
        <w:rPr>
          <w:rtl w:val="true"/>
        </w:rPr>
        <w:t xml:space="preserve">. </w:t>
      </w:r>
      <w:r>
        <w:rPr>
          <w:rtl w:val="true"/>
        </w:rPr>
        <w:t>אף אין מקום להתערב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בקביעת בית המשפט המחוזי בדבר המשקל הגבוה ביותר שיש ליתן לגרסת המערער בחקירתו הראשונה במשטרה</w:t>
      </w:r>
      <w:r>
        <w:rPr>
          <w:rtl w:val="true"/>
        </w:rPr>
        <w:t xml:space="preserve">, </w:t>
      </w:r>
      <w:r>
        <w:rPr>
          <w:rtl w:val="true"/>
        </w:rPr>
        <w:t>לאחר שהמערער הגיע לתחנת המשטרה וסיפר בישירות ובאופן ברור כי רצה להמית את המנוח ותכנן את המעשה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 סבורה כי גם קביעת בית המשפט המחוזי כי המערער הועמד על זכויותיו שוב ושוב</w:t>
      </w:r>
      <w:r>
        <w:rPr>
          <w:rtl w:val="true"/>
        </w:rPr>
        <w:t xml:space="preserve">, </w:t>
      </w:r>
      <w:r>
        <w:rPr>
          <w:rtl w:val="true"/>
        </w:rPr>
        <w:t>ובפרט על זכותו להיוועץ בעורך דין</w:t>
      </w:r>
      <w:r>
        <w:rPr>
          <w:rtl w:val="true"/>
        </w:rPr>
        <w:t xml:space="preserve">, </w:t>
      </w:r>
      <w:r>
        <w:rPr>
          <w:rtl w:val="true"/>
        </w:rPr>
        <w:t>מבוססת היטב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גם אם נפלו פגמים באזהרת המערער</w:t>
      </w:r>
      <w:r>
        <w:rPr>
          <w:rtl w:val="true"/>
        </w:rPr>
        <w:t xml:space="preserve">, </w:t>
      </w:r>
      <w:r>
        <w:rPr>
          <w:rtl w:val="true"/>
        </w:rPr>
        <w:t>משקלם אינו רב</w:t>
      </w:r>
      <w:r>
        <w:rPr>
          <w:rtl w:val="true"/>
        </w:rPr>
        <w:t xml:space="preserve">; </w:t>
      </w:r>
      <w:r>
        <w:rPr>
          <w:rtl w:val="true"/>
        </w:rPr>
        <w:t>לא היה בהם כדי להשפיע על מתן ההודאה על ידי המערער</w:t>
      </w:r>
      <w:r>
        <w:rPr>
          <w:rtl w:val="true"/>
        </w:rPr>
        <w:t xml:space="preserve">, </w:t>
      </w:r>
      <w:r>
        <w:rPr>
          <w:rtl w:val="true"/>
        </w:rPr>
        <w:t>בהעדר קשר סיבתי בינם לבין מסירת ההודאה</w:t>
      </w:r>
      <w:r>
        <w:rPr>
          <w:rtl w:val="true"/>
        </w:rPr>
        <w:t xml:space="preserve">; </w:t>
      </w:r>
      <w:r>
        <w:rPr>
          <w:rtl w:val="true"/>
        </w:rPr>
        <w:t>וכך גם יתר המבחנים לפסלות ראיה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56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אינם מתקיימים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קביעת בית המשפט המחוזי שלפיה אפשר היה לומר למערער בתשאול ובחקירה שעדיף שלא ידבר עד להגעת עורך דין היא מוקשית</w:t>
      </w:r>
      <w:r>
        <w:rPr>
          <w:rtl w:val="true"/>
        </w:rPr>
        <w:t xml:space="preserve">, </w:t>
      </w:r>
      <w:r>
        <w:rPr>
          <w:rtl w:val="true"/>
        </w:rPr>
        <w:t>שכן אין כל חובה כזו בדין</w:t>
      </w:r>
      <w:r>
        <w:rPr>
          <w:rtl w:val="true"/>
        </w:rPr>
        <w:t xml:space="preserve">; </w:t>
      </w:r>
      <w:r>
        <w:rPr>
          <w:rtl w:val="true"/>
        </w:rPr>
        <w:t>וכן כי טענות המערער מתעלמות מקביעות בית המשפט המחוזי אשר נתן אמון בעדות החוקרת כי הזהירה את המערער והקריאה לו את זכויותיו לפני שמסר פרטים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המערער כלל לא נחקר בעדותו בבית המשפט בדבר יידועו כי עומדת לו זכות ההיוועצות ולא הועלתה מצדו גרסה עובדתית סותרת בהקשר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לפערים שבין תיעוד החקירה בכתב</w:t>
      </w:r>
      <w:r>
        <w:rPr>
          <w:rtl w:val="true"/>
        </w:rPr>
        <w:t xml:space="preserve">, </w:t>
      </w:r>
      <w:r>
        <w:rPr>
          <w:rtl w:val="true"/>
        </w:rPr>
        <w:t>במסגרת מזכר</w:t>
      </w:r>
      <w:r>
        <w:rPr>
          <w:rtl w:val="true"/>
        </w:rPr>
        <w:t xml:space="preserve">, </w:t>
      </w:r>
      <w:r>
        <w:rPr>
          <w:rtl w:val="true"/>
        </w:rPr>
        <w:t>לבין התיעוד המוקלט של החקירה</w:t>
      </w:r>
      <w:r>
        <w:rPr>
          <w:rtl w:val="true"/>
        </w:rPr>
        <w:t xml:space="preserve">, </w:t>
      </w:r>
      <w:r>
        <w:rPr>
          <w:rtl w:val="true"/>
        </w:rPr>
        <w:t>הוסבר כי פערים אלו נובעים מכך שהמזכר נכתב לאחר סיום החקירה</w:t>
      </w:r>
      <w:r>
        <w:rPr>
          <w:rtl w:val="true"/>
        </w:rPr>
        <w:t xml:space="preserve">, </w:t>
      </w:r>
      <w:r>
        <w:rPr>
          <w:rtl w:val="true"/>
        </w:rPr>
        <w:t>כך שאין יכולת לתעד כל מילה ומילה באופן מדויק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המערער היה מודע היטב לזכותו להיוועץ עם עורך דין</w:t>
      </w:r>
      <w:r>
        <w:rPr>
          <w:rtl w:val="true"/>
        </w:rPr>
        <w:t xml:space="preserve">, </w:t>
      </w:r>
      <w:r>
        <w:rPr>
          <w:rtl w:val="true"/>
        </w:rPr>
        <w:t>אולם היה להוט לדבר ולא רצה לעצור את החקירה לצורך התייעצות</w:t>
      </w:r>
      <w:r>
        <w:rPr>
          <w:rtl w:val="true"/>
        </w:rPr>
        <w:t xml:space="preserve">. </w:t>
      </w:r>
      <w:r>
        <w:rPr>
          <w:rtl w:val="true"/>
        </w:rPr>
        <w:t>ביחס לטענה כי לא הוסבר למערער במה הוא חשוד</w:t>
      </w:r>
      <w:r>
        <w:rPr>
          <w:rtl w:val="true"/>
        </w:rPr>
        <w:t xml:space="preserve">, </w:t>
      </w:r>
      <w:r>
        <w:rPr>
          <w:rtl w:val="true"/>
        </w:rPr>
        <w:t>המדינה עומדת על כך שהמערער הוזהר כי הוא חשוד בדקירה ולאחר מכן ברצח משנודע כי המנוח נפטר</w:t>
      </w:r>
      <w:r>
        <w:rPr>
          <w:rtl w:val="true"/>
        </w:rPr>
        <w:t xml:space="preserve">, </w:t>
      </w:r>
      <w:r>
        <w:rPr>
          <w:rtl w:val="true"/>
        </w:rPr>
        <w:t>וכי המערער הגיע מיוזמתו למשטרה בעקבות דקירת המנוח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חלקה הראשון של החקירה לא הוקלט מאחר שהמערער הגיע למשטרה באופן מפתיע ומיוזמתו</w:t>
      </w:r>
      <w:r>
        <w:rPr>
          <w:rtl w:val="true"/>
        </w:rPr>
        <w:t xml:space="preserve">, </w:t>
      </w:r>
      <w:r>
        <w:rPr>
          <w:rtl w:val="true"/>
        </w:rPr>
        <w:t>זמן קצר לאחר האירוע</w:t>
      </w:r>
      <w:r>
        <w:rPr>
          <w:rtl w:val="true"/>
        </w:rPr>
        <w:t xml:space="preserve">, </w:t>
      </w:r>
      <w:r>
        <w:rPr>
          <w:rtl w:val="true"/>
        </w:rPr>
        <w:t>בעוד חוקרי התחנה פעלו בזירה עצמה וחיפשו ראיות וחשודים</w:t>
      </w:r>
      <w:r>
        <w:rPr>
          <w:rtl w:val="true"/>
        </w:rPr>
        <w:t xml:space="preserve">; </w:t>
      </w:r>
      <w:r>
        <w:rPr>
          <w:rtl w:val="true"/>
        </w:rPr>
        <w:t>כך שאין מדובר בחקירה שאליה נערכו החוקרים באופן נינוח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"</w:t>
      </w:r>
      <w:r>
        <w:rPr>
          <w:rtl w:val="true"/>
        </w:rPr>
        <w:t>חקירה חמה</w:t>
      </w:r>
      <w:r>
        <w:rPr>
          <w:rtl w:val="true"/>
        </w:rPr>
        <w:t xml:space="preserve">", </w:t>
      </w:r>
      <w:r>
        <w:rPr>
          <w:rtl w:val="true"/>
        </w:rPr>
        <w:t>המחייבת קבלת מידע מהיר מהחשוד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 עומדת על כך שוויתור המערער על זכות ההיוועצות היה ברור וכי בעוד שהוא לא תועד בהקלטה</w:t>
      </w:r>
      <w:r>
        <w:rPr>
          <w:rtl w:val="true"/>
        </w:rPr>
        <w:t xml:space="preserve">, </w:t>
      </w:r>
      <w:r>
        <w:rPr>
          <w:rtl w:val="true"/>
        </w:rPr>
        <w:t>הוא תועד במזכר</w:t>
      </w:r>
      <w:r>
        <w:rPr>
          <w:rtl w:val="true"/>
        </w:rPr>
        <w:t xml:space="preserve">, </w:t>
      </w:r>
      <w:r>
        <w:rPr>
          <w:rtl w:val="true"/>
        </w:rPr>
        <w:t>כך שהפגם שנפל הוא באופן התיעוד בלבד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המערער לא היה מעוניין בהיוועצות</w:t>
      </w:r>
      <w:r>
        <w:rPr>
          <w:rtl w:val="true"/>
        </w:rPr>
        <w:t xml:space="preserve">, </w:t>
      </w:r>
      <w:r>
        <w:rPr>
          <w:rtl w:val="true"/>
        </w:rPr>
        <w:t>מדובר בפגם חסר כל משקל</w:t>
      </w:r>
      <w:r>
        <w:rPr>
          <w:rtl w:val="true"/>
        </w:rPr>
        <w:t xml:space="preserve">, </w:t>
      </w:r>
      <w:r>
        <w:rPr>
          <w:rtl w:val="true"/>
        </w:rPr>
        <w:t>ואין קשר סיבתי בין העדר ההקלטה לבין מסירת ההודאה</w:t>
      </w:r>
      <w:r>
        <w:rPr>
          <w:rtl w:val="true"/>
        </w:rPr>
        <w:t xml:space="preserve">. </w:t>
      </w:r>
      <w:r>
        <w:rPr>
          <w:rtl w:val="true"/>
        </w:rPr>
        <w:t xml:space="preserve">אשר לטענה כי לא נאמר למערער על זכותו להיוועץ עם סנגור מהסנגוריה הציבורית </w:t>
      </w:r>
      <w:r>
        <w:rPr>
          <w:rtl w:val="true"/>
        </w:rPr>
        <w:t>–</w:t>
      </w:r>
      <w:r>
        <w:rPr>
          <w:rtl w:val="true"/>
        </w:rPr>
        <w:t xml:space="preserve"> נטען כי החוקרת כלל לא נשאלה האם יידעה אותו על כך</w:t>
      </w:r>
      <w:r>
        <w:rPr>
          <w:rtl w:val="true"/>
        </w:rPr>
        <w:t xml:space="preserve">, </w:t>
      </w:r>
      <w:r>
        <w:rPr>
          <w:rtl w:val="true"/>
        </w:rPr>
        <w:t>וגם לו יונח כי היא לא יידעה אותו</w:t>
      </w:r>
      <w:r>
        <w:rPr>
          <w:rtl w:val="true"/>
        </w:rPr>
        <w:t xml:space="preserve">, </w:t>
      </w:r>
      <w:r>
        <w:rPr>
          <w:rtl w:val="true"/>
        </w:rPr>
        <w:t>מדובר בפגם שמשקלו אינו משמעותי ולא היה בו כדי להוביל להודאת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למשקל ההודאה</w:t>
      </w:r>
      <w:r>
        <w:rPr>
          <w:rtl w:val="true"/>
        </w:rPr>
        <w:t xml:space="preserve">, </w:t>
      </w:r>
      <w:r>
        <w:rPr>
          <w:rtl w:val="true"/>
        </w:rPr>
        <w:t>נטען שקביעת בית המשפט המחוזי בדבר משקלה הגבוה מבוססת היטב</w:t>
      </w:r>
      <w:r>
        <w:rPr>
          <w:rtl w:val="true"/>
        </w:rPr>
        <w:t xml:space="preserve">. </w:t>
      </w:r>
      <w:r>
        <w:rPr>
          <w:rtl w:val="true"/>
        </w:rPr>
        <w:t>את אי</w:t>
      </w:r>
      <w:r>
        <w:rPr>
          <w:rtl w:val="true"/>
        </w:rPr>
        <w:t>-</w:t>
      </w:r>
      <w:r>
        <w:rPr>
          <w:rtl w:val="true"/>
        </w:rPr>
        <w:t>הדיוקים בגרסת המערער באותה חקירה נטען כי יש להבין על רקע סערת הנפש שבה המערער היה מצוי</w:t>
      </w:r>
      <w:r>
        <w:rPr>
          <w:rtl w:val="true"/>
        </w:rPr>
        <w:t xml:space="preserve">, </w:t>
      </w:r>
      <w:r>
        <w:rPr>
          <w:rtl w:val="true"/>
        </w:rPr>
        <w:t>כעולה מגידופיו ומהיותו נסער וזועם</w:t>
      </w:r>
      <w:r>
        <w:rPr>
          <w:rtl w:val="true"/>
        </w:rPr>
        <w:t xml:space="preserve">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מכלול החקירה מעלה כי גרסת המערער בדבר היסוד הנפשי שלו באירוע הדקירה הייתה עקבית וברורה </w:t>
      </w:r>
      <w:r>
        <w:rPr>
          <w:rtl w:val="true"/>
        </w:rPr>
        <w:t>–</w:t>
      </w:r>
      <w:r>
        <w:rPr>
          <w:rtl w:val="true"/>
        </w:rPr>
        <w:t xml:space="preserve"> המערער רצה במות המנוח בשל העלבון הקשה שחווה ממנו ביום שישי שקדם לאירוע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במענה לטענת המערער כי היה שיכור בעת מסירת הודאתו</w:t>
      </w:r>
      <w:r>
        <w:rPr>
          <w:rtl w:val="true"/>
        </w:rPr>
        <w:t xml:space="preserve">, </w:t>
      </w:r>
      <w:r>
        <w:rPr>
          <w:rtl w:val="true"/>
        </w:rPr>
        <w:t>נטען כי מדובר בטענה כבושה הנסתרת בראיות</w:t>
      </w:r>
      <w:r>
        <w:rPr>
          <w:rtl w:val="true"/>
        </w:rPr>
        <w:t xml:space="preserve">, </w:t>
      </w:r>
      <w:r>
        <w:rPr>
          <w:rtl w:val="true"/>
        </w:rPr>
        <w:t>ובין היתר בסרטון האירוע שבו ניתן לחזות באופן הסתלקותו מהזירה כאשר הוא צועד באופן רגיל ואף טבעי מיד לאחר הדקירה</w:t>
      </w:r>
      <w:r>
        <w:rPr>
          <w:rtl w:val="true"/>
        </w:rPr>
        <w:t xml:space="preserve">, </w:t>
      </w:r>
      <w:r>
        <w:rPr>
          <w:rtl w:val="true"/>
        </w:rPr>
        <w:t>וכן מעדויות הסובבים את המערער לאחר האירוע</w:t>
      </w:r>
      <w:r>
        <w:rPr>
          <w:rtl w:val="true"/>
        </w:rPr>
        <w:t xml:space="preserve">, </w:t>
      </w:r>
      <w:r>
        <w:rPr>
          <w:rtl w:val="true"/>
        </w:rPr>
        <w:t>שלפיהן לא היה שיכור כנטען</w:t>
      </w:r>
      <w:r>
        <w:rPr>
          <w:rtl w:val="true"/>
        </w:rPr>
        <w:t xml:space="preserve">. </w:t>
      </w:r>
      <w:r>
        <w:rPr>
          <w:rtl w:val="true"/>
        </w:rPr>
        <w:t>המדינה מוסיפה כי גם אם המערער היה תחת השפעה מסוימת של אלכוהול</w:t>
      </w:r>
      <w:r>
        <w:rPr>
          <w:rtl w:val="true"/>
        </w:rPr>
        <w:t xml:space="preserve">, </w:t>
      </w:r>
      <w:r>
        <w:rPr>
          <w:rtl w:val="true"/>
        </w:rPr>
        <w:t>אין בכך כדי להפחית ממשקל ההודאה שעה שהקשיב לשאלות שנשאל</w:t>
      </w:r>
      <w:r>
        <w:rPr>
          <w:rtl w:val="true"/>
        </w:rPr>
        <w:t xml:space="preserve">, </w:t>
      </w:r>
      <w:r>
        <w:rPr>
          <w:rtl w:val="true"/>
        </w:rPr>
        <w:t>הבין אותן</w:t>
      </w:r>
      <w:r>
        <w:rPr>
          <w:rtl w:val="true"/>
        </w:rPr>
        <w:t xml:space="preserve">, </w:t>
      </w:r>
      <w:r>
        <w:rPr>
          <w:rtl w:val="true"/>
        </w:rPr>
        <w:t>והשיב עליהן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אף סבורה כי גם מבלי להתחשב בהודאת המערער</w:t>
      </w:r>
      <w:r>
        <w:rPr>
          <w:rtl w:val="true"/>
        </w:rPr>
        <w:t xml:space="preserve">, </w:t>
      </w:r>
      <w:r>
        <w:rPr>
          <w:rtl w:val="true"/>
        </w:rPr>
        <w:t>הוכחה כראוי הנסיבה שלפיה בא למקום האירוע להמית את המנוח לאחר תכנון או גיבוש החלטה להמית</w:t>
      </w:r>
      <w:r>
        <w:rPr>
          <w:rtl w:val="true"/>
        </w:rPr>
        <w:t xml:space="preserve">. </w:t>
      </w:r>
      <w:r>
        <w:rPr>
          <w:rtl w:val="true"/>
        </w:rPr>
        <w:t>המדינה מפנה לרצף האירועים שקדם לדקירה</w:t>
      </w:r>
      <w:r>
        <w:rPr>
          <w:rtl w:val="true"/>
        </w:rPr>
        <w:t xml:space="preserve">, </w:t>
      </w:r>
      <w:r>
        <w:rPr>
          <w:rtl w:val="true"/>
        </w:rPr>
        <w:t>לזמן שחלף מאז הוויכוח שבו התבטא המנוח כפי שהתבטא כלפי המערער</w:t>
      </w:r>
      <w:r>
        <w:rPr>
          <w:rtl w:val="true"/>
        </w:rPr>
        <w:t xml:space="preserve">; </w:t>
      </w:r>
      <w:r>
        <w:rPr>
          <w:rtl w:val="true"/>
        </w:rPr>
        <w:t>ולקיומן של אינדיקציות רבות המבססות תכנון והליך של שקילה וגיבוש החלטה להמית</w:t>
      </w:r>
      <w:r>
        <w:rPr>
          <w:rtl w:val="true"/>
        </w:rPr>
        <w:t xml:space="preserve">, </w:t>
      </w:r>
      <w:r>
        <w:rPr>
          <w:rtl w:val="true"/>
        </w:rPr>
        <w:t>כאשר יש לתת גם משקל משמעותי לכך שהמערער דקר את המנוח בבית החזה</w:t>
      </w:r>
      <w:r>
        <w:rPr>
          <w:rtl w:val="true"/>
        </w:rPr>
        <w:t xml:space="preserve">, </w:t>
      </w:r>
      <w:r>
        <w:rPr>
          <w:rtl w:val="true"/>
        </w:rPr>
        <w:t>משמאל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יש לדחות גם את טענתו החלופית של המערער בדבר הגנה מן הצדק המצדיקה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את הרשעתו בעבירת הרצח הבסיסית בלבד</w:t>
      </w:r>
      <w:r>
        <w:rPr>
          <w:rtl w:val="true"/>
        </w:rPr>
        <w:t xml:space="preserve">. </w:t>
      </w:r>
      <w:r>
        <w:rPr>
          <w:rtl w:val="true"/>
        </w:rPr>
        <w:t>נטען כי מדובר בסעד תקדימי מוקשה וסבוך</w:t>
      </w:r>
      <w:r>
        <w:rPr>
          <w:rtl w:val="true"/>
        </w:rPr>
        <w:t xml:space="preserve">, </w:t>
      </w:r>
      <w:r>
        <w:rPr>
          <w:rtl w:val="true"/>
        </w:rPr>
        <w:t>ומקרה זה כלל אינו מתאים לדיון 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בפתח חלק זה</w:t>
      </w:r>
      <w:r>
        <w:rPr>
          <w:rtl w:val="true"/>
        </w:rPr>
        <w:t xml:space="preserve">, </w:t>
      </w:r>
      <w:r>
        <w:rPr>
          <w:rtl w:val="true"/>
        </w:rPr>
        <w:t xml:space="preserve">יש להבחין בבירור בין שתי סוגיות נפרדות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: </w:t>
      </w:r>
      <w:r>
        <w:rPr>
          <w:rtl w:val="true"/>
        </w:rPr>
        <w:t>האם המערער רצח את המנוח בכוונה או באדישות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: </w:t>
      </w:r>
      <w:r>
        <w:rPr>
          <w:rtl w:val="true"/>
        </w:rPr>
        <w:t xml:space="preserve">האם חלה הנסיבה המחמירה הקבועה </w:t>
      </w:r>
      <w:hyperlink r:id="rId2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משיג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קביעות בית המשפט המחוזי בשתי סוגיות אלו וטוען כי רצח את המערער באדישות בלבד</w:t>
      </w:r>
      <w:r>
        <w:rPr>
          <w:rtl w:val="true"/>
        </w:rPr>
        <w:t xml:space="preserve">. </w:t>
      </w:r>
      <w:r>
        <w:rPr>
          <w:rtl w:val="true"/>
        </w:rPr>
        <w:t>אלא שגם אם ייקבע שהמערער היה אדיש לגרימת מותו של המנוח</w:t>
      </w:r>
      <w:r>
        <w:rPr>
          <w:rtl w:val="true"/>
        </w:rPr>
        <w:t xml:space="preserve">, </w:t>
      </w:r>
      <w:r>
        <w:rPr>
          <w:rtl w:val="true"/>
        </w:rPr>
        <w:t>בהינתן שמתקיימת הנסיבה המחמירה האמורה</w:t>
      </w:r>
      <w:r>
        <w:rPr>
          <w:rtl w:val="true"/>
        </w:rPr>
        <w:t xml:space="preserve">, </w:t>
      </w:r>
      <w:r>
        <w:rPr>
          <w:rtl w:val="true"/>
        </w:rPr>
        <w:t xml:space="preserve">דינו יהא זהה </w:t>
      </w:r>
      <w:r>
        <w:rPr>
          <w:rtl w:val="true"/>
        </w:rPr>
        <w:t>–</w:t>
      </w:r>
      <w:r>
        <w:rPr>
          <w:rtl w:val="true"/>
        </w:rPr>
        <w:t xml:space="preserve"> הרשעה בעבירה של רצח בנסיבות מחמירות וכפועל יוצא עונש של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זאת מאחר שהן 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הקבועה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הן עבירת הרצח בנסיבות מחמירות 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דורשות יסוד חפצי של כוונה או אדישות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</w:t>
      </w:r>
      <w:r>
        <w:rPr/>
        <w:t>3</w:t>
      </w:r>
      <w:r>
        <w:rPr/>
        <w:t>.2024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כהערה</w:t>
      </w:r>
      <w:r>
        <w:rPr>
          <w:rtl w:val="true"/>
        </w:rPr>
        <w:t xml:space="preserve">, </w:t>
      </w:r>
      <w:r>
        <w:rPr>
          <w:rtl w:val="true"/>
        </w:rPr>
        <w:t xml:space="preserve">אציין כי מצב שבו רוצח ממית את הקורבן באדישות </w:t>
      </w:r>
      <w:r>
        <w:rPr>
          <w:rtl w:val="true"/>
        </w:rPr>
        <w:t>לאחר תכנון או הליך ממשי של שקילה וגיבוש החלטה להמית</w:t>
      </w:r>
      <w:r>
        <w:rPr>
          <w:rtl w:val="true"/>
        </w:rPr>
        <w:t xml:space="preserve"> נחזה להיות מצב שאינו שכיח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 ניתן לשלול תרחיש כזה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לשון החוק בהקשר זה היא ברורה וחד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טרם אבחן את פרטי טענות המערער</w:t>
      </w:r>
      <w:r>
        <w:rPr>
          <w:rtl w:val="true"/>
        </w:rPr>
        <w:t xml:space="preserve">, </w:t>
      </w:r>
      <w:r>
        <w:rPr>
          <w:rtl w:val="true"/>
        </w:rPr>
        <w:t>יש לעמוד על כך שאירוע הרצח שלפנינו תועד במלואו במצלמות האבטחה</w:t>
      </w:r>
      <w:r>
        <w:rPr>
          <w:rtl w:val="true"/>
        </w:rPr>
        <w:t xml:space="preserve">. </w:t>
      </w:r>
      <w:r>
        <w:rPr>
          <w:rtl w:val="true"/>
        </w:rPr>
        <w:t>מצלמות אלו תיעדו את הגעת המערער לזירה</w:t>
      </w:r>
      <w:r>
        <w:rPr>
          <w:rtl w:val="true"/>
        </w:rPr>
        <w:t xml:space="preserve">, </w:t>
      </w:r>
      <w:r>
        <w:rPr>
          <w:rtl w:val="true"/>
        </w:rPr>
        <w:t>את המפגש בינו לבין המנוח</w:t>
      </w:r>
      <w:r>
        <w:rPr>
          <w:rtl w:val="true"/>
        </w:rPr>
        <w:t xml:space="preserve">, </w:t>
      </w:r>
      <w:r>
        <w:rPr>
          <w:rtl w:val="true"/>
        </w:rPr>
        <w:t>את חילופי הדברים הקצרים בין השניים</w:t>
      </w:r>
      <w:r>
        <w:rPr>
          <w:rtl w:val="true"/>
        </w:rPr>
        <w:t xml:space="preserve">, </w:t>
      </w:r>
      <w:r>
        <w:rPr>
          <w:rtl w:val="true"/>
        </w:rPr>
        <w:t>את שליפת הסכין ולבסוף את האופן המכוון שבו המערער דקר את המנוח בחזה לאחר שהמנוח כבר פנה לעזוב את המקום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בחלוף יומיים מעת שהמנוח גידף את המערער באופן שהעליב אותו עמוקות</w:t>
      </w:r>
      <w:r>
        <w:rPr>
          <w:rtl w:val="true"/>
        </w:rPr>
        <w:t xml:space="preserve">, </w:t>
      </w:r>
      <w:r>
        <w:rPr>
          <w:rtl w:val="true"/>
        </w:rPr>
        <w:t>לפי עדות המערער עצמו</w:t>
      </w:r>
      <w:r>
        <w:rPr>
          <w:rtl w:val="true"/>
        </w:rPr>
        <w:t xml:space="preserve">, </w:t>
      </w:r>
      <w:r>
        <w:rPr>
          <w:rtl w:val="true"/>
        </w:rPr>
        <w:t>ולאחר שהמערער התקשר וזימן את המנוח לזירת הרצח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שלפנינו מארג ראייתי מקיף המלמד על מניע לרצח</w:t>
      </w:r>
      <w:r>
        <w:rPr>
          <w:rtl w:val="true"/>
        </w:rPr>
        <w:t xml:space="preserve">; </w:t>
      </w:r>
      <w:r>
        <w:rPr>
          <w:rtl w:val="true"/>
        </w:rPr>
        <w:t>על כך שהמערער יזם את המפגש בין השניים</w:t>
      </w:r>
      <w:r>
        <w:rPr>
          <w:rtl w:val="true"/>
        </w:rPr>
        <w:t xml:space="preserve">; </w:t>
      </w:r>
      <w:r>
        <w:rPr>
          <w:rtl w:val="true"/>
        </w:rPr>
        <w:t>הצטייד בסכין</w:t>
      </w:r>
      <w:r>
        <w:rPr>
          <w:rtl w:val="true"/>
        </w:rPr>
        <w:t xml:space="preserve">; </w:t>
      </w:r>
      <w:r>
        <w:rPr>
          <w:rtl w:val="true"/>
        </w:rPr>
        <w:t>ודקר את המנוח באופן מכוון בפלג גופו העליון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בתיק זה קיימות שפע של ראיות משמעותיות כך שהרשעת המערער אינה נסמכת באופן ממשי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על הודאתו בחקירה הראשונה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בחקירה הראשונה</w:t>
      </w:r>
      <w:r>
        <w:rPr>
          <w:rtl w:val="true"/>
        </w:rPr>
        <w:t xml:space="preserve">, </w:t>
      </w:r>
      <w:r>
        <w:rPr>
          <w:rtl w:val="true"/>
        </w:rPr>
        <w:t>אשר אף היא תועדה ברובה בתיעוד וידאו ואודיו</w:t>
      </w:r>
      <w:r>
        <w:rPr>
          <w:rtl w:val="true"/>
        </w:rPr>
        <w:t xml:space="preserve">, </w:t>
      </w:r>
      <w:r>
        <w:rPr>
          <w:rtl w:val="true"/>
        </w:rPr>
        <w:t>לאחר שהמערער התייצב בתחנת המשטרה מיוזמתו</w:t>
      </w:r>
      <w:r>
        <w:rPr>
          <w:rtl w:val="true"/>
        </w:rPr>
        <w:t xml:space="preserve">, </w:t>
      </w:r>
      <w:r>
        <w:rPr>
          <w:rtl w:val="true"/>
        </w:rPr>
        <w:t xml:space="preserve">אין אלא להביע במפורש את שזועק מיתר חומר הראיות </w:t>
      </w:r>
      <w:r>
        <w:rPr>
          <w:rtl w:val="true"/>
        </w:rPr>
        <w:t>–</w:t>
      </w:r>
      <w:r>
        <w:rPr>
          <w:rtl w:val="true"/>
        </w:rPr>
        <w:t xml:space="preserve"> רצונו של המערער להמית את המנוח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התווה כמתואר לעיל שני נתיבים שונים להרשעת המערער </w:t>
      </w:r>
      <w:r>
        <w:rPr>
          <w:rtl w:val="true"/>
        </w:rPr>
        <w:t>–</w:t>
      </w:r>
      <w:r>
        <w:rPr>
          <w:rtl w:val="true"/>
        </w:rPr>
        <w:t xml:space="preserve"> אחד תוך שימוש בתוכן חקירתו הראשונה של המערער במשטרה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בהתעלם מכך ובהסתמך על יתר הראיות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 לבית המשפט המחוזי</w:t>
      </w:r>
      <w:r>
        <w:rPr>
          <w:rtl w:val="true"/>
        </w:rPr>
        <w:t xml:space="preserve">, </w:t>
      </w:r>
      <w:r>
        <w:rPr>
          <w:rtl w:val="true"/>
        </w:rPr>
        <w:t>אף אני סבור כי תיעוד אירוע הדקירה עצמו</w:t>
      </w:r>
      <w:r>
        <w:rPr>
          <w:rtl w:val="true"/>
        </w:rPr>
        <w:t xml:space="preserve">, </w:t>
      </w:r>
      <w:r>
        <w:rPr>
          <w:rtl w:val="true"/>
        </w:rPr>
        <w:t>בשילוב עם העובדה כי המערער זימן את המנוח לזירה בחלוף מספר ימים ממועד הוויכוח בין השניים</w:t>
      </w:r>
      <w:r>
        <w:rPr>
          <w:rtl w:val="true"/>
        </w:rPr>
        <w:t xml:space="preserve">, </w:t>
      </w:r>
      <w:r>
        <w:rPr>
          <w:rtl w:val="true"/>
        </w:rPr>
        <w:t>הגיע חמוש בסכין למפגש</w:t>
      </w:r>
      <w:r>
        <w:rPr>
          <w:rtl w:val="true"/>
        </w:rPr>
        <w:t xml:space="preserve">, </w:t>
      </w:r>
      <w:r>
        <w:rPr>
          <w:rtl w:val="true"/>
        </w:rPr>
        <w:t xml:space="preserve">דקר את המנוח בפלג גופו העליון באופן מכוון וביישום </w:t>
      </w:r>
      <w:r>
        <w:rPr>
          <w:rtl w:val="true"/>
        </w:rPr>
        <w:t>"</w:t>
      </w:r>
      <w:r>
        <w:rPr>
          <w:rtl w:val="true"/>
        </w:rPr>
        <w:t>חזקת הכוונה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ניתן לקבוע כי המית את המנוח בכוונה ולאחר </w:t>
      </w:r>
      <w:r>
        <w:rPr>
          <w:rtl w:val="true"/>
        </w:rPr>
        <w:t>תכנון או לאחר הליך ממשי של שקילה וגיבוש החלטה להמית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וכפי שארחיב כעת</w:t>
      </w:r>
      <w:r>
        <w:rPr>
          <w:rtl w:val="true"/>
        </w:rPr>
        <w:t xml:space="preserve">, </w:t>
      </w:r>
      <w:r>
        <w:rPr>
          <w:rtl w:val="true"/>
        </w:rPr>
        <w:t>אף אם המערער לא היה מודה בחקירתו הראשונה במשטרה</w:t>
      </w:r>
      <w:r>
        <w:rPr>
          <w:rtl w:val="true"/>
        </w:rPr>
        <w:t xml:space="preserve">, </w:t>
      </w:r>
      <w:r>
        <w:rPr>
          <w:rtl w:val="true"/>
        </w:rPr>
        <w:t>היו די ראיות על מנת להרשיעו בעבירה של רצח בנסיבות מחמירות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החפצי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עבירת הרצח הבסיסית</w:t>
      </w:r>
      <w:r>
        <w:rPr>
          <w:rtl w:val="true"/>
        </w:rPr>
        <w:t xml:space="preserve">, </w:t>
      </w:r>
      <w:r>
        <w:rPr>
          <w:rtl w:val="true"/>
        </w:rPr>
        <w:t>בדומה לעבירת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מחייבת יסוד חפצי של אדישות או כוונה ביחס לגרימת מותו של אדם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 xml:space="preserve">ההבחנה 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שוויון נפש לאפשרות גרימת </w:t>
      </w:r>
      <w:r>
        <w:rPr>
          <w:rtl w:val="true"/>
        </w:rPr>
        <w:t xml:space="preserve">המוות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 xml:space="preserve">לבין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מטרה לגרום למוות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היא פעמים רבות הבחנה מורכבת מבחינה ראייתית</w:t>
      </w:r>
      <w:r>
        <w:rPr>
          <w:rtl w:val="true"/>
        </w:rPr>
        <w:t xml:space="preserve">. </w:t>
      </w:r>
      <w:r>
        <w:rPr>
          <w:rtl w:val="true"/>
        </w:rPr>
        <w:t xml:space="preserve">כפי שסקרתי בהרחבה רק לאחרונה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 xml:space="preserve">להבחנה זו נותרה משמעות גם לאחר </w:t>
      </w: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)), </w:t>
      </w:r>
      <w:r>
        <w:rPr>
          <w:rtl w:val="true"/>
        </w:rPr>
        <w:t xml:space="preserve">בעיקר ביחס לחומרת העונש במקרה של עבירת הרצח הבסיסית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43-34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בחינת היסוד הנפשי של נאשם עניינה בהלך נפשו מבחינה סובייקטיבית</w:t>
      </w:r>
      <w:r>
        <w:rPr>
          <w:rtl w:val="true"/>
        </w:rPr>
        <w:t xml:space="preserve">. </w:t>
      </w:r>
      <w:r>
        <w:rPr>
          <w:rtl w:val="true"/>
        </w:rPr>
        <w:t>מכאן הקושי המובנה</w:t>
      </w:r>
      <w:r>
        <w:rPr>
          <w:rtl w:val="true"/>
        </w:rPr>
        <w:t xml:space="preserve">, </w:t>
      </w:r>
      <w:r>
        <w:rPr>
          <w:rtl w:val="true"/>
        </w:rPr>
        <w:t>מן הבחינה הראייתית</w:t>
      </w:r>
      <w:r>
        <w:rPr>
          <w:rtl w:val="true"/>
        </w:rPr>
        <w:t xml:space="preserve">, </w:t>
      </w:r>
      <w:r>
        <w:rPr>
          <w:rtl w:val="true"/>
        </w:rPr>
        <w:t>לקבוע האם אדם חפץ לגרום למותו של אחר</w:t>
      </w:r>
      <w:r>
        <w:rPr>
          <w:rtl w:val="true"/>
        </w:rPr>
        <w:t xml:space="preserve">, </w:t>
      </w:r>
      <w:r>
        <w:rPr>
          <w:rtl w:val="true"/>
        </w:rPr>
        <w:t>או שמא גילה שוויון נפש בלבד כלפי אפשרות קשה זו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 xml:space="preserve">פותחה ככלי ראייתי </w:t>
      </w:r>
      <w:r>
        <w:rPr>
          <w:rtl w:val="true"/>
        </w:rPr>
        <w:t>"</w:t>
      </w:r>
      <w:r>
        <w:rPr>
          <w:rtl w:val="true"/>
        </w:rPr>
        <w:t>חזקת הכוונה</w:t>
      </w:r>
      <w:r>
        <w:rPr>
          <w:rtl w:val="true"/>
        </w:rPr>
        <w:t xml:space="preserve">" </w:t>
      </w:r>
      <w:r>
        <w:rPr>
          <w:rtl w:val="true"/>
        </w:rPr>
        <w:t>במסגרתה בית המשפט נדרש לבחינת נסיבות אובייקטיביות העשויות ללמד על הלך נפשו של נאשם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חזקה זו היא חזקה עובדתית</w:t>
      </w:r>
      <w:r>
        <w:rPr>
          <w:rtl w:val="true"/>
        </w:rPr>
        <w:t>-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שלפיה אדם בר</w:t>
      </w:r>
      <w:r>
        <w:rPr>
          <w:rtl w:val="true"/>
        </w:rPr>
        <w:t>-</w:t>
      </w:r>
      <w:r>
        <w:rPr>
          <w:rtl w:val="true"/>
        </w:rPr>
        <w:t>דעת הפועל מרצון חופשי מתכוון להביא לתוצאות הטבעיות של מעשהו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החזקה מבוססת על כך שלפי ניסיון החיים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אדם הנוקט בקו התנהגות מסוים חזקה כי התכוון לתוצאות הנובעות</w:t>
      </w:r>
      <w:r>
        <w:rPr>
          <w:rtl w:val="true"/>
        </w:rPr>
        <w:t xml:space="preserve">, </w:t>
      </w:r>
      <w:r>
        <w:rPr>
          <w:rtl w:val="true"/>
        </w:rPr>
        <w:t>באופן טבעי ובהסתברות גבוהה</w:t>
      </w:r>
      <w:r>
        <w:rPr>
          <w:rtl w:val="true"/>
        </w:rPr>
        <w:t xml:space="preserve">, </w:t>
      </w:r>
      <w:r>
        <w:rPr>
          <w:rtl w:val="true"/>
        </w:rPr>
        <w:t>מהתנהגותו זו</w:t>
      </w:r>
      <w:r>
        <w:rPr>
          <w:rtl w:val="true"/>
        </w:rPr>
        <w:t xml:space="preserve">. </w:t>
      </w:r>
      <w:r>
        <w:rPr>
          <w:rtl w:val="true"/>
        </w:rPr>
        <w:t>בחזקה זו בית המשפט עושה שימוש במערכת העובדות הנסיבתיות האופפות את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על מנת להקים חזקה בדבר רצונו של הנאשם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17-16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25.10.2018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חזקת הכוונה איננה חזקה חלוטה ודי לנאשם</w:t>
      </w:r>
      <w:r>
        <w:rPr>
          <w:rtl w:val="true"/>
        </w:rPr>
        <w:t xml:space="preserve"> לעורר ספק סביר בדרך של הצגת מסקנה חלופית מסתברת או הצגת ראיות הנוגדות את החזקה</w:t>
      </w:r>
      <w:r>
        <w:rPr>
          <w:rtl w:val="true"/>
        </w:rPr>
        <w:t xml:space="preserve"> על מנת לסותרה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</w:t>
      </w:r>
      <w:r>
        <w:rPr/>
        <w:t>8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מחאמיד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</w:t>
      </w:r>
      <w:r>
        <w:rPr/>
        <w:t>6</w:t>
      </w:r>
      <w:r>
        <w:rPr/>
        <w:t>.2021</w:t>
      </w:r>
      <w:r>
        <w:rPr>
          <w:rtl w:val="true"/>
        </w:rPr>
        <w:t>))‏</w:t>
      </w:r>
      <w:r>
        <w:rPr>
          <w:rtl w:val="true"/>
        </w:rPr>
        <w:t xml:space="preserve">. </w:t>
      </w:r>
      <w:r>
        <w:rPr>
          <w:rtl w:val="true"/>
        </w:rPr>
        <w:t xml:space="preserve">רק בהעדר </w:t>
      </w:r>
      <w:r>
        <w:rPr>
          <w:rtl w:val="true"/>
        </w:rPr>
        <w:t>ספק סביר כאמור</w:t>
      </w:r>
      <w:r>
        <w:rPr>
          <w:rtl w:val="true"/>
        </w:rPr>
        <w:t xml:space="preserve">, </w:t>
      </w:r>
      <w:r>
        <w:rPr>
          <w:rtl w:val="true"/>
        </w:rPr>
        <w:t xml:space="preserve">החזקה העובדתית הופכת לחזקה חלוטה באשר לכוונת מעשיו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וינוקורסקי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כאשר נבחנת טענה כי הנאשם התכוון להמית את הקורבן</w:t>
      </w:r>
      <w:r>
        <w:rPr>
          <w:rtl w:val="true"/>
        </w:rPr>
        <w:t xml:space="preserve">, </w:t>
      </w:r>
      <w:r>
        <w:rPr>
          <w:rtl w:val="true"/>
        </w:rPr>
        <w:t>פיתחה הפסיקה מבחני עזר נסיבתיים ה</w:t>
      </w:r>
      <w:r>
        <w:rPr>
          <w:rtl w:val="true"/>
        </w:rPr>
        <w:t>מיושמים בכל מקרה ומקרה</w:t>
      </w:r>
      <w:r>
        <w:rPr>
          <w:rtl w:val="true"/>
        </w:rPr>
        <w:t xml:space="preserve">. </w:t>
      </w:r>
      <w:r>
        <w:rPr>
          <w:rtl w:val="true"/>
        </w:rPr>
        <w:t>במסגרתם</w:t>
      </w:r>
      <w:r>
        <w:rPr>
          <w:rtl w:val="true"/>
        </w:rPr>
        <w:t xml:space="preserve">, </w:t>
      </w:r>
      <w:r>
        <w:rPr>
          <w:rtl w:val="true"/>
        </w:rPr>
        <w:t>נבחנות נסיבות האירוע כדוגמת אופן ביצוע הרצח</w:t>
      </w:r>
      <w:r>
        <w:rPr>
          <w:rtl w:val="true"/>
        </w:rPr>
        <w:t xml:space="preserve">; </w:t>
      </w:r>
      <w:r>
        <w:rPr>
          <w:rtl w:val="true"/>
        </w:rPr>
        <w:t>טיב הפגיעה ומיקומה</w:t>
      </w:r>
      <w:r>
        <w:rPr>
          <w:rtl w:val="true"/>
        </w:rPr>
        <w:t xml:space="preserve">; </w:t>
      </w:r>
      <w:r>
        <w:rPr>
          <w:rtl w:val="true"/>
        </w:rPr>
        <w:t>כלי הרצח</w:t>
      </w:r>
      <w:r>
        <w:rPr>
          <w:rtl w:val="true"/>
        </w:rPr>
        <w:t xml:space="preserve">; </w:t>
      </w:r>
      <w:r>
        <w:rPr>
          <w:rtl w:val="true"/>
        </w:rPr>
        <w:t>אמירות קודמות של הנאשם</w:t>
      </w:r>
      <w:r>
        <w:rPr>
          <w:rtl w:val="true"/>
        </w:rPr>
        <w:t xml:space="preserve">; </w:t>
      </w:r>
      <w:r>
        <w:rPr>
          <w:rtl w:val="true"/>
        </w:rPr>
        <w:t>והתנהגותו לפני האירוע ולאחריו – לרבות היעדר ניסיון להזעיק עזרה והימלטות מהזירה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גריבוב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.10.2017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סולוביוב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כ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1</w:t>
      </w:r>
      <w:r>
        <w:rPr/>
        <w:t>.2014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המערער דקר את המנוח באופן מכוון ומדויק בחזהו וחזקה שחפץ לגרום למותו</w:t>
      </w:r>
      <w:r>
        <w:rPr>
          <w:rtl w:val="true"/>
        </w:rPr>
        <w:t xml:space="preserve">. </w:t>
      </w:r>
      <w:r>
        <w:rPr>
          <w:rtl w:val="true"/>
        </w:rPr>
        <w:t xml:space="preserve">בעוד שדקירה אחת בלב אינה בגדר סוף פסוק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), </w:t>
      </w:r>
      <w:r>
        <w:rPr>
          <w:rtl w:val="true"/>
        </w:rPr>
        <w:t>לדקירה זו נלווה בענייננו מניע ברור</w:t>
      </w:r>
      <w:r>
        <w:rPr>
          <w:rtl w:val="true"/>
        </w:rPr>
        <w:t xml:space="preserve">, </w:t>
      </w:r>
      <w:r>
        <w:rPr>
          <w:rtl w:val="true"/>
        </w:rPr>
        <w:t>זימון הקורבן לזירה</w:t>
      </w:r>
      <w:r>
        <w:rPr>
          <w:rtl w:val="true"/>
        </w:rPr>
        <w:t xml:space="preserve">, </w:t>
      </w:r>
      <w:r>
        <w:rPr>
          <w:rtl w:val="true"/>
        </w:rPr>
        <w:t xml:space="preserve">הצטיידות בסכין </w:t>
      </w:r>
      <w:r>
        <w:rPr>
          <w:rtl w:val="true"/>
        </w:rPr>
        <w:t>(</w:t>
      </w:r>
      <w:r>
        <w:rPr>
          <w:rtl w:val="true"/>
        </w:rPr>
        <w:t>בין אם הסכין הובאה מבית המערער ובין אם הייתה ברשותו ממילא</w:t>
      </w:r>
      <w:r>
        <w:rPr>
          <w:rtl w:val="true"/>
        </w:rPr>
        <w:t xml:space="preserve">). </w:t>
      </w:r>
      <w:r>
        <w:rPr>
          <w:rtl w:val="true"/>
        </w:rPr>
        <w:t>הדקירה אף תועדה במלואה במצלמת אבטחה סמוכה</w:t>
      </w:r>
      <w:r>
        <w:rPr>
          <w:rtl w:val="true"/>
        </w:rPr>
        <w:t xml:space="preserve">, </w:t>
      </w:r>
      <w:r>
        <w:rPr>
          <w:rtl w:val="true"/>
        </w:rPr>
        <w:t>באופן המאפשר לכל מי שעיניו בראשו להסיק כי המערער כיוון לפלג הגוף העליון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אם לא לליבו ממש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49</w:t>
      </w:r>
      <w:r>
        <w:rPr>
          <w:rtl w:val="true"/>
        </w:rPr>
        <w:t xml:space="preserve">). </w:t>
      </w:r>
      <w:r>
        <w:rPr>
          <w:rtl w:val="true"/>
        </w:rPr>
        <w:t>המסקנה המתבקשת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היא שהמערער התכוון להמית את 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המערער מבקשים להקנות משקל רב ואף מכריע לכך שלאחר הדקירה</w:t>
      </w:r>
      <w:r>
        <w:rPr>
          <w:rtl w:val="true"/>
        </w:rPr>
        <w:t xml:space="preserve">, </w:t>
      </w:r>
      <w:r>
        <w:rPr>
          <w:rtl w:val="true"/>
        </w:rPr>
        <w:t>משהמנוח קם על רגליו והתרחק מהמקום</w:t>
      </w:r>
      <w:r>
        <w:rPr>
          <w:rtl w:val="true"/>
        </w:rPr>
        <w:t xml:space="preserve">, </w:t>
      </w:r>
      <w:r>
        <w:rPr>
          <w:rtl w:val="true"/>
        </w:rPr>
        <w:t xml:space="preserve">לא ביצע המערער </w:t>
      </w:r>
      <w:r>
        <w:rPr>
          <w:rtl w:val="true"/>
        </w:rPr>
        <w:t>"</w:t>
      </w:r>
      <w:r>
        <w:rPr>
          <w:rtl w:val="true"/>
        </w:rPr>
        <w:t>וידוא הריגה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והתרחק אף הוא מהזירה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 הכירה בכך שיש משמעות לאופן שבו נוהג הרוצח מיד לאחר האקט הממית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קריאה לכוחות רפואה עשויה ללמד על כך שאין כוונה או אדישות כלפי אפשרות גרימת המוות</w:t>
      </w:r>
      <w:r>
        <w:rPr>
          <w:rtl w:val="true"/>
        </w:rPr>
        <w:t xml:space="preserve">; </w:t>
      </w:r>
      <w:r>
        <w:rPr>
          <w:rtl w:val="true"/>
        </w:rPr>
        <w:t>בשונה</w:t>
      </w:r>
      <w:r>
        <w:rPr>
          <w:rtl w:val="true"/>
        </w:rPr>
        <w:t xml:space="preserve">, </w:t>
      </w:r>
      <w:r>
        <w:rPr>
          <w:rtl w:val="true"/>
        </w:rPr>
        <w:t>ישנם מקרים שבהם הרוצח לא מסתפק בדקירה אחת</w:t>
      </w:r>
      <w:r>
        <w:rPr>
          <w:rtl w:val="true"/>
        </w:rPr>
        <w:t xml:space="preserve">, </w:t>
      </w:r>
      <w:r>
        <w:rPr>
          <w:rtl w:val="true"/>
        </w:rPr>
        <w:t xml:space="preserve">ומוסיף ודוקר את הקורבן עד לגרימת מותו </w:t>
      </w:r>
      <w:r>
        <w:rPr>
          <w:rtl w:val="true"/>
        </w:rPr>
        <w:t>–</w:t>
      </w:r>
      <w:r>
        <w:rPr>
          <w:rtl w:val="true"/>
        </w:rPr>
        <w:t xml:space="preserve"> באופן המצביע על כוונה נחרצת לגרום למוות</w:t>
      </w:r>
      <w:r>
        <w:rPr>
          <w:rtl w:val="true"/>
        </w:rPr>
        <w:t xml:space="preserve">;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ישנם גם מקרים שבהם הרוצח חפץ בלב שלם להמית את הקורבן</w:t>
      </w:r>
      <w:r>
        <w:rPr>
          <w:rtl w:val="true"/>
        </w:rPr>
        <w:t xml:space="preserve">, </w:t>
      </w:r>
      <w:r>
        <w:rPr>
          <w:rtl w:val="true"/>
        </w:rPr>
        <w:t>ונקבע כי פעל ביסוד חפצי של כוונה</w:t>
      </w:r>
      <w:r>
        <w:rPr>
          <w:rtl w:val="true"/>
        </w:rPr>
        <w:t xml:space="preserve">, </w:t>
      </w:r>
      <w:r>
        <w:rPr>
          <w:rtl w:val="true"/>
        </w:rPr>
        <w:t xml:space="preserve">גם אם מיד לאחר שהוא גורם במו ידיו למוות הוא מתחרט על כך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15-14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7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רוצה לומר</w:t>
      </w:r>
      <w:r>
        <w:rPr>
          <w:rtl w:val="true"/>
        </w:rPr>
        <w:t xml:space="preserve">: </w:t>
      </w:r>
      <w:r>
        <w:rPr>
          <w:rtl w:val="true"/>
        </w:rPr>
        <w:t>כל מקרה ונסיבותיו</w:t>
      </w:r>
      <w:r>
        <w:rPr>
          <w:rtl w:val="true"/>
        </w:rPr>
        <w:t xml:space="preserve">. </w:t>
      </w:r>
      <w:r>
        <w:rPr>
          <w:rtl w:val="true"/>
        </w:rPr>
        <w:t>בנסיבות המקרה המדובר</w:t>
      </w:r>
      <w:r>
        <w:rPr>
          <w:rtl w:val="true"/>
        </w:rPr>
        <w:t xml:space="preserve">, </w:t>
      </w:r>
      <w:r>
        <w:rPr>
          <w:rtl w:val="true"/>
        </w:rPr>
        <w:t>אין די בכך שהמערער נמנע מלדקור פעמים נוספות את המערער כדי לגבור על יתר הראיות המלמדות על כוונה לגרום למות המנוח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חזקת הכוונה בעינה עומדת</w:t>
      </w:r>
      <w:r>
        <w:rPr>
          <w:rtl w:val="true"/>
        </w:rPr>
        <w:t xml:space="preserve">. </w:t>
      </w:r>
      <w:r>
        <w:rPr>
          <w:rtl w:val="true"/>
        </w:rPr>
        <w:t>המערער לא טען למסקנה חלופית מסתברת ולא הוצגה כל ראיה</w:t>
      </w:r>
      <w:r>
        <w:rPr>
          <w:rtl w:val="true"/>
        </w:rPr>
        <w:t xml:space="preserve">, </w:t>
      </w:r>
      <w:r>
        <w:rPr>
          <w:rtl w:val="true"/>
        </w:rPr>
        <w:t>לא כל שכן ראיה בעלת משקל</w:t>
      </w:r>
      <w:r>
        <w:rPr>
          <w:rtl w:val="true"/>
        </w:rPr>
        <w:t xml:space="preserve">, </w:t>
      </w:r>
      <w:r>
        <w:rPr>
          <w:rtl w:val="true"/>
        </w:rPr>
        <w:t>אשר ביכולתה לסתור את חזקת הכוונה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להתערב במסקנת בית המשפט המחוזי כי המערער פעל ביסוד חפצי של כוונה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הסעיף הנדון</w:t>
      </w:r>
      <w:r>
        <w:rPr>
          <w:rtl w:val="true"/>
        </w:rPr>
        <w:t xml:space="preserve">,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מכיל שתי נסיבות חלופיות – תכנון או הליך ממשי של שקילה וגיבוש החלטה להמית</w:t>
      </w:r>
      <w:r>
        <w:rPr>
          <w:rtl w:val="true"/>
        </w:rPr>
        <w:t xml:space="preserve">. </w:t>
      </w:r>
      <w:r>
        <w:rPr>
          <w:rtl w:val="true"/>
        </w:rPr>
        <w:t xml:space="preserve">די בהתקיימות אחת מהן כדי להרשיע נאשם בעבירה של רצח בנסיבות מחמירות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25.12.2022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 xml:space="preserve">סעיף זה </w:t>
      </w:r>
      <w:r>
        <w:rPr>
          <w:rtl w:val="true"/>
        </w:rPr>
        <w:t>נועד להחליף באופן מהותי ורעיוני את רכיב ה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בעבירת הרצח עובר לרפורמה</w:t>
      </w:r>
      <w:r>
        <w:rPr>
          <w:rtl w:val="true"/>
        </w:rPr>
        <w:t xml:space="preserve"> בעבירות ההמתה</w:t>
      </w:r>
      <w:r>
        <w:rPr>
          <w:rtl w:val="true"/>
        </w:rPr>
        <w:t xml:space="preserve">, </w:t>
      </w:r>
      <w:r>
        <w:rPr>
          <w:rtl w:val="true"/>
        </w:rPr>
        <w:t>לצד שינוי ועיצוב מחדש של גדרי העבירה</w:t>
      </w:r>
      <w:r>
        <w:rPr>
          <w:rtl w:val="true"/>
        </w:rPr>
        <w:t xml:space="preserve">. </w:t>
      </w:r>
      <w:r>
        <w:rPr>
          <w:rtl w:val="true"/>
        </w:rPr>
        <w:t xml:space="preserve">פרשנות הסעיף עודנה בשלבי התגבשות </w:t>
      </w:r>
      <w:r>
        <w:rPr>
          <w:rtl w:val="true"/>
        </w:rPr>
        <w:t>(</w:t>
      </w:r>
      <w:r>
        <w:rPr>
          <w:rtl w:val="true"/>
        </w:rPr>
        <w:t>להרחבה ראו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4066/22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</w:t>
      </w:r>
      <w:r>
        <w:rPr/>
        <w:t>6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ניסוח </w:t>
      </w:r>
      <w:r>
        <w:rPr>
          <w:rtl w:val="true"/>
        </w:rPr>
        <w:t>נסיבה מחמירה זו</w:t>
      </w:r>
      <w:r>
        <w:rPr>
          <w:rtl w:val="true"/>
        </w:rPr>
        <w:t xml:space="preserve"> נועד להבהיר את כוונת המחוקק לשנות מהמצב שחל עובר לרפורמה ולקבוע שמקרים של המתה בכוונה שנוצרה באופן ספונטני לא ייכנסו בגדרי</w:t>
      </w:r>
      <w:r>
        <w:rPr>
          <w:rtl w:val="true"/>
        </w:rPr>
        <w:t xml:space="preserve"> העבירה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יצירת הבחנה בין מקרים שבהם מעשה הרצח בוצע לאחר שהעושה שקל והחליט להמית את הקרבן</w:t>
      </w:r>
      <w:r>
        <w:rPr>
          <w:rtl w:val="true"/>
        </w:rPr>
        <w:t xml:space="preserve">; </w:t>
      </w:r>
      <w:r>
        <w:rPr>
          <w:rtl w:val="true"/>
        </w:rPr>
        <w:t>לבין מקרים שבהם ההחלטה להמית התגבשה ללא הפעלת שיקול דעת של ממש</w:t>
      </w:r>
      <w:r>
        <w:rPr>
          <w:rtl w:val="true"/>
        </w:rPr>
        <w:t xml:space="preserve"> </w:t>
      </w:r>
      <w:r>
        <w:rPr>
          <w:rtl w:val="true"/>
        </w:rPr>
        <w:t xml:space="preserve">וללא הכנה הכוללת פעולות מקדימות </w:t>
      </w:r>
      <w:r>
        <w:rPr>
          <w:rtl w:val="true"/>
        </w:rPr>
        <w:t>של</w:t>
      </w:r>
      <w:r>
        <w:rPr>
          <w:rtl w:val="true"/>
        </w:rPr>
        <w:t xml:space="preserve"> העושה קודם לביצוע הרצח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</w:t>
      </w:r>
      <w:r>
        <w:rPr/>
        <w:t>4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בפרט ביחס לפרשנות המונח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הרי שלפני הרפורמה</w:t>
      </w:r>
      <w:r>
        <w:rPr>
          <w:rtl w:val="true"/>
        </w:rPr>
        <w:t xml:space="preserve"> </w:t>
      </w:r>
      <w:r>
        <w:rPr>
          <w:rtl w:val="true"/>
        </w:rPr>
        <w:t>בעבירות ההמתה</w:t>
      </w:r>
      <w:r>
        <w:rPr>
          <w:rtl w:val="true"/>
        </w:rPr>
        <w:t xml:space="preserve"> יסוד ההכנה שבגדרי עבירת הרצח בכוונה תחילה דולל וצומצם לכך שמדובר בהכנה פיזית אשר יכולה להתגבש אף בעיצומה של פעולת הקטילה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הרפורמה בעבירות ההמתה </w:t>
      </w:r>
      <w:r>
        <w:rPr>
          <w:rtl w:val="true"/>
        </w:rPr>
        <w:t>רכיב זה שונה ונוסח מחדש במספר אופנים</w:t>
      </w:r>
      <w:r>
        <w:rPr>
          <w:rtl w:val="true"/>
        </w:rPr>
        <w:t xml:space="preserve">: </w:t>
      </w:r>
      <w:r>
        <w:rPr>
          <w:rtl w:val="true"/>
        </w:rPr>
        <w:t>במישור עיתוי התכנון</w:t>
      </w:r>
      <w:r>
        <w:rPr>
          <w:rtl w:val="true"/>
        </w:rPr>
        <w:t xml:space="preserve">, </w:t>
      </w:r>
      <w:r>
        <w:rPr>
          <w:rtl w:val="true"/>
        </w:rPr>
        <w:t>לשון הסעיף דורשת כי מעשה הרצח בוצע לאחר תכנון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נדרש תכנון מוקדם למעשה הרצח</w:t>
      </w:r>
      <w:r>
        <w:rPr>
          <w:rtl w:val="true"/>
        </w:rPr>
        <w:t xml:space="preserve">, </w:t>
      </w:r>
      <w:r>
        <w:rPr>
          <w:rtl w:val="true"/>
        </w:rPr>
        <w:t>אשר יתקיים מבעוד מועד וקודם למעשה ההמתה</w:t>
      </w:r>
      <w:r>
        <w:rPr>
          <w:rtl w:val="true"/>
        </w:rPr>
        <w:t xml:space="preserve">, </w:t>
      </w:r>
      <w:r>
        <w:rPr>
          <w:rtl w:val="true"/>
        </w:rPr>
        <w:t xml:space="preserve">כך שאינו יכול להתגבש במהלך מעשה ההמתה עצמו כפי שהוכר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רפורמה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נדרש תכנון איכותי אשר יכול להתבטא</w:t>
      </w:r>
      <w:r>
        <w:rPr>
          <w:rtl w:val="true"/>
        </w:rPr>
        <w:t xml:space="preserve">, </w:t>
      </w:r>
      <w:r>
        <w:rPr>
          <w:rtl w:val="true"/>
        </w:rPr>
        <w:t>למשל ובין היתר</w:t>
      </w:r>
      <w:r>
        <w:rPr>
          <w:rtl w:val="true"/>
        </w:rPr>
        <w:t xml:space="preserve">, </w:t>
      </w:r>
      <w:r>
        <w:rPr>
          <w:rtl w:val="true"/>
        </w:rPr>
        <w:t>בהכנת כלי הרצח</w:t>
      </w:r>
      <w:r>
        <w:rPr>
          <w:rtl w:val="true"/>
        </w:rPr>
        <w:t xml:space="preserve">, </w:t>
      </w:r>
      <w:r>
        <w:rPr>
          <w:rtl w:val="true"/>
        </w:rPr>
        <w:t>בחירת עיתוי מתאים לרצח ורקימת תוכנית לביצוע הרצח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25</w:t>
      </w:r>
      <w:r>
        <w:rPr>
          <w:rtl w:val="true"/>
        </w:rPr>
        <w:t xml:space="preserve">). </w:t>
      </w:r>
      <w:r>
        <w:rPr>
          <w:rtl w:val="true"/>
        </w:rPr>
        <w:t>במקרה קודם סקרתי את התפתחות הפסיקה ביישום סעיף זה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וחלופותיו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;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ההתחלה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.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. </w:t>
      </w:r>
      <w:r>
        <w:rPr>
          <w:rtl w:val="true"/>
        </w:rPr>
        <w:t xml:space="preserve">[...]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ומאמץ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>' [...]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כמעדר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34-33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2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גם בהתעלם מדבריו של המערער בחקירה הראשונה</w:t>
      </w:r>
      <w:r>
        <w:rPr>
          <w:rtl w:val="true"/>
        </w:rPr>
        <w:t xml:space="preserve">, </w:t>
      </w:r>
      <w:r>
        <w:rPr>
          <w:rtl w:val="true"/>
        </w:rPr>
        <w:t>קיימות די ראיות על מנת לקבוע כי רצח את המנוח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>לאחר תכנון</w:t>
      </w:r>
      <w:r>
        <w:rPr>
          <w:rtl w:val="true"/>
        </w:rPr>
        <w:t xml:space="preserve">. </w:t>
      </w:r>
      <w:r>
        <w:rPr>
          <w:rtl w:val="true"/>
        </w:rPr>
        <w:t>המערער נעלב עמוקות מהמנוח</w:t>
      </w:r>
      <w:r>
        <w:rPr>
          <w:rtl w:val="true"/>
        </w:rPr>
        <w:t xml:space="preserve">. </w:t>
      </w:r>
      <w:r>
        <w:rPr>
          <w:rtl w:val="true"/>
        </w:rPr>
        <w:t>בחלוף כמה ימים הזמין את המנוח מיוזמתו לזירה והגיע למפגש עם המנוח חמוש בסכין</w:t>
      </w:r>
      <w:r>
        <w:rPr>
          <w:rtl w:val="true"/>
        </w:rPr>
        <w:t xml:space="preserve">. </w:t>
      </w:r>
      <w:r>
        <w:rPr>
          <w:rtl w:val="true"/>
        </w:rPr>
        <w:t>לאחר שהאחרון פנה לעזוב את המקום המערער שלף את הסכין ודקר אותו למוות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יומיים לאחר הוויכוח בין השניים המערער בחר את כלי הרצח</w:t>
      </w:r>
      <w:r>
        <w:rPr>
          <w:rtl w:val="true"/>
        </w:rPr>
        <w:t xml:space="preserve">, </w:t>
      </w:r>
      <w:r>
        <w:rPr>
          <w:rtl w:val="true"/>
        </w:rPr>
        <w:t>בחר את הזירה</w:t>
      </w:r>
      <w:r>
        <w:rPr>
          <w:rtl w:val="true"/>
        </w:rPr>
        <w:t xml:space="preserve">, </w:t>
      </w:r>
      <w:r>
        <w:rPr>
          <w:rtl w:val="true"/>
        </w:rPr>
        <w:t>בחר את העיתוי ובחר לדקור את המנוח בפלג גופו העליון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כעת אפנה לבחינת התזה החלופית של באי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שלפיה המערער לא גמר בדעתו לרצוח את המנוח במהלך סוף השבוע אלא החליט לעשות כן באופן ספונטני ורק משהמנוח סירב להתנצל על דבריו ואולי אף חזר עליהם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טענה זו אינה מתיישבת עם יתר הראיות והממצאים העובדתיים של בית המשפט המחוזי והיא נסמכת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רק על גרסת המערער בעדותו בבית המשפט</w:t>
      </w:r>
      <w:r>
        <w:rPr>
          <w:rtl w:val="true"/>
        </w:rPr>
        <w:t xml:space="preserve">. </w:t>
      </w:r>
      <w:r>
        <w:rPr>
          <w:rtl w:val="true"/>
        </w:rPr>
        <w:t>גרסה אשר בית המשפט המחוזי התרשם</w:t>
      </w:r>
      <w:r>
        <w:rPr>
          <w:rtl w:val="true"/>
        </w:rPr>
        <w:t xml:space="preserve">, </w:t>
      </w:r>
      <w:r>
        <w:rPr>
          <w:rtl w:val="true"/>
        </w:rPr>
        <w:t>ולא בכדי</w:t>
      </w:r>
      <w:r>
        <w:rPr>
          <w:rtl w:val="true"/>
        </w:rPr>
        <w:t xml:space="preserve">, </w:t>
      </w:r>
      <w:r>
        <w:rPr>
          <w:rtl w:val="true"/>
        </w:rPr>
        <w:t>כי היא גרסה כבושה ושקרית אשר הותאמה לראיות שהוצגו לחובת המערער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כפי שנקבע בעבר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ממילא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שהוצגו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>" 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7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</w:t>
      </w:r>
      <w:r>
        <w:rPr>
          <w:rtl w:val="true"/>
        </w:rPr>
        <w:t xml:space="preserve">. </w:t>
      </w:r>
      <w:r>
        <w:rPr>
          <w:rtl w:val="true"/>
        </w:rPr>
        <w:t>עוד יש לציין את דבריו של בוריס גוזמן</w:t>
      </w:r>
      <w:r>
        <w:rPr>
          <w:rtl w:val="true"/>
        </w:rPr>
        <w:t xml:space="preserve">, </w:t>
      </w:r>
      <w:r>
        <w:rPr>
          <w:rtl w:val="true"/>
        </w:rPr>
        <w:t>אשר עבד עם המנוח והיה סמוך אליו כאשר המערער התקשר למנוח ביום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ומסר כי המערער דיבר למנוח באותה שיחה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148</w:t>
      </w:r>
      <w:r>
        <w:rPr>
          <w:rtl w:val="true"/>
        </w:rPr>
        <w:t xml:space="preserve">). </w:t>
      </w:r>
      <w:r>
        <w:rPr>
          <w:rtl w:val="true"/>
        </w:rPr>
        <w:t>גם דברים אלו אינם מתיישבים עם טענת המערער כי ה</w:t>
      </w:r>
      <w:r>
        <w:rPr>
          <w:rtl w:val="true"/>
        </w:rPr>
        <w:t>"</w:t>
      </w:r>
      <w:r>
        <w:rPr>
          <w:rtl w:val="true"/>
        </w:rPr>
        <w:t>טריגר</w:t>
      </w:r>
      <w:r>
        <w:rPr>
          <w:rtl w:val="true"/>
        </w:rPr>
        <w:t xml:space="preserve">" </w:t>
      </w:r>
      <w:r>
        <w:rPr>
          <w:rtl w:val="true"/>
        </w:rPr>
        <w:t>לרצח היה רק במפגש עצמו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ובשילוב עם ההלכה הידועה שלפיה </w:t>
      </w:r>
      <w:r>
        <w:rPr>
          <w:rtl w:val="true"/>
        </w:rPr>
        <w:t xml:space="preserve">ערכאת הערעור אינה נוהגת להתערב בממצאי עובדה ומהימנות שנקבעו על ידי הערכאה הדיונית אשר התרשמה באורח ישיר מהעדויות שהובאו </w:t>
      </w:r>
      <w:r>
        <w:rPr>
          <w:rtl w:val="true"/>
        </w:rPr>
        <w:t>ל</w:t>
      </w:r>
      <w:r>
        <w:rPr>
          <w:rtl w:val="true"/>
        </w:rPr>
        <w:t>פניה ומהשתלבותן במארג הראייתי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4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יש לדחות את התזה החלופית לה טוענים באי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ובגדר למעלה מן הנדרש</w:t>
      </w:r>
      <w:r>
        <w:rPr>
          <w:rtl w:val="true"/>
        </w:rPr>
        <w:t xml:space="preserve">, </w:t>
      </w:r>
      <w:r>
        <w:rPr>
          <w:rtl w:val="true"/>
        </w:rPr>
        <w:t>גם אם המערער החליט להמית את המנוח רק במקרה שהוא יסרב להתנצל על דבריו</w:t>
      </w:r>
      <w:r>
        <w:rPr>
          <w:rtl w:val="true"/>
        </w:rPr>
        <w:t xml:space="preserve">, </w:t>
      </w:r>
      <w:r>
        <w:rPr>
          <w:rtl w:val="true"/>
        </w:rPr>
        <w:t>הרי שהדבר אינו מסייע לו לטעמי</w:t>
      </w:r>
      <w:r>
        <w:rPr>
          <w:rtl w:val="true"/>
        </w:rPr>
        <w:t xml:space="preserve">. </w:t>
      </w:r>
      <w:r>
        <w:rPr>
          <w:rtl w:val="true"/>
        </w:rPr>
        <w:t>התלבטות ממושכת של נאשם וגיבוש החלטה להמית בכפוף לתנאים מסוימים אינה ממתנת את מידת אשמו</w:t>
      </w:r>
      <w:r>
        <w:rPr>
          <w:rtl w:val="true"/>
        </w:rPr>
        <w:t xml:space="preserve">. </w:t>
      </w:r>
      <w:r>
        <w:rPr>
          <w:rtl w:val="true"/>
        </w:rPr>
        <w:t xml:space="preserve">חומרת אשמתו של </w:t>
      </w:r>
      <w:r>
        <w:rPr>
          <w:rtl w:val="true"/>
        </w:rPr>
        <w:t xml:space="preserve">נאשם הרוצח בנסיבות אלו </w:t>
      </w:r>
      <w:r>
        <w:rPr>
          <w:rtl w:val="true"/>
        </w:rPr>
        <w:t xml:space="preserve">נעוצה </w:t>
      </w:r>
      <w:r>
        <w:rPr>
          <w:rtl w:val="true"/>
        </w:rPr>
        <w:t xml:space="preserve">בדיוק </w:t>
      </w:r>
      <w:r>
        <w:rPr>
          <w:rtl w:val="true"/>
        </w:rPr>
        <w:t>בכך שהתגבר על עכבות מוסריות וערכיות קודם ביצוע מעשה ההמתה</w:t>
      </w:r>
      <w:r>
        <w:rPr>
          <w:rtl w:val="true"/>
        </w:rPr>
        <w:t xml:space="preserve">, </w:t>
      </w:r>
      <w:r>
        <w:rPr>
          <w:rtl w:val="true"/>
        </w:rPr>
        <w:t>והסיר מדרכו משוכות אתיות לצורך ביצוע הרצח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מתעצמת הזדהות הרוצח עם מעשה העבירה</w:t>
      </w:r>
      <w:r>
        <w:rPr>
          <w:rtl w:val="true"/>
        </w:rPr>
        <w:t xml:space="preserve">, </w:t>
      </w:r>
      <w:r>
        <w:rPr>
          <w:rtl w:val="true"/>
        </w:rPr>
        <w:t>כאשר הבחירה לפגוע בערך חיי האדם היא בחירה שלמה ומוחלטת</w:t>
      </w:r>
      <w:r>
        <w:rPr>
          <w:rtl w:val="true"/>
        </w:rPr>
        <w:t xml:space="preserve">, </w:t>
      </w:r>
      <w:r>
        <w:rPr>
          <w:rtl w:val="true"/>
        </w:rPr>
        <w:t>לאחר שהתלבט ושקל אם לעשות כן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רנוב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24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אם הטענה היא שהמערער התחבט באפשרות המתת המנוח</w:t>
      </w:r>
      <w:r>
        <w:rPr>
          <w:rtl w:val="true"/>
        </w:rPr>
        <w:t xml:space="preserve">, </w:t>
      </w:r>
      <w:r>
        <w:rPr>
          <w:rtl w:val="true"/>
        </w:rPr>
        <w:t xml:space="preserve">הזמין את המנוח למפגש תוך שהוא קיבל החלטה להמיתו </w:t>
      </w:r>
      <w:r>
        <w:rPr>
          <w:rtl w:val="true"/>
        </w:rPr>
        <w:t>"</w:t>
      </w:r>
      <w:r>
        <w:rPr>
          <w:rtl w:val="true"/>
        </w:rPr>
        <w:t>על תנאי</w:t>
      </w:r>
      <w:r>
        <w:rPr>
          <w:rtl w:val="true"/>
        </w:rPr>
        <w:t xml:space="preserve">", </w:t>
      </w:r>
      <w:r>
        <w:rPr>
          <w:rtl w:val="true"/>
        </w:rPr>
        <w:t>הצטייד בסכין לצורך המפגש</w:t>
      </w:r>
      <w:r>
        <w:rPr>
          <w:rtl w:val="true"/>
        </w:rPr>
        <w:t xml:space="preserve">, </w:t>
      </w:r>
      <w:r>
        <w:rPr>
          <w:rtl w:val="true"/>
        </w:rPr>
        <w:t xml:space="preserve">ורק משהתקיים התנאי </w:t>
      </w:r>
      <w:r>
        <w:rPr>
          <w:rtl w:val="true"/>
        </w:rPr>
        <w:t>–</w:t>
      </w:r>
      <w:r>
        <w:rPr>
          <w:rtl w:val="true"/>
        </w:rPr>
        <w:t xml:space="preserve"> אי התנצלות המנוח </w:t>
      </w:r>
      <w:r>
        <w:rPr>
          <w:rtl w:val="true"/>
        </w:rPr>
        <w:t>–</w:t>
      </w:r>
      <w:r>
        <w:rPr>
          <w:rtl w:val="true"/>
        </w:rPr>
        <w:t xml:space="preserve"> בחר להמיתו</w:t>
      </w:r>
      <w:r>
        <w:rPr>
          <w:rtl w:val="true"/>
        </w:rPr>
        <w:t xml:space="preserve">, </w:t>
      </w:r>
      <w:r>
        <w:rPr>
          <w:rtl w:val="true"/>
        </w:rPr>
        <w:t>הרי שזה מקרה מובהק שבו קדם למעשה ההמתה תכנון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במישור המעשי</w:t>
      </w:r>
      <w:r>
        <w:rPr>
          <w:rtl w:val="true"/>
        </w:rPr>
        <w:t xml:space="preserve">, </w:t>
      </w:r>
      <w:r>
        <w:rPr>
          <w:rtl w:val="true"/>
        </w:rPr>
        <w:t>לא אחת אנו דנים במקרי רצח שבהם הנאשם ניצב בפני מספר צמתי קבלת החלטות</w:t>
      </w:r>
      <w:r>
        <w:rPr>
          <w:rtl w:val="true"/>
        </w:rPr>
        <w:t xml:space="preserve">, </w:t>
      </w:r>
      <w:r>
        <w:rPr>
          <w:rtl w:val="true"/>
        </w:rPr>
        <w:t>ובעוד שהוא יכול לבחור בכל צומת לסגת מתכניתו העבריינית</w:t>
      </w:r>
      <w:r>
        <w:rPr>
          <w:rtl w:val="true"/>
        </w:rPr>
        <w:t xml:space="preserve">, </w:t>
      </w:r>
      <w:r>
        <w:rPr>
          <w:rtl w:val="true"/>
        </w:rPr>
        <w:t>הוא דבק בהחלטתו לקדמה ולהמית את הקורבן</w:t>
      </w:r>
      <w:r>
        <w:rPr>
          <w:rtl w:val="true"/>
        </w:rPr>
        <w:t xml:space="preserve">, </w:t>
      </w:r>
      <w:r>
        <w:rPr>
          <w:rtl w:val="true"/>
        </w:rPr>
        <w:t>תוך שהוא פוסע צעד נוסף לקראת השלמתה</w:t>
      </w:r>
      <w:r>
        <w:rPr>
          <w:rtl w:val="true"/>
        </w:rPr>
        <w:t xml:space="preserve">. </w:t>
      </w:r>
      <w:r>
        <w:rPr>
          <w:rtl w:val="true"/>
        </w:rPr>
        <w:t>מקרה כגון המקרה שלפנינו</w:t>
      </w:r>
      <w:r>
        <w:rPr>
          <w:rtl w:val="true"/>
        </w:rPr>
        <w:t xml:space="preserve">, </w:t>
      </w:r>
      <w:r>
        <w:rPr>
          <w:rtl w:val="true"/>
        </w:rPr>
        <w:t>שבו חולף זמן משמעותי בין העלבון שהוביל לרצח לבין הרצח עצמו</w:t>
      </w:r>
      <w:r>
        <w:rPr>
          <w:rtl w:val="true"/>
        </w:rPr>
        <w:t xml:space="preserve">, </w:t>
      </w:r>
      <w:r>
        <w:rPr>
          <w:rtl w:val="true"/>
        </w:rPr>
        <w:t>אף מעיד על תהליך פנימי של הנאשם</w:t>
      </w:r>
      <w:r>
        <w:rPr>
          <w:rtl w:val="true"/>
        </w:rPr>
        <w:t xml:space="preserve">, </w:t>
      </w:r>
      <w:r>
        <w:rPr>
          <w:rtl w:val="true"/>
        </w:rPr>
        <w:t>אשר בא לידי ביטוי גם בביצוע פעולות לעבר הגשמת התכנון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באופן עקרוני</w:t>
      </w:r>
      <w:r>
        <w:rPr>
          <w:rtl w:val="true"/>
        </w:rPr>
        <w:t xml:space="preserve">, </w:t>
      </w:r>
      <w:r>
        <w:rPr>
          <w:rtl w:val="true"/>
        </w:rPr>
        <w:t xml:space="preserve">קבלת החלטה מחושבת להמית את הקורבן </w:t>
      </w:r>
      <w:r>
        <w:rPr>
          <w:rtl w:val="true"/>
        </w:rPr>
        <w:t>"</w:t>
      </w:r>
      <w:r>
        <w:rPr>
          <w:rtl w:val="true"/>
        </w:rPr>
        <w:t>על תנאי</w:t>
      </w:r>
      <w:r>
        <w:rPr>
          <w:rtl w:val="true"/>
        </w:rPr>
        <w:t xml:space="preserve">", </w:t>
      </w:r>
      <w:r>
        <w:rPr>
          <w:rtl w:val="true"/>
        </w:rPr>
        <w:t>תוך שקילת אפשרות זו בכובד ראש</w:t>
      </w:r>
      <w:r>
        <w:rPr>
          <w:rtl w:val="true"/>
        </w:rPr>
        <w:t xml:space="preserve">, </w:t>
      </w:r>
      <w:r>
        <w:rPr>
          <w:rtl w:val="true"/>
        </w:rPr>
        <w:t>היא מקרה כמעט הפוך ממקרה המתה ספונטני</w:t>
      </w:r>
      <w:r>
        <w:rPr>
          <w:rtl w:val="true"/>
        </w:rPr>
        <w:t xml:space="preserve">. </w:t>
      </w:r>
      <w:r>
        <w:rPr>
          <w:rtl w:val="true"/>
        </w:rPr>
        <w:t>גם אם ההחלטה לממש באופן מלא את תכנון הרצח התקבלה ממש בסמוך לרצח עצמו</w:t>
      </w:r>
      <w:r>
        <w:rPr>
          <w:rtl w:val="true"/>
        </w:rPr>
        <w:t xml:space="preserve">, </w:t>
      </w:r>
      <w:r>
        <w:rPr>
          <w:rtl w:val="true"/>
        </w:rPr>
        <w:t>ואין אינדיקציה שזה המקרה בענייננו</w:t>
      </w:r>
      <w:r>
        <w:rPr>
          <w:rtl w:val="true"/>
        </w:rPr>
        <w:t xml:space="preserve">, </w:t>
      </w:r>
      <w:r>
        <w:rPr>
          <w:rtl w:val="true"/>
        </w:rPr>
        <w:t>הרי שהרצח התבצע לאחר תכנון שבא לידי ביטוי ברצף פעולות אקטיביות של הרוצח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הערתי זו היא בגדר למעלה מן הנדרש</w:t>
      </w:r>
      <w:r>
        <w:rPr>
          <w:rtl w:val="true"/>
        </w:rPr>
        <w:t xml:space="preserve">, </w:t>
      </w:r>
      <w:r>
        <w:rPr>
          <w:rtl w:val="true"/>
        </w:rPr>
        <w:t>וזאת מאחר שממילא במישור העובדתי לטענת המערער אין על מה להסתמך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עמדתי זו</w:t>
      </w:r>
      <w:r>
        <w:rPr>
          <w:rtl w:val="true"/>
        </w:rPr>
        <w:t xml:space="preserve">, </w:t>
      </w:r>
      <w:r>
        <w:rPr>
          <w:rtl w:val="true"/>
        </w:rPr>
        <w:t>שלפיה די במארג הראייתי הקיים מלבד הודאת המערער בחקירתו הראשונה</w:t>
      </w:r>
      <w:r>
        <w:rPr>
          <w:rtl w:val="true"/>
        </w:rPr>
        <w:t xml:space="preserve">, </w:t>
      </w:r>
      <w:r>
        <w:rPr>
          <w:rtl w:val="true"/>
        </w:rPr>
        <w:t>לא ארחיב בדבר הפגמים הנטענים בחקירת המערער ואוסיף רק מספר הערות ביחס להן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צפיתי לא אחת בתיעוד חקירת המערער</w:t>
      </w:r>
      <w:r>
        <w:rPr>
          <w:rtl w:val="true"/>
        </w:rPr>
        <w:t xml:space="preserve">. </w:t>
      </w:r>
      <w:r>
        <w:rPr>
          <w:rtl w:val="true"/>
        </w:rPr>
        <w:t>כפי שבאי</w:t>
      </w:r>
      <w:r>
        <w:rPr>
          <w:rtl w:val="true"/>
        </w:rPr>
        <w:t>-</w:t>
      </w:r>
      <w:r>
        <w:rPr>
          <w:rtl w:val="true"/>
        </w:rPr>
        <w:t>כוח המערער מודים בהגינותם</w:t>
      </w:r>
      <w:r>
        <w:rPr>
          <w:rtl w:val="true"/>
        </w:rPr>
        <w:t xml:space="preserve">, </w:t>
      </w:r>
      <w:r>
        <w:rPr>
          <w:rtl w:val="true"/>
        </w:rPr>
        <w:t>החקירה נערכה באווירה נינוחה וראויה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אם מתעוררת תחושת אי</w:t>
      </w:r>
      <w:r>
        <w:rPr>
          <w:rtl w:val="true"/>
        </w:rPr>
        <w:t xml:space="preserve">- </w:t>
      </w:r>
      <w:r>
        <w:rPr>
          <w:rtl w:val="true"/>
        </w:rPr>
        <w:t>נוחות מצפייה בתיעוד החקירה</w:t>
      </w:r>
      <w:r>
        <w:rPr>
          <w:rtl w:val="true"/>
        </w:rPr>
        <w:t xml:space="preserve">, </w:t>
      </w:r>
      <w:r>
        <w:rPr>
          <w:rtl w:val="true"/>
        </w:rPr>
        <w:t>הרי שהיא מהאופן הבלתי מקצועי שבו נוהלה לפרקים</w:t>
      </w:r>
      <w:r>
        <w:rPr>
          <w:rtl w:val="true"/>
        </w:rPr>
        <w:t xml:space="preserve">, </w:t>
      </w:r>
      <w:r>
        <w:rPr>
          <w:rtl w:val="true"/>
        </w:rPr>
        <w:t>אשר ייתכן שפגם באיכות החקירה</w:t>
      </w:r>
      <w:r>
        <w:rPr>
          <w:rtl w:val="true"/>
        </w:rPr>
        <w:t xml:space="preserve">, </w:t>
      </w:r>
      <w:r>
        <w:rPr>
          <w:rtl w:val="true"/>
        </w:rPr>
        <w:t>אבל לא גרע מזכויות המערער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דומה כי ניהול מקצועי וממוקד יותר של אותה החקירה לא היה מטיב את מצבו הראייתי של המערער</w:t>
      </w:r>
      <w:r>
        <w:rPr>
          <w:rtl w:val="true"/>
        </w:rPr>
        <w:t xml:space="preserve">, </w:t>
      </w:r>
      <w:r>
        <w:rPr>
          <w:rtl w:val="true"/>
        </w:rPr>
        <w:t>אלא מקשה עליו עוד 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המשפט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שאומרת החוקרת למערער בחקירה המתועדת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tl w:val="true"/>
        </w:rPr>
        <w:t>" [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 xml:space="preserve">בעמוד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3-1</w:t>
      </w:r>
      <w:r>
        <w:rPr>
          <w:rtl w:val="true"/>
        </w:rPr>
        <w:t xml:space="preserve">]. </w:t>
      </w: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>החוקרת העידה כי עוד לפני כן</w:t>
      </w:r>
      <w:r>
        <w:rPr>
          <w:rtl w:val="true"/>
        </w:rPr>
        <w:t xml:space="preserve">, </w:t>
      </w:r>
      <w:r>
        <w:rPr>
          <w:rtl w:val="true"/>
        </w:rPr>
        <w:t>בחלק שלא תועד</w:t>
      </w:r>
      <w:r>
        <w:rPr>
          <w:rtl w:val="true"/>
        </w:rPr>
        <w:t xml:space="preserve">, </w:t>
      </w:r>
      <w:r>
        <w:rPr>
          <w:rtl w:val="true"/>
        </w:rPr>
        <w:t>העמידה את המערער על זכויותי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כך הדברים נכתבו במסגרת 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בהיותי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רוטמן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יצאתי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יפימוב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סרגיי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פניתי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ברוסית</w:t>
      </w:r>
      <w:r>
        <w:rPr>
          <w:rtl w:val="true"/>
        </w:rPr>
        <w:t xml:space="preserve">,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בלפור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למשרד</w:t>
      </w:r>
      <w:r>
        <w:rPr>
          <w:rtl w:val="true"/>
        </w:rPr>
        <w:t xml:space="preserve">, </w:t>
      </w:r>
      <w:r>
        <w:rPr>
          <w:rtl w:val="true"/>
        </w:rPr>
        <w:t>וביקשתי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למסדרון</w:t>
      </w:r>
      <w:r>
        <w:rPr>
          <w:rtl w:val="true"/>
        </w:rPr>
        <w:t xml:space="preserve">.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ונסער</w:t>
      </w:r>
      <w:r>
        <w:rPr>
          <w:rtl w:val="true"/>
        </w:rPr>
        <w:t xml:space="preserve">.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: </w:t>
      </w:r>
      <w:r>
        <w:rPr>
          <w:rtl w:val="true"/>
        </w:rPr>
        <w:t>'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פידרס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ברוסית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פידרס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והקראתי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הזכויות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פרטים</w:t>
      </w:r>
      <w:r>
        <w:rPr>
          <w:rtl w:val="true"/>
        </w:rPr>
        <w:t xml:space="preserve">.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: </w:t>
      </w:r>
      <w:r>
        <w:rPr>
          <w:rtl w:val="true"/>
        </w:rPr>
        <w:t>'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גריגורי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לאחר שהתרשם מעדות החוקרת לפניו</w:t>
      </w:r>
      <w:r>
        <w:rPr>
          <w:rtl w:val="true"/>
        </w:rPr>
        <w:t xml:space="preserve">, </w:t>
      </w:r>
      <w:r>
        <w:rPr>
          <w:rtl w:val="true"/>
        </w:rPr>
        <w:t>נתן אמון בדבריה כי העמידה את המערער על זכויותיו כפי שגם העידה</w:t>
      </w:r>
      <w:r>
        <w:rPr>
          <w:rtl w:val="true"/>
        </w:rPr>
        <w:t xml:space="preserve">. </w:t>
      </w:r>
      <w:r>
        <w:rPr>
          <w:rtl w:val="true"/>
        </w:rPr>
        <w:t>בקביעה זו איני רואה כל הצדקה להתערב</w:t>
      </w:r>
      <w:r>
        <w:rPr>
          <w:rtl w:val="true"/>
        </w:rPr>
        <w:t xml:space="preserve">. </w:t>
      </w:r>
      <w:r>
        <w:rPr>
          <w:rtl w:val="true"/>
        </w:rPr>
        <w:t>עוד ראוי לציין</w:t>
      </w:r>
      <w:r>
        <w:rPr>
          <w:rtl w:val="true"/>
        </w:rPr>
        <w:t xml:space="preserve">, </w:t>
      </w:r>
      <w:r>
        <w:rPr>
          <w:rtl w:val="true"/>
        </w:rPr>
        <w:t>כי כמתועד 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וכמצוטט לעיל</w:t>
      </w:r>
      <w:r>
        <w:rPr>
          <w:rtl w:val="true"/>
        </w:rPr>
        <w:t xml:space="preserve">, </w:t>
      </w:r>
      <w:r>
        <w:rPr>
          <w:rtl w:val="true"/>
        </w:rPr>
        <w:t xml:space="preserve">המערער אמר כבר בשלב זה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ימות</w:t>
      </w:r>
      <w:r>
        <w:rPr>
          <w:rtl w:val="true"/>
        </w:rPr>
        <w:t xml:space="preserve">, </w:t>
      </w:r>
      <w:r>
        <w:rPr>
          <w:rtl w:val="true"/>
        </w:rPr>
        <w:t>כך שכל פגם שנטען כי נפל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נעדר קשר סיבתי להודאה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8457/15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גאזי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ווזווז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</w:t>
      </w:r>
      <w:r>
        <w:rPr/>
        <w:t>.11.2018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ניתן להתרשם שאזהרות החוקרת לא השפיעו כהוא זה על המערער</w:t>
      </w:r>
      <w:r>
        <w:rPr>
          <w:rtl w:val="true"/>
        </w:rPr>
        <w:t xml:space="preserve">, </w:t>
      </w:r>
      <w:r>
        <w:rPr>
          <w:rtl w:val="true"/>
        </w:rPr>
        <w:t>אשר היה מודע לזכויותיו כשם שהיה נחוש למסור את גרסתו</w:t>
      </w:r>
      <w:r>
        <w:rPr>
          <w:rtl w:val="true"/>
        </w:rPr>
        <w:t xml:space="preserve">. </w:t>
      </w:r>
      <w:r>
        <w:rPr>
          <w:rtl w:val="true"/>
        </w:rPr>
        <w:t>אף קשה לראות איזו משמעות מעשית יש לטענה שלא הובהר למערער כבר בתחילת החקירה במה הוא חשוד</w:t>
      </w:r>
      <w:r>
        <w:rPr>
          <w:rtl w:val="true"/>
        </w:rPr>
        <w:t xml:space="preserve">, </w:t>
      </w:r>
      <w:r>
        <w:rPr>
          <w:rtl w:val="true"/>
        </w:rPr>
        <w:t>אם אכן כך</w:t>
      </w:r>
      <w:r>
        <w:rPr>
          <w:rtl w:val="true"/>
        </w:rPr>
        <w:t xml:space="preserve">, </w:t>
      </w:r>
      <w:r>
        <w:rPr>
          <w:rtl w:val="true"/>
        </w:rPr>
        <w:t>בהתחשב בעובדה שהוא זה שהתייצב בתחנת המשטרה על מנת לדווח שדקר את המנוח</w:t>
      </w:r>
      <w:r>
        <w:rPr>
          <w:rtl w:val="true"/>
        </w:rPr>
        <w:t xml:space="preserve">; </w:t>
      </w:r>
      <w:r>
        <w:rPr>
          <w:rtl w:val="true"/>
        </w:rPr>
        <w:t>ונוכח זאת שנאמר לו במהלך החקירה הראשונה</w:t>
      </w:r>
      <w:r>
        <w:rPr>
          <w:rtl w:val="true"/>
        </w:rPr>
        <w:t xml:space="preserve">, </w:t>
      </w:r>
      <w:r>
        <w:rPr>
          <w:rtl w:val="true"/>
        </w:rPr>
        <w:t>לאחר שנודע כי המנוח נפטר</w:t>
      </w:r>
      <w:r>
        <w:rPr>
          <w:rtl w:val="true"/>
        </w:rPr>
        <w:t xml:space="preserve">, </w:t>
      </w:r>
      <w:r>
        <w:rPr>
          <w:rtl w:val="true"/>
        </w:rPr>
        <w:t xml:space="preserve">כי הוא חשוד ברצח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גם אם ניתן למצוא עניין כזה או אחר שבו ראוי היה לדקדק יותר</w:t>
      </w:r>
      <w:r>
        <w:rPr>
          <w:rtl w:val="true"/>
        </w:rPr>
        <w:t xml:space="preserve">, </w:t>
      </w:r>
      <w:r>
        <w:rPr>
          <w:rtl w:val="true"/>
        </w:rPr>
        <w:t>אין מדובר בפגם של ממש</w:t>
      </w:r>
      <w:r>
        <w:rPr>
          <w:rtl w:val="true"/>
        </w:rPr>
        <w:t xml:space="preserve">, </w:t>
      </w:r>
      <w:r>
        <w:rPr>
          <w:rtl w:val="true"/>
        </w:rPr>
        <w:t>אין קשר סיבתי בין פגם שכזה לבין ליבת הודאת המערער וכמובן שאין מקום לסעד מכוח דוקטרינת ההגנה מן הצדק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הטענה כי המערער היה שיכור בחקירה הראשונה מאבדת אפוא מחשיבותה לאור קביעותיי לעיל</w:t>
      </w:r>
      <w:r>
        <w:rPr>
          <w:rtl w:val="true"/>
        </w:rPr>
        <w:t xml:space="preserve">.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>ראוי להדגיש כי איש מבין הסובבים את המערער בכל אותה חקירה ממושכת</w:t>
      </w:r>
      <w:r>
        <w:rPr>
          <w:rtl w:val="true"/>
        </w:rPr>
        <w:t xml:space="preserve">, </w:t>
      </w:r>
      <w:r>
        <w:rPr>
          <w:rtl w:val="true"/>
        </w:rPr>
        <w:t>לא התרשם כי המערער שיכור</w:t>
      </w:r>
      <w:r>
        <w:rPr>
          <w:rtl w:val="true"/>
        </w:rPr>
        <w:t xml:space="preserve">, </w:t>
      </w:r>
      <w:r>
        <w:rPr>
          <w:rtl w:val="true"/>
        </w:rPr>
        <w:t xml:space="preserve">ודאי שלא </w:t>
      </w:r>
      <w:r>
        <w:rPr>
          <w:rtl w:val="true"/>
        </w:rPr>
        <w:t>"</w:t>
      </w:r>
      <w:r>
        <w:rPr>
          <w:rtl w:val="true"/>
        </w:rPr>
        <w:t>שיכור כלוט</w:t>
      </w:r>
      <w:r>
        <w:rPr>
          <w:rtl w:val="true"/>
        </w:rPr>
        <w:t xml:space="preserve">" </w:t>
      </w:r>
      <w:r>
        <w:rPr>
          <w:rtl w:val="true"/>
        </w:rPr>
        <w:t>כפי שנטען</w:t>
      </w:r>
      <w:r>
        <w:rPr>
          <w:rtl w:val="true"/>
        </w:rPr>
        <w:t xml:space="preserve">. </w:t>
      </w:r>
      <w:r>
        <w:rPr>
          <w:rtl w:val="true"/>
        </w:rPr>
        <w:t>המערער עצמו לא טען זאת ולו פעם אחת במהלך החקירה</w:t>
      </w:r>
      <w:r>
        <w:rPr>
          <w:rtl w:val="true"/>
        </w:rPr>
        <w:t xml:space="preserve">. </w:t>
      </w:r>
      <w:r>
        <w:rPr>
          <w:rtl w:val="true"/>
        </w:rPr>
        <w:t>טענה זו מסתמכת למעשה</w:t>
      </w:r>
      <w:r>
        <w:rPr>
          <w:rtl w:val="true"/>
        </w:rPr>
        <w:t xml:space="preserve">, </w:t>
      </w:r>
      <w:r>
        <w:rPr>
          <w:rtl w:val="true"/>
        </w:rPr>
        <w:t>כמעט באופן בלעדי</w:t>
      </w:r>
      <w:r>
        <w:rPr>
          <w:rtl w:val="true"/>
        </w:rPr>
        <w:t xml:space="preserve">, </w:t>
      </w:r>
      <w:r>
        <w:rPr>
          <w:rtl w:val="true"/>
        </w:rPr>
        <w:t>על גרסתו הכבושה של המערער עצמו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כאשר אנו מתבקשים להעדיף את גרסת המערער על פני העולה מיתר הראיות</w:t>
      </w:r>
      <w:r>
        <w:rPr>
          <w:rtl w:val="true"/>
        </w:rPr>
        <w:t xml:space="preserve">, </w:t>
      </w:r>
      <w:r>
        <w:rPr>
          <w:rtl w:val="true"/>
        </w:rPr>
        <w:t>ראוי להעניק משקל נכבד גם להתנהלותו בחקירות המאוחרות יותר במשטרה</w:t>
      </w:r>
      <w:r>
        <w:rPr>
          <w:rtl w:val="true"/>
        </w:rPr>
        <w:t xml:space="preserve">. </w:t>
      </w:r>
      <w:r>
        <w:rPr>
          <w:rtl w:val="true"/>
        </w:rPr>
        <w:t>בחקירתו השנייה במשטרה</w:t>
      </w:r>
      <w:r>
        <w:rPr>
          <w:rtl w:val="true"/>
        </w:rPr>
        <w:t xml:space="preserve">, </w:t>
      </w:r>
      <w:r>
        <w:rPr>
          <w:rtl w:val="true"/>
        </w:rPr>
        <w:t>שנערכה מספר שעות לאחר חקירתו הראשונה</w:t>
      </w:r>
      <w:r>
        <w:rPr>
          <w:rtl w:val="true"/>
        </w:rPr>
        <w:t xml:space="preserve">, </w:t>
      </w:r>
      <w:r>
        <w:rPr>
          <w:rtl w:val="true"/>
        </w:rPr>
        <w:t>כאשר נשאל מדוע הגיע לתחנת המשטרה עם בני משפחתו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למשטרה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טען כי הוא סובל מבעיית זיכרון בשל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אפליפסיה</w:t>
      </w:r>
      <w:r>
        <w:rPr>
          <w:rtl w:val="true"/>
        </w:rPr>
        <w:t xml:space="preserve">, </w:t>
      </w:r>
      <w:r>
        <w:rPr>
          <w:rtl w:val="true"/>
        </w:rPr>
        <w:t>ולכן כלל אינו זוכר מדוע הגיע לתחנת המשטרה</w:t>
      </w:r>
      <w:r>
        <w:rPr>
          <w:rtl w:val="true"/>
        </w:rPr>
        <w:t xml:space="preserve">. </w:t>
      </w:r>
      <w:r>
        <w:rPr>
          <w:rtl w:val="true"/>
        </w:rPr>
        <w:t>כאשר החוקר שאל את המערער כיצד הוא מסביר שלפני מספר שעות לא סבל מבעיית זיכרון</w:t>
      </w:r>
      <w:r>
        <w:rPr>
          <w:rtl w:val="true"/>
        </w:rPr>
        <w:t xml:space="preserve">, </w:t>
      </w:r>
      <w:r>
        <w:rPr>
          <w:rtl w:val="true"/>
        </w:rPr>
        <w:t>המערער השיב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להגיד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54</w:t>
      </w:r>
      <w:r>
        <w:rPr>
          <w:rtl w:val="true"/>
        </w:rPr>
        <w:t xml:space="preserve">). </w:t>
      </w:r>
      <w:r>
        <w:rPr>
          <w:rtl w:val="true"/>
        </w:rPr>
        <w:t xml:space="preserve">המערער אף טען כי הוא כלל אינו זוכר את החוקרת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), </w:t>
      </w:r>
      <w:r>
        <w:rPr>
          <w:rtl w:val="true"/>
        </w:rPr>
        <w:t>והוסיף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נסענו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למשטרה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במדרגות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ואחרי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63-62</w:t>
      </w:r>
      <w:r>
        <w:rPr>
          <w:rtl w:val="true"/>
        </w:rPr>
        <w:t xml:space="preserve">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המערער טען כי כל אותה חקירה ארוכה</w:t>
      </w:r>
      <w:r>
        <w:rPr>
          <w:rtl w:val="true"/>
        </w:rPr>
        <w:t xml:space="preserve">, </w:t>
      </w:r>
      <w:r>
        <w:rPr>
          <w:rtl w:val="true"/>
        </w:rPr>
        <w:t>אשר תועדה כאמור גם באמצעות הקלטת וידאו</w:t>
      </w:r>
      <w:r>
        <w:rPr>
          <w:rtl w:val="true"/>
        </w:rPr>
        <w:t xml:space="preserve">, </w:t>
      </w:r>
      <w:r>
        <w:rPr>
          <w:rtl w:val="true"/>
        </w:rPr>
        <w:t>נשתכחה ממנו לחלוטין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 גרסה זו</w:t>
      </w:r>
      <w:r>
        <w:rPr>
          <w:rtl w:val="true"/>
        </w:rPr>
        <w:t xml:space="preserve">, </w:t>
      </w:r>
      <w:r>
        <w:rPr>
          <w:rtl w:val="true"/>
        </w:rPr>
        <w:t xml:space="preserve">בחקירתו הנגדית בבית המשפט המערער טען כי אינו זוכר את החקירה הראשונה מאחר שהיה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שיכור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דיון מיום </w:t>
      </w:r>
      <w:r>
        <w:rPr/>
        <w:t>20.2.2022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). </w:t>
      </w:r>
      <w:r>
        <w:rPr>
          <w:rtl w:val="true"/>
        </w:rPr>
        <w:t xml:space="preserve">גרסת השכחה בשל מחלת האפילפסיה ממנה נטען שהוא סובל </w:t>
      </w:r>
      <w:r>
        <w:rPr>
          <w:rtl w:val="true"/>
        </w:rPr>
        <w:t>–</w:t>
      </w:r>
      <w:r>
        <w:rPr>
          <w:rtl w:val="true"/>
        </w:rPr>
        <w:t xml:space="preserve"> נעלמה כלא הייתה</w:t>
      </w:r>
      <w:r>
        <w:rPr>
          <w:rtl w:val="true"/>
        </w:rPr>
        <w:t xml:space="preserve">. </w:t>
      </w:r>
      <w:r>
        <w:rPr>
          <w:rtl w:val="true"/>
        </w:rPr>
        <w:t>בחקירתו הנגדית המערער הסביר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ברוסיה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אלכוהול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האשמה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המערער רמז כי נמנע מלטעון לשכרות מתוך חשש כי הדבר יכביד על עונשו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אלא שגם טענה זו</w:t>
      </w:r>
      <w:r>
        <w:rPr>
          <w:rtl w:val="true"/>
        </w:rPr>
        <w:t xml:space="preserve">, </w:t>
      </w:r>
      <w:r>
        <w:rPr>
          <w:rtl w:val="true"/>
        </w:rPr>
        <w:t>אף אם נקבלה</w:t>
      </w:r>
      <w:r>
        <w:rPr>
          <w:rtl w:val="true"/>
        </w:rPr>
        <w:t xml:space="preserve">, </w:t>
      </w:r>
      <w:r>
        <w:rPr>
          <w:rtl w:val="true"/>
        </w:rPr>
        <w:t>מלמדת כי המערער נכון היה לשקר לחוקריו לצרכיו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בטענה זו באה לידי ביטוי הנחה כי המערער כלכל בזהירות את צעדיו בחקירה</w:t>
      </w:r>
      <w:r>
        <w:rPr>
          <w:rtl w:val="true"/>
        </w:rPr>
        <w:t xml:space="preserve">, </w:t>
      </w:r>
      <w:r>
        <w:rPr>
          <w:rtl w:val="true"/>
        </w:rPr>
        <w:t>באופן אשר ספק אם עולה בקנה אחד עם טענת באי</w:t>
      </w:r>
      <w:r>
        <w:rPr>
          <w:rtl w:val="true"/>
        </w:rPr>
        <w:t>-</w:t>
      </w:r>
      <w:r>
        <w:rPr>
          <w:rtl w:val="true"/>
        </w:rPr>
        <w:t>כוחו כי היה שיכור עד כדי כך שהתבטא באופן תלוש לחלוטין מהמציאות</w:t>
      </w:r>
      <w:r>
        <w:rPr>
          <w:rtl w:val="true"/>
        </w:rPr>
        <w:t xml:space="preserve">. </w:t>
      </w:r>
      <w:r>
        <w:rPr>
          <w:rtl w:val="true"/>
        </w:rPr>
        <w:t>בין אם כך ובין אם אחרת</w:t>
      </w:r>
      <w:r>
        <w:rPr>
          <w:rtl w:val="true"/>
        </w:rPr>
        <w:t xml:space="preserve">, </w:t>
      </w:r>
      <w:r>
        <w:rPr>
          <w:rtl w:val="true"/>
        </w:rPr>
        <w:t>התרשמות בית המשפט המחוזי בדבר חוסר מהימנות המערער מבוססת היטב</w:t>
      </w:r>
      <w:r>
        <w:rPr>
          <w:rtl w:val="true"/>
        </w:rPr>
        <w:t xml:space="preserve">, </w:t>
      </w:r>
      <w:r>
        <w:rPr>
          <w:rtl w:val="true"/>
        </w:rPr>
        <w:t>גם על התרשמותו הבלתי</w:t>
      </w:r>
      <w:r>
        <w:rPr>
          <w:rtl w:val="true"/>
        </w:rPr>
        <w:t>-</w:t>
      </w:r>
      <w:r>
        <w:rPr>
          <w:rtl w:val="true"/>
        </w:rPr>
        <w:t>אמצעית מעדות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ואין להתערב בה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</w:t>
      </w:r>
      <w:r>
        <w:rPr/>
        <w:t>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מן הבחינה הראייתית</w:t>
      </w:r>
      <w:r>
        <w:rPr>
          <w:rtl w:val="true"/>
        </w:rPr>
        <w:t xml:space="preserve">, </w:t>
      </w:r>
      <w:r>
        <w:rPr>
          <w:rtl w:val="true"/>
        </w:rPr>
        <w:t>מאחר שהמערער לא בחל בשקרים גורפים אלו</w:t>
      </w:r>
      <w:r>
        <w:rPr>
          <w:rtl w:val="true"/>
        </w:rPr>
        <w:t xml:space="preserve">, </w:t>
      </w:r>
      <w:r>
        <w:rPr>
          <w:rtl w:val="true"/>
        </w:rPr>
        <w:t xml:space="preserve">הם מטילים במקרה זה צל כבד על גרסתו </w:t>
      </w:r>
      <w:r>
        <w:rPr>
          <w:rtl w:val="true"/>
        </w:rPr>
        <w:t>–</w:t>
      </w:r>
      <w:r>
        <w:rPr>
          <w:rtl w:val="true"/>
        </w:rPr>
        <w:t xml:space="preserve"> מתחילתה ועד סופה</w:t>
      </w:r>
      <w:r>
        <w:rPr>
          <w:rtl w:val="true"/>
        </w:rPr>
        <w:t xml:space="preserve">. </w:t>
      </w:r>
      <w:r>
        <w:rPr>
          <w:rtl w:val="true"/>
        </w:rPr>
        <w:t>אפנה לדברים שכתבתי בעבר</w:t>
      </w:r>
      <w:r>
        <w:rPr>
          <w:rtl w:val="true"/>
        </w:rPr>
        <w:t xml:space="preserve">, </w:t>
      </w:r>
      <w:r>
        <w:rPr>
          <w:rtl w:val="true"/>
        </w:rPr>
        <w:t>המתאימים במידה רבה גם לענייננו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הפורנזיים</w:t>
      </w:r>
      <w:r>
        <w:rPr>
          <w:rtl w:val="true"/>
        </w:rPr>
        <w:t xml:space="preserve">, </w:t>
      </w:r>
      <w:r>
        <w:rPr>
          <w:rtl w:val="true"/>
        </w:rPr>
        <w:t>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בזירות</w:t>
      </w:r>
      <w:r>
        <w:rPr>
          <w:rtl w:val="true"/>
        </w:rPr>
        <w:t xml:space="preserve">, </w:t>
      </w:r>
      <w:r>
        <w:rPr>
          <w:rtl w:val="true"/>
        </w:rPr>
        <w:t>ולעדויות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'</w:t>
      </w:r>
      <w:r>
        <w:rPr>
          <w:rtl w:val="true"/>
        </w:rPr>
        <w:t>.</w:t>
      </w:r>
      <w:r>
        <w:rPr>
          <w:rtl w:val="true"/>
        </w:rPr>
        <w:t xml:space="preserve"> [...]</w:t>
      </w:r>
      <w:r>
        <w:rPr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ולהטעיית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;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>" 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814/81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826</w:t>
      </w:r>
      <w:r>
        <w:rPr>
          <w:rtl w:val="true"/>
        </w:rPr>
        <w:t xml:space="preserve">, </w:t>
      </w:r>
      <w:r>
        <w:rPr/>
        <w:t>833-832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1982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8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רקע זה יש לבחון את גרסתו הכבושה של המערער במספר היבטים </w:t>
      </w:r>
      <w:r>
        <w:rPr>
          <w:rtl w:val="true"/>
        </w:rPr>
        <w:t>–</w:t>
      </w:r>
      <w:r>
        <w:rPr>
          <w:rtl w:val="true"/>
        </w:rPr>
        <w:t xml:space="preserve"> בין היתר בכך שהיה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שיכור בעת החקירה הראשונה</w:t>
      </w:r>
      <w:r>
        <w:rPr>
          <w:rtl w:val="true"/>
        </w:rPr>
        <w:t xml:space="preserve">; </w:t>
      </w:r>
      <w:r>
        <w:rPr>
          <w:rtl w:val="true"/>
        </w:rPr>
        <w:t>וכי חשש שהמנוח הוא שייפגע בו</w:t>
      </w:r>
      <w:r>
        <w:rPr>
          <w:rtl w:val="true"/>
        </w:rPr>
        <w:t xml:space="preserve">. </w:t>
      </w:r>
      <w:r>
        <w:rPr>
          <w:rtl w:val="true"/>
        </w:rPr>
        <w:t>גרסה זו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אינה נתמכת בראיות</w:t>
      </w:r>
      <w:r>
        <w:rPr>
          <w:rtl w:val="true"/>
        </w:rPr>
        <w:t xml:space="preserve">. </w:t>
      </w:r>
      <w:r>
        <w:rPr>
          <w:rtl w:val="true"/>
        </w:rPr>
        <w:t>את התרשמותו מטענות אלו סיכם בית המשפט המחוזי במילים אלו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שיכור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כבושות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בהבינו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לא הוצג טעם המצדיק התערבות במסקנה נחרצת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ואף על פי שממילא אין צורך להתבסס על הודאת המערער בחקירה הראשונה לצורך הרשעתו</w:t>
      </w:r>
      <w:r>
        <w:rPr>
          <w:rtl w:val="true"/>
        </w:rPr>
        <w:t xml:space="preserve">, </w:t>
      </w:r>
      <w:r>
        <w:rPr>
          <w:rtl w:val="true"/>
        </w:rPr>
        <w:t>לא נמצא פגם במסקנת בית המשפט המחוזי בדבר קבילות ההודאה או המשקל הראייתי שניתן 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הרשעת המערער בעבירת רצח בנסיבות מחמירות מבוססת היטב בחומר הראיות והוראות הדין</w:t>
      </w:r>
      <w:r>
        <w:rPr>
          <w:rtl w:val="true"/>
        </w:rPr>
        <w:t xml:space="preserve">, </w:t>
      </w:r>
      <w:r>
        <w:rPr>
          <w:rtl w:val="true"/>
        </w:rPr>
        <w:t>ועל כן אציע לחבריי כי נדחה 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1"/>
        <w:ind w:end="0"/>
        <w:jc w:val="end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1"/>
        <w:ind w:end="0"/>
        <w:jc w:val="end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21.4.2024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22085770</w:t>
      </w:r>
      <w:r>
        <w:rPr>
          <w:sz w:val="16"/>
          <w:rtl w:val="true"/>
        </w:rPr>
        <w:t>_</w:t>
      </w:r>
      <w:r>
        <w:rPr>
          <w:sz w:val="16"/>
        </w:rPr>
        <w:t>J11.docx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54678313-8577/22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8577/22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סרגיי יפימוב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8"/>
      <w:szCs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70787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0.a.1" TargetMode="External"/><Relationship Id="rId5" Type="http://schemas.openxmlformats.org/officeDocument/2006/relationships/hyperlink" Target="http://www.nevo.co.il/law/70301/20.a.2.a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0301/301a.a" TargetMode="External"/><Relationship Id="rId8" Type="http://schemas.openxmlformats.org/officeDocument/2006/relationships/hyperlink" Target="http://www.nevo.co.il/law/70301/301a.a.1" TargetMode="External"/><Relationship Id="rId9" Type="http://schemas.openxmlformats.org/officeDocument/2006/relationships/hyperlink" Target="http://www.nevo.co.il/law/98569" TargetMode="External"/><Relationship Id="rId10" Type="http://schemas.openxmlformats.org/officeDocument/2006/relationships/hyperlink" Target="http://www.nevo.co.il/law/98569/12" TargetMode="External"/><Relationship Id="rId11" Type="http://schemas.openxmlformats.org/officeDocument/2006/relationships/hyperlink" Target="http://www.nevo.co.il/law/98569/56a" TargetMode="External"/><Relationship Id="rId12" Type="http://schemas.openxmlformats.org/officeDocument/2006/relationships/hyperlink" Target="http://www.nevo.co.il/law/70301/301a.a.1" TargetMode="External"/><Relationship Id="rId13" Type="http://schemas.openxmlformats.org/officeDocument/2006/relationships/hyperlink" Target="http://www.nevo.co.il/law/70301/300.a" TargetMode="External"/><Relationship Id="rId14" Type="http://schemas.openxmlformats.org/officeDocument/2006/relationships/hyperlink" Target="http://www.nevo.co.il/case/26707877" TargetMode="External"/><Relationship Id="rId15" Type="http://schemas.openxmlformats.org/officeDocument/2006/relationships/hyperlink" Target="http://www.nevo.co.il/law/70301/301a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01a.a.1" TargetMode="External"/><Relationship Id="rId18" Type="http://schemas.openxmlformats.org/officeDocument/2006/relationships/hyperlink" Target="http://www.nevo.co.il/law/70301/301a.a.1" TargetMode="External"/><Relationship Id="rId19" Type="http://schemas.openxmlformats.org/officeDocument/2006/relationships/hyperlink" Target="http://www.nevo.co.il/law/70301/301a.a.1" TargetMode="External"/><Relationship Id="rId20" Type="http://schemas.openxmlformats.org/officeDocument/2006/relationships/hyperlink" Target="http://www.nevo.co.il/law/98569/12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law/98569/56a" TargetMode="External"/><Relationship Id="rId23" Type="http://schemas.openxmlformats.org/officeDocument/2006/relationships/hyperlink" Target="http://www.nevo.co.il/law/98569" TargetMode="External"/><Relationship Id="rId24" Type="http://schemas.openxmlformats.org/officeDocument/2006/relationships/hyperlink" Target="http://www.nevo.co.il/law/98569/56a" TargetMode="External"/><Relationship Id="rId25" Type="http://schemas.openxmlformats.org/officeDocument/2006/relationships/hyperlink" Target="http://www.nevo.co.il/law/98569" TargetMode="External"/><Relationship Id="rId26" Type="http://schemas.openxmlformats.org/officeDocument/2006/relationships/hyperlink" Target="http://www.nevo.co.il/law/70301/301a.a.1" TargetMode="External"/><Relationship Id="rId27" Type="http://schemas.openxmlformats.org/officeDocument/2006/relationships/hyperlink" Target="http://www.nevo.co.il/law/70301/300.a" TargetMode="External"/><Relationship Id="rId28" Type="http://schemas.openxmlformats.org/officeDocument/2006/relationships/hyperlink" Target="http://www.nevo.co.il/case/27915737" TargetMode="External"/><Relationship Id="rId29" Type="http://schemas.openxmlformats.org/officeDocument/2006/relationships/hyperlink" Target="http://www.nevo.co.il/law/70301/300.a" TargetMode="External"/><Relationship Id="rId30" Type="http://schemas.openxmlformats.org/officeDocument/2006/relationships/hyperlink" Target="http://www.nevo.co.il/law/70301/301a.a" TargetMode="External"/><Relationship Id="rId31" Type="http://schemas.openxmlformats.org/officeDocument/2006/relationships/hyperlink" Target="http://www.nevo.co.il/law/70301/20.a.2.a" TargetMode="External"/><Relationship Id="rId32" Type="http://schemas.openxmlformats.org/officeDocument/2006/relationships/hyperlink" Target="http://www.nevo.co.il/law/70301/20.a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2495714" TargetMode="External"/><Relationship Id="rId35" Type="http://schemas.openxmlformats.org/officeDocument/2006/relationships/hyperlink" Target="http://www.nevo.co.il/case/13070531" TargetMode="External"/><Relationship Id="rId36" Type="http://schemas.openxmlformats.org/officeDocument/2006/relationships/hyperlink" Target="http://www.nevo.co.il/case/22303357" TargetMode="External"/><Relationship Id="rId37" Type="http://schemas.openxmlformats.org/officeDocument/2006/relationships/hyperlink" Target="http://www.nevo.co.il/case/27115374" TargetMode="External"/><Relationship Id="rId38" Type="http://schemas.openxmlformats.org/officeDocument/2006/relationships/hyperlink" Target="http://www.nevo.co.il/case/20198054" TargetMode="External"/><Relationship Id="rId39" Type="http://schemas.openxmlformats.org/officeDocument/2006/relationships/hyperlink" Target="http://www.nevo.co.il/case/20798648" TargetMode="External"/><Relationship Id="rId40" Type="http://schemas.openxmlformats.org/officeDocument/2006/relationships/hyperlink" Target="http://www.nevo.co.il/case/5796698" TargetMode="External"/><Relationship Id="rId41" Type="http://schemas.openxmlformats.org/officeDocument/2006/relationships/hyperlink" Target="http://www.nevo.co.il/case/27418439" TargetMode="External"/><Relationship Id="rId42" Type="http://schemas.openxmlformats.org/officeDocument/2006/relationships/hyperlink" Target="http://www.nevo.co.il/case/22303482" TargetMode="External"/><Relationship Id="rId43" Type="http://schemas.openxmlformats.org/officeDocument/2006/relationships/hyperlink" Target="http://www.nevo.co.il/law/70301/301a.a" TargetMode="External"/><Relationship Id="rId44" Type="http://schemas.openxmlformats.org/officeDocument/2006/relationships/hyperlink" Target="http://www.nevo.co.il/case/28116157" TargetMode="External"/><Relationship Id="rId45" Type="http://schemas.openxmlformats.org/officeDocument/2006/relationships/hyperlink" Target="http://www.nevo.co.il/case/28693576" TargetMode="External"/><Relationship Id="rId46" Type="http://schemas.openxmlformats.org/officeDocument/2006/relationships/hyperlink" Target="http://www.nevo.co.il/case/26205760" TargetMode="External"/><Relationship Id="rId47" Type="http://schemas.openxmlformats.org/officeDocument/2006/relationships/hyperlink" Target="http://www.nevo.co.il/case/27355022" TargetMode="External"/><Relationship Id="rId48" Type="http://schemas.openxmlformats.org/officeDocument/2006/relationships/hyperlink" Target="http://www.nevo.co.il/case/26991449" TargetMode="External"/><Relationship Id="rId49" Type="http://schemas.openxmlformats.org/officeDocument/2006/relationships/hyperlink" Target="http://www.nevo.co.il/case/27443208" TargetMode="External"/><Relationship Id="rId50" Type="http://schemas.openxmlformats.org/officeDocument/2006/relationships/hyperlink" Target="http://www.nevo.co.il/case/25388533" TargetMode="External"/><Relationship Id="rId51" Type="http://schemas.openxmlformats.org/officeDocument/2006/relationships/hyperlink" Target="http://www.nevo.co.il/case/28920891" TargetMode="External"/><Relationship Id="rId52" Type="http://schemas.openxmlformats.org/officeDocument/2006/relationships/hyperlink" Target="http://www.nevo.co.il/case/20787919" TargetMode="External"/><Relationship Id="rId53" Type="http://schemas.openxmlformats.org/officeDocument/2006/relationships/hyperlink" Target="http://www.nevo.co.il/case/27107961" TargetMode="External"/><Relationship Id="rId54" Type="http://schemas.openxmlformats.org/officeDocument/2006/relationships/hyperlink" Target="http://www.nevo.co.il/case/25441697" TargetMode="External"/><Relationship Id="rId55" Type="http://schemas.openxmlformats.org/officeDocument/2006/relationships/hyperlink" Target="http://www.nevo.co.il/case/17931845" TargetMode="External"/><Relationship Id="rId56" Type="http://schemas.openxmlformats.org/officeDocument/2006/relationships/hyperlink" Target="http://www.nevo.co.il/case/26019036" TargetMode="External"/><Relationship Id="rId57" Type="http://schemas.openxmlformats.org/officeDocument/2006/relationships/hyperlink" Target="https://supreme.court.gov.il/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2024-04-25T09:31:00Z</dcterms:created>
  <dc:creator>h4</dc:creator>
  <dc:description/>
  <cp:keywords/>
  <dc:language>en-IL</dc:language>
  <cp:lastModifiedBy>orly</cp:lastModifiedBy>
  <cp:lastPrinted>2024-04-21T07:18:00Z</cp:lastPrinted>
  <dcterms:modified xsi:type="dcterms:W3CDTF">2024-04-25T09:31:00Z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סרגיי יפימוב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26707877:2;27915737;22495714;13070531;22303357;27115374;20198054;20798648;5796698;27418439;22303482;28116157;28693576;26205760;27355022;26991449;27443208;25388533;28920891;20787919;27107961;25441697;17931845;26019036</vt:lpwstr>
  </property>
  <property fmtid="{D5CDD505-2E9C-101B-9397-08002B2CF9AE}" pid="9" name="CITY">
    <vt:lpwstr/>
  </property>
  <property fmtid="{D5CDD505-2E9C-101B-9397-08002B2CF9AE}" pid="10" name="DATE">
    <vt:lpwstr>20240421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אלרון;ח' כבוב;י' כשר</vt:lpwstr>
  </property>
  <property fmtid="{D5CDD505-2E9C-101B-9397-08002B2CF9AE}" pid="14" name="LAWLISTTMP1">
    <vt:lpwstr>70301/301a.a.1:5;300.a:2;301a.a:2;020.a.2.a;020.a.1</vt:lpwstr>
  </property>
  <property fmtid="{D5CDD505-2E9C-101B-9397-08002B2CF9AE}" pid="15" name="LAWLISTTMP2">
    <vt:lpwstr>98569/012;056a:2</vt:lpwstr>
  </property>
  <property fmtid="{D5CDD505-2E9C-101B-9397-08002B2CF9AE}" pid="16" name="LAWYER">
    <vt:lpwstr>עינת גדעוני;יגאל בלפור;ירוסלב (סלביק) מץ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</vt:lpwstr>
  </property>
  <property fmtid="{D5CDD505-2E9C-101B-9397-08002B2CF9AE}" pid="49" name="NOSE31">
    <vt:lpwstr>רצח בנסיבות מחמירות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19451</vt:lpwstr>
  </property>
  <property fmtid="{D5CDD505-2E9C-101B-9397-08002B2CF9AE}" pid="60" name="PADIDATE">
    <vt:lpwstr>20240425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8577</vt:lpwstr>
  </property>
  <property fmtid="{D5CDD505-2E9C-101B-9397-08002B2CF9AE}" pid="66" name="PROCYEAR">
    <vt:lpwstr>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410120240421</vt:lpwstr>
  </property>
  <property fmtid="{D5CDD505-2E9C-101B-9397-08002B2CF9AE}" pid="70" name="TYPE_N_DATE">
    <vt:lpwstr>41020240421</vt:lpwstr>
  </property>
  <property fmtid="{D5CDD505-2E9C-101B-9397-08002B2CF9AE}" pid="71" name="VOLUME">
    <vt:lpwstr/>
  </property>
  <property fmtid="{D5CDD505-2E9C-101B-9397-08002B2CF9AE}" pid="72" name="WORDNUMPAGES">
    <vt:lpwstr>23</vt:lpwstr>
  </property>
</Properties>
</file>