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8579/20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28.10.2020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19166-09-18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זלוצ</w:t>
            </w:r>
            <w:r>
              <w:rPr>
                <w:sz w:val="24"/>
                <w:szCs w:val="24"/>
                <w:rtl w:val="true"/>
              </w:rPr>
              <w:t>'</w:t>
            </w:r>
            <w:r>
              <w:rPr>
                <w:sz w:val="24"/>
                <w:sz w:val="24"/>
                <w:szCs w:val="24"/>
                <w:rtl w:val="true"/>
              </w:rPr>
              <w:t>ובר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פרידלנדר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03.11.2021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קירשנברג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צוק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תשט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1955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11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של עבירות מין בקטינים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עדות אמינה של מתלונן אחר בדבר מעשים דומים שביצע בו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יכולה לשמש כסיוע לעדות קטין אשר ניתנה בפני חוקר ילדים והטעונה 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העליון מבהיר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בפס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הדמיון הדרוש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מנת שישמשו כראיית סיוע צריך להיות דמיון מוחשי וממשי בטיבם של המעשים ונסיבותיהם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דנן ישנה שונות משמעותית בין המקרים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 לא ניתן להרשיע את המערער באישום הראשון וביהמ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מורה על זיכויו מחמת הספק מאישום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הדיון הוחזר לביהמ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לגזירת העונש על סמך הרשעתו של המערער באישום השני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סיוע – מעשים דומים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עבירות מין בקטין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סיוע – עדות קטין לפני חוקר נוער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סיוע – דרישותיו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דינו וגזר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שמיעת 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הורשע המערער בשתי עבירות של מעשה מגונה בבן משפחה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שתיים מנכדותיו הקטינות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אחיות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ונגזר עליו עונש של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ופיצוי בסך </w:t>
      </w:r>
      <w:r>
        <w:rPr>
          <w:rFonts w:cs="Times New Roman" w:ascii="Times New Roman" w:hAnsi="Times New Roman"/>
          <w:spacing w:val="0"/>
          <w:szCs w:val="26"/>
        </w:rPr>
        <w:t>25,000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לקטינה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לקטינה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ההרשעה התבססה על עדויות הקטינות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נמצאו מהימנות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בניגוד לגרסתו של המערער והכחשתו הגורפת אשר נקבע כי לא היה בהן כדי לעורר ספק סביר באשמתו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בכל הנוגע לאישום הראשון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מאחר שעדותה של קטינה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ניתנה בפני חוקרת הילדים ולא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 סיוע לראייה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בהקשר זה נקבע כי ניתן למצוא סיוע לגרסת קטינה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במספר הקשרים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נקבע כי עדות קטינה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בדבר הפגיעה בה על ידי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היא משום עדות על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המהווה סיוע לדברי קטינה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קבע כי עדותה המהימנה של קטינה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אחותן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לפיה קטינה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אמרה שהמערער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מתנהג מוזר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ובכתה בסמוך לאירוע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מהווה חיזוק לגרסת קטינה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המשנה לנשיאה נ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הנדל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וילנר ו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קרא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באופן חלקי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דוחה את הערעור ביחס להרשעת המערער באישום השני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ביסס את הרשעתו של המערער באישום השני – לפיו במהלך ארוחת שבת משפחתית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ליטף המערער עם רגלו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מספר פעמים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את רגלה של קטינה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מהימנות עדותה של קטינה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אינה טעונה 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וממנה התרשם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באופן ישיר ובלתי אמצעי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קטינה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נתנה עדות מפורטת ובניגוד לטענות המערער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דחה את האפשרות כי מדובר במגע אקראי והתייחס לכוונה המינית שמאחורי המעשה כמו גם לעובדה כי סדר הישיבה בשולחן מוביל למסקנה כי היה זה המערער שחיכך את רגלו ברגלה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להתערב בקביעות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הודגש כי בניגוד לטענת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העובדה שקטינה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 שמה לב להתרחשות בעת הארוחה על אף שהיא ישבה באותו שולחן אינה מלמדת דבר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המעשים בוצעו בהיחבא מתחת לשולחן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מקרים שונים של פגיעה מינית בתוך המשפחה עשויים להתרחש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מתחת לאפם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 בני משפחה אחרים ואין מדובר במאפיין יוצא דופן אשר יש בו כדי לפגום באמינות גרסת קטינה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אך קבע כי אין לתת אמון בגרסת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מאידך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בכל הנוגע לאישום הראשון – אשר הערעור לגביו למעשה אינו נוגע לממצאים שבעובדה ובמהימנות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מעורר שאלות משפטיות אודות דרישת הסיוע לעדות קטין אשר ניתנה בפני חוקר ילדים – דין הערעור להתקבל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hyperlink r:id="rId1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11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חוק לתיקון דיני הראיות 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הגנת ילדים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קובע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להרשיע אדם על סמך עדות </w:t>
      </w:r>
      <w:r>
        <w:rPr>
          <w:rFonts w:ascii="Times New Roman" w:hAnsi="Times New Roman" w:cs="Times New Roman"/>
          <w:spacing w:val="0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שתועדה באמצעות חוקר ילדים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אם 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נו </w:t>
      </w:r>
      <w:r>
        <w:rPr>
          <w:rFonts w:ascii="Times New Roman" w:hAnsi="Times New Roman" w:cs="Times New Roman"/>
          <w:spacing w:val="0"/>
          <w:szCs w:val="26"/>
          <w:rtl w:val="true"/>
        </w:rPr>
        <w:t>סיוע בראיה אחרת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דרישת הסיוע במקרים אלו נועדה למלא את החסר במסד הראייתי שנוצר בעקבות קבלתה של הודעה שניתנה רק מחוץ לכותלי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בפני חוקרת ילדים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כראיה מרשיעה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בדרישה מהותית לסיוע ולא בדרישה טכנית גרידא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באשר לטיבה של ראיית הסיוע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פסוקה היא כי על הראיה לעמוד בשלושה תנאים מצטברים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צריכה לבוא ממקור עצמאי ונפרד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צריכה לנטות לסבך את הנאשם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והיא צריכה לגעת בנקודה ממשית השנויה במחלוקת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 לחזית המחלוקת הודגש כי ככל שהכחשתו של הנאשם היא כללית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היקפה של ראיית הסיוע הנדרשת יכולה להיות מצומצמת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מצומצמת אך לא מיותרת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במקרה דנא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המשיבה ממקדת טענותיה בשתי ראיות מרכזיות המהוות לשיטתה 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ושעמדו בבסיס הכרעת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האחת אמירתה של קטינה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לאחותה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קטינה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סבא מתנהג מוזר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והשנייה עדותה של קטינה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המשמשת כסיוע בדמות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באשר לאמירה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סבא מתנהג מוזר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 כי אמירה זו אינה עומדת בדרישות ראיית 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אמירה זו אינה ראיה המסבכת את המערער בביצוע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שכן מדובר בהתבטאות של קטינה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עצמה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עשויות להיות לה משמעויות שונות שלא בוררו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בניגוד לנטען על ידי 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 כי גם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התייחס בסופו של דבר לאמירה זו 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ראיית חיזוק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בכל הנוגע לעדות קטינה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כסיוע לעדות קטינה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פסוקה היא כי במקרים של עבירות מין בקטינים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עדות אמינה של מתלונן אחר בדבר מעשים דומים שביצע בו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יכולה לשמש כסיוע לעדות קטין אשר ניתנה בפני חוקר ילדים והטעונה 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 השימוש בכך כסיוע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מהווה חריג אשר יש להפעילו בזהירות ובנסיבות מיוחדות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אחת הסוגיות העולות בהקשר זה היא מידת הדמיון הנדרשת כך שעדות אודות מעשים אחרים תשמש כסיוע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מתקיים דמיון מובהק ושיטת פעולה דומה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ברי כי פשוט יותר למצוא סיוע בעדות אחרת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אך נקבע בפסיקה כי די גם בקווי דמיון כלליים בין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העשויים ללמד למשל על התנהגות של התעללות מינית בקטינות בנות 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אף מבלי להידרש להבחנה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לטעמי ההרמוניה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בין קווי דמיון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ברורים ומובהקים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לבין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קווי דמיון כלליים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נראה כי לכל הדעות נדרש מכנה משותף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דמיון בטיבם של המעשים ונסיבותיהם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cs="Times New Roman" w:ascii="Times New Roman" w:hAnsi="Times New Roman"/>
          <w:spacing w:val="0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שעדות אחרת תעלה כדי ראייה בדבר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לכל הפחות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לומר כי מקום בו קיים שוני מהותי בין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קיימת משוכה גבוהה לראות בעדות האחרת כראייה מסייעת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הדמיון בין המעשים חלש יחסית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ומסתכם בהיות הנפגעות נכדות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בכך כדי לומר שאין בהתנהגות מינית פוגענית כלפי נכדות מן המשותף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שבמקרה דנן קיים שוני מהותי בין המעשים הנטענים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האישום הראשון שונה מהאישום השני מבחינת טיב המעשים וחומרתם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אשר בראשון כללו מגע בעל אופי מיני כופה אינטנסיב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ומתמשך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שכלל ישיבה ושכיבה מעל קטינה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נשיקות ומגע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בעוד האישום השני הנוגע לחיכוך רגלו של המערער ברגלה של קטינה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מתחת לשולחן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מדבר במעשים שעל אף חומרתם העצמאית אינם דומים בטיבם ובנסיבותיהם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קיים שוני בין המעשים מבחינת מסגרת ביצועם ביחידות לעומת בנוכחת אנשים שונים במהלך ארוחת השבת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וגיל הנפגעות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כאשר קטינה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הייתה כבת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וקטינה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כבת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צוין כי האירועים לא נעשו בסמיכות אלא בהפרש של שנתיים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שלוש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בהינתן השוני המהותי בין המעשים המתוארים בעדויות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עדות קטינה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אף אמינותה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אינה מצביעה על דפוס התנהגות ועל מעשים דומים של המערער בהתייחס לעדות קטינה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נמצא סיוע מהותי לעדותה של קטינה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בפני חוקרת הילדים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 לא ניתן להרשיע את המערער באישום הראשון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הגם שחקירתה של קטינה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מעלה גרסה אמינה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לפיכך הערעור מתקבל באופן חלקי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השארת הרשעת המערער באישום השני וזיכויו מחמת הספק מהאישום הראשון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הדיון הוחזר לביהמ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לגזירת עונש על סמך הרשעתו של המערער באישום השני בלבד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השופט 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קרא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מסכים לאמור ומתמצת</w:t>
      </w:r>
      <w:r>
        <w:rPr>
          <w:rFonts w:cs="Times New Roman" w:ascii="Times New Roman" w:hAnsi="Times New Roman"/>
          <w:spacing w:val="0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Cs w:val="26"/>
          <w:rtl w:val="true"/>
        </w:rPr>
        <w:t>הדמיון הדרוש במעשים דומים על מנת שישמשו כראיית סיוע צריך להיות דמיון מוחשי וממשי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להסתפק בדמיון כללי גרידא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זלוצ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</w:t>
      </w:r>
      <w:r>
        <w:rPr>
          <w:rtl w:val="true"/>
        </w:rPr>
        <w:t xml:space="preserve">, </w:t>
      </w:r>
      <w:r>
        <w:rPr>
          <w:rtl w:val="true"/>
        </w:rPr>
        <w:t>והשופטים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פרידלנדר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 xml:space="preserve">, </w:t>
      </w:r>
      <w:hyperlink r:id="rId1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19166-09-18</w:t>
        </w:r>
      </w:hyperlink>
      <w:r>
        <w:rPr>
          <w:rtl w:val="true"/>
        </w:rPr>
        <w:t xml:space="preserve">),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eastAsia="Arial TUR" w:cs="Arial TUR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בקיץ של שנת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במועד שאינו ידוע למאשימה</w:t>
      </w:r>
      <w:r>
        <w:rPr>
          <w:rtl w:val="true"/>
        </w:rPr>
        <w:t xml:space="preserve">, </w:t>
      </w:r>
      <w:r>
        <w:rPr>
          <w:rtl w:val="true"/>
        </w:rPr>
        <w:t xml:space="preserve">שהתה נכדתו של המערער </w:t>
      </w:r>
      <w:r>
        <w:rPr>
          <w:rtl w:val="true"/>
        </w:rPr>
        <w:t>–</w:t>
      </w:r>
      <w:r>
        <w:rPr>
          <w:rtl w:val="true"/>
        </w:rPr>
        <w:t xml:space="preserve"> ילידת שנת </w:t>
      </w:r>
      <w:r>
        <w:rPr/>
        <w:t>2005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), </w:t>
      </w:r>
      <w:r>
        <w:rPr>
          <w:rtl w:val="true"/>
        </w:rPr>
        <w:t>בביתו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יליד שנת </w:t>
      </w:r>
      <w:r>
        <w:rPr/>
        <w:t>1951</w:t>
      </w:r>
      <w:r>
        <w:rPr>
          <w:rtl w:val="true"/>
        </w:rPr>
        <w:t xml:space="preserve">, </w:t>
      </w:r>
      <w:r>
        <w:rPr>
          <w:rtl w:val="true"/>
        </w:rPr>
        <w:t>ובבריכת השחייה שצמודה לבית יחד עם קרובי משפחה נוספים</w:t>
      </w:r>
      <w:r>
        <w:rPr>
          <w:rtl w:val="true"/>
        </w:rPr>
        <w:t xml:space="preserve">. </w:t>
      </w:r>
      <w:r>
        <w:rPr>
          <w:rtl w:val="true"/>
        </w:rPr>
        <w:t xml:space="preserve">בשלב מסוים נכנסה קטינה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לביתו בעת ששאר קרובי משפחתם נותרו בבריכה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התקרב לקטינה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ונעמד כשפניו צמודים לפניה</w:t>
      </w:r>
      <w:r>
        <w:rPr>
          <w:rtl w:val="true"/>
        </w:rPr>
        <w:t xml:space="preserve">. </w:t>
      </w:r>
      <w:r>
        <w:rPr>
          <w:rtl w:val="true"/>
        </w:rPr>
        <w:t xml:space="preserve">קטינה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נרתעה לאחור והתיישבה על מיטה שהייתה בסמוך</w:t>
      </w:r>
      <w:r>
        <w:rPr>
          <w:rtl w:val="true"/>
        </w:rPr>
        <w:t xml:space="preserve">, </w:t>
      </w:r>
      <w:r>
        <w:rPr>
          <w:rtl w:val="true"/>
        </w:rPr>
        <w:t>והמערער התיישב עליה כשרגליו משני צידי גופה</w:t>
      </w:r>
      <w:r>
        <w:rPr>
          <w:rtl w:val="true"/>
        </w:rPr>
        <w:t xml:space="preserve">. </w:t>
      </w:r>
      <w:r>
        <w:rPr>
          <w:rtl w:val="true"/>
        </w:rPr>
        <w:t xml:space="preserve">שוב נרתעה קטינה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ונשכבה לאחור</w:t>
      </w:r>
      <w:r>
        <w:rPr>
          <w:rtl w:val="true"/>
        </w:rPr>
        <w:t xml:space="preserve">. </w:t>
      </w:r>
      <w:r>
        <w:rPr>
          <w:rtl w:val="true"/>
        </w:rPr>
        <w:t>אז המערער נשכב עליה</w:t>
      </w:r>
      <w:r>
        <w:rPr>
          <w:rtl w:val="true"/>
        </w:rPr>
        <w:t xml:space="preserve">, </w:t>
      </w:r>
      <w:r>
        <w:rPr>
          <w:rtl w:val="true"/>
        </w:rPr>
        <w:t>ליטף ונישק את לחיה ואת פיה</w:t>
      </w:r>
      <w:r>
        <w:rPr>
          <w:rtl w:val="true"/>
        </w:rPr>
        <w:t xml:space="preserve">, </w:t>
      </w:r>
      <w:r>
        <w:rPr>
          <w:rtl w:val="true"/>
        </w:rPr>
        <w:t>לאחר שאמר לה כי כך הוא עושה לבנות דודותיה הקטנות וכי מותר לו לנשק אותה בלחיה אך לא בפיה</w:t>
      </w:r>
      <w:r>
        <w:rPr>
          <w:rtl w:val="true"/>
        </w:rPr>
        <w:t xml:space="preserve">. </w:t>
      </w:r>
      <w:r>
        <w:rPr>
          <w:rtl w:val="true"/>
        </w:rPr>
        <w:t xml:space="preserve">לאחר מכן התגלגל למיטה ונשכב על צידו כשהוא פונה אל קטינה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ומחייך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פי האישום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3.2.2017</w:t>
      </w:r>
      <w:r>
        <w:rPr>
          <w:rtl w:val="true"/>
        </w:rPr>
        <w:t xml:space="preserve">, </w:t>
      </w:r>
      <w:r>
        <w:rPr>
          <w:rtl w:val="true"/>
        </w:rPr>
        <w:t>במהלך ארוחת שבת משפחתית</w:t>
      </w:r>
      <w:r>
        <w:rPr>
          <w:rtl w:val="true"/>
        </w:rPr>
        <w:t xml:space="preserve">, </w:t>
      </w:r>
      <w:r>
        <w:rPr>
          <w:rtl w:val="true"/>
        </w:rPr>
        <w:t>ליטף המערער עם רגלו את רגלה של נכדתו</w:t>
      </w:r>
      <w:r>
        <w:rPr>
          <w:rtl w:val="true"/>
        </w:rPr>
        <w:t xml:space="preserve">, </w:t>
      </w:r>
      <w:r>
        <w:rPr>
          <w:rtl w:val="true"/>
        </w:rPr>
        <w:t xml:space="preserve">ילידת שנת </w:t>
      </w:r>
      <w:r>
        <w:rPr/>
        <w:t>2001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היא אחותה של קטינה 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 xml:space="preserve">זאת בעת שהמשפחה ישבה סביב השולחן </w:t>
      </w:r>
      <w:r>
        <w:rPr>
          <w:rtl w:val="true"/>
        </w:rPr>
        <w:t>–</w:t>
      </w:r>
      <w:r>
        <w:rPr>
          <w:rtl w:val="true"/>
        </w:rPr>
        <w:t xml:space="preserve"> המערער בראש השולחן וקטינה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מצדו השמאלי</w:t>
      </w:r>
      <w:r>
        <w:rPr>
          <w:rtl w:val="true"/>
        </w:rPr>
        <w:t xml:space="preserve">. </w:t>
      </w:r>
      <w:r>
        <w:rPr>
          <w:rtl w:val="true"/>
        </w:rPr>
        <w:t xml:space="preserve">המערער חזר על מעשיו מספר פעמים גם לאחר שקטינה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הזיזה את רגלה</w:t>
      </w:r>
      <w:r>
        <w:rPr>
          <w:rtl w:val="true"/>
        </w:rPr>
        <w:t xml:space="preserve">, </w:t>
      </w:r>
      <w:r>
        <w:rPr>
          <w:rtl w:val="true"/>
        </w:rPr>
        <w:t>עד אשר נאלצה להסב את כל פלג גופה התחתון הרחק ממנו כדי שיחדול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קטינה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נחקרה על ידי חוקרת ילדים</w:t>
      </w:r>
      <w:r>
        <w:rPr>
          <w:rtl w:val="true"/>
        </w:rPr>
        <w:t xml:space="preserve">, </w:t>
      </w:r>
      <w:r>
        <w:rPr>
          <w:rtl w:val="true"/>
        </w:rPr>
        <w:t>אשר אסרה על העדתה בבית משפט</w:t>
      </w:r>
      <w:r>
        <w:rPr>
          <w:rtl w:val="true"/>
        </w:rPr>
        <w:t xml:space="preserve">. </w:t>
      </w:r>
      <w:r>
        <w:rPr>
          <w:rtl w:val="true"/>
        </w:rPr>
        <w:t>תחת זאת</w:t>
      </w:r>
      <w:r>
        <w:rPr>
          <w:rtl w:val="true"/>
        </w:rPr>
        <w:t xml:space="preserve">, </w:t>
      </w:r>
      <w:r>
        <w:rPr>
          <w:rtl w:val="true"/>
        </w:rPr>
        <w:t>העידה חוקרת הילדים בעצמה והוגשו תיעודי החקירה ותמלולה</w:t>
      </w:r>
      <w:r>
        <w:rPr>
          <w:rtl w:val="true"/>
        </w:rPr>
        <w:t xml:space="preserve">. </w:t>
      </w:r>
      <w:r>
        <w:rPr>
          <w:rtl w:val="true"/>
        </w:rPr>
        <w:t xml:space="preserve">קטינה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מסרה את עדותה בבית המשפט הן בהתייחס לאישום השני והן בהתייחס לחשיפת שני האירועים</w:t>
      </w:r>
      <w:r>
        <w:rPr>
          <w:rtl w:val="true"/>
        </w:rPr>
        <w:t xml:space="preserve">. </w:t>
      </w:r>
      <w:r>
        <w:rPr>
          <w:rtl w:val="true"/>
        </w:rPr>
        <w:t xml:space="preserve">מעדותן של הקטינות עולה כי האירועים המתוארים נחשפו במהלך שבת משפחתית בשנת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כאשר השתיים שוחחו על הטרדות מיניות שחוו</w:t>
      </w:r>
      <w:r>
        <w:rPr>
          <w:rtl w:val="true"/>
        </w:rPr>
        <w:t xml:space="preserve">, </w:t>
      </w:r>
      <w:r>
        <w:rPr>
          <w:rtl w:val="true"/>
        </w:rPr>
        <w:t>הבינו שהן מדברות על אותו אדם שפגע בהן</w:t>
      </w:r>
      <w:r>
        <w:rPr>
          <w:rtl w:val="true"/>
        </w:rPr>
        <w:t xml:space="preserve">, </w:t>
      </w:r>
      <w:r>
        <w:rPr>
          <w:rtl w:val="true"/>
        </w:rPr>
        <w:t xml:space="preserve">ובאותו הזמן חשפו את זהותו של האדם ואמרו </w:t>
      </w:r>
      <w:r>
        <w:rPr>
          <w:rtl w:val="true"/>
        </w:rPr>
        <w:t>"</w:t>
      </w:r>
      <w:r>
        <w:rPr>
          <w:rtl w:val="true"/>
        </w:rPr>
        <w:t>סבא</w:t>
      </w:r>
      <w:r>
        <w:rPr>
          <w:rtl w:val="true"/>
        </w:rPr>
        <w:t xml:space="preserve">". </w:t>
      </w:r>
      <w:r>
        <w:rPr>
          <w:rtl w:val="true"/>
        </w:rPr>
        <w:t>בסמוך שיתפו את אימן באירועים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נמסרו לבית המשפט 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תקליטור ותמלול של עימות שנערך בין קטינה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לבין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עוד העידה המשיבה את קטינה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אחותן של המתלוננות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אשר נחקרה על ידי חוקרת ילדים וכן העידה בעצמה בבית המשפט בהיותה בת </w:t>
      </w: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 xml:space="preserve">אודות האישום הראשון העידה קטינה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כי ביום האירוע וכאשר קטינה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חזרה מהבית לבריכה</w:t>
      </w:r>
      <w:r>
        <w:rPr>
          <w:rtl w:val="true"/>
        </w:rPr>
        <w:t xml:space="preserve">, </w:t>
      </w:r>
      <w:r>
        <w:rPr>
          <w:rtl w:val="true"/>
        </w:rPr>
        <w:t xml:space="preserve">היא אמרה כי </w:t>
      </w:r>
      <w:r>
        <w:rPr>
          <w:rtl w:val="true"/>
        </w:rPr>
        <w:t>"</w:t>
      </w:r>
      <w:r>
        <w:rPr>
          <w:rtl w:val="true"/>
        </w:rPr>
        <w:t>סבא מתנהג מוזר</w:t>
      </w:r>
      <w:r>
        <w:rPr>
          <w:rtl w:val="true"/>
        </w:rPr>
        <w:t xml:space="preserve">", </w:t>
      </w:r>
      <w:r>
        <w:rPr>
          <w:rtl w:val="true"/>
        </w:rPr>
        <w:t xml:space="preserve">וקטינה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השיבה </w:t>
      </w:r>
      <w:r>
        <w:rPr>
          <w:rtl w:val="true"/>
        </w:rPr>
        <w:t>"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שמתי לב</w:t>
      </w:r>
      <w:r>
        <w:rPr>
          <w:rtl w:val="true"/>
        </w:rPr>
        <w:t xml:space="preserve">", </w:t>
      </w:r>
      <w:r>
        <w:rPr>
          <w:rtl w:val="true"/>
        </w:rPr>
        <w:t xml:space="preserve">אך אמרה לקטינה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 ידברו בזמן אחר מאחר והן עם בנות הדודות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השתיים שוחחו בדירת דודתן ושתיהן בכו</w:t>
      </w:r>
      <w:r>
        <w:rPr>
          <w:rtl w:val="true"/>
        </w:rPr>
        <w:t xml:space="preserve">, </w:t>
      </w:r>
      <w:r>
        <w:rPr>
          <w:rtl w:val="true"/>
        </w:rPr>
        <w:t>עד אשר נכנסה דודתן לחדר</w:t>
      </w:r>
      <w:r>
        <w:rPr>
          <w:rtl w:val="true"/>
        </w:rPr>
        <w:t xml:space="preserve">. </w:t>
      </w:r>
      <w:r>
        <w:rPr>
          <w:rtl w:val="true"/>
        </w:rPr>
        <w:t xml:space="preserve">קטינה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ציינה כי היא אינה זוכרת על מה דיברו ומי בכתה ראשונה</w:t>
      </w:r>
      <w:r>
        <w:rPr>
          <w:rtl w:val="true"/>
        </w:rPr>
        <w:t xml:space="preserve">, </w:t>
      </w:r>
      <w:r>
        <w:rPr>
          <w:rtl w:val="true"/>
        </w:rPr>
        <w:t>בעוד היא עצמה בכתה בשל אירוע אחר שהתרחש עם סבתה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מצדו הכחיש את ביצוע המעשים הן בחקירה והן בפני בית המשפט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המערער טען כי אינו יודע מדוע שנכדותיו יספרו דברים כאלו אם אין בהם אמת</w:t>
      </w:r>
      <w:r>
        <w:rPr>
          <w:rtl w:val="true"/>
        </w:rPr>
        <w:t xml:space="preserve">, </w:t>
      </w:r>
      <w:r>
        <w:rPr>
          <w:rtl w:val="true"/>
        </w:rPr>
        <w:t>והעלה את האפשרות שהתלונות מקורן בסכסוך כספי עם אימן של הקטינות</w:t>
      </w:r>
      <w:r>
        <w:rPr>
          <w:rtl w:val="true"/>
        </w:rPr>
        <w:t xml:space="preserve">. </w:t>
      </w:r>
      <w:r>
        <w:rPr>
          <w:rtl w:val="true"/>
        </w:rPr>
        <w:t>ביחס לאישום השני</w:t>
      </w:r>
      <w:r>
        <w:rPr>
          <w:color w:val="FF0000"/>
          <w:rtl w:val="true"/>
        </w:rPr>
        <w:t xml:space="preserve"> </w:t>
      </w:r>
      <w:r>
        <w:rPr>
          <w:rtl w:val="true"/>
        </w:rPr>
        <w:t>המערער העלה את האפשרות כי הזיז את רגלו בלא תשומת לב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הרשיע את המערער בשני האישומים</w:t>
      </w:r>
      <w:r>
        <w:rPr>
          <w:rtl w:val="true"/>
        </w:rPr>
        <w:t xml:space="preserve">. </w:t>
      </w:r>
      <w:r>
        <w:rPr>
          <w:rtl w:val="true"/>
        </w:rPr>
        <w:t>ההרשעה התבססה על עדויות הקטינות</w:t>
      </w:r>
      <w:r>
        <w:rPr>
          <w:rtl w:val="true"/>
        </w:rPr>
        <w:t xml:space="preserve">, </w:t>
      </w:r>
      <w:r>
        <w:rPr>
          <w:rtl w:val="true"/>
        </w:rPr>
        <w:t>אשר נמצאו מהימנות</w:t>
      </w:r>
      <w:r>
        <w:rPr>
          <w:rtl w:val="true"/>
        </w:rPr>
        <w:t xml:space="preserve">, </w:t>
      </w:r>
      <w:r>
        <w:rPr>
          <w:rtl w:val="true"/>
        </w:rPr>
        <w:t>בניגוד לגרסתו של המערער והכחשתו הגורפת אשר נקבע כי לא היה בהן כדי לעורר ספק סביר באשמתו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בהתייחסו לאישום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התרשם כי קטינה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מסרה בעדותה</w:t>
      </w:r>
      <w:r>
        <w:rPr>
          <w:rtl w:val="true"/>
        </w:rPr>
        <w:t xml:space="preserve">, </w:t>
      </w:r>
      <w:r>
        <w:rPr>
          <w:rtl w:val="true"/>
        </w:rPr>
        <w:t>כמו גם בעימות שנערך עם המערער</w:t>
      </w:r>
      <w:r>
        <w:rPr>
          <w:rtl w:val="true"/>
        </w:rPr>
        <w:t xml:space="preserve">, </w:t>
      </w:r>
      <w:r>
        <w:rPr>
          <w:rtl w:val="true"/>
        </w:rPr>
        <w:t>פרטים מדויקים וגרסה אמינה</w:t>
      </w:r>
      <w:r>
        <w:rPr>
          <w:rtl w:val="true"/>
        </w:rPr>
        <w:t xml:space="preserve">. </w:t>
      </w:r>
      <w:r>
        <w:rPr>
          <w:rtl w:val="true"/>
        </w:rPr>
        <w:t xml:space="preserve">מאחר שעדות המתלוננת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אינה טעונה סיוע</w:t>
      </w:r>
      <w:r>
        <w:rPr>
          <w:rtl w:val="true"/>
        </w:rPr>
        <w:t xml:space="preserve">, </w:t>
      </w:r>
      <w:r>
        <w:rPr>
          <w:rtl w:val="true"/>
        </w:rPr>
        <w:t>בית המשפט נימק כי עדותה מספיקה להרשעה</w:t>
      </w:r>
      <w:r>
        <w:rPr>
          <w:rtl w:val="true"/>
        </w:rPr>
        <w:t xml:space="preserve">. </w:t>
      </w:r>
      <w:r>
        <w:rPr>
          <w:rtl w:val="true"/>
        </w:rPr>
        <w:t>לצד זאת צוין כי חשיפת האירוע בפני האם מיד לאחר המעשה</w:t>
      </w:r>
      <w:r>
        <w:rPr>
          <w:rtl w:val="true"/>
        </w:rPr>
        <w:t xml:space="preserve">, </w:t>
      </w:r>
      <w:r>
        <w:rPr>
          <w:rtl w:val="true"/>
        </w:rPr>
        <w:t xml:space="preserve">והחשיפה הסימולטנית בשיחה עם קטינה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מהווים חיזוקים לגרסתה של קטינה </w:t>
      </w:r>
      <w:r>
        <w:rPr/>
        <w:t>2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בהתייחסו לאישום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מצא כי עדותה של קטינה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בפני חוקרת הילדים</w:t>
      </w:r>
      <w:r>
        <w:rPr>
          <w:rtl w:val="true"/>
        </w:rPr>
        <w:t xml:space="preserve">, </w:t>
      </w:r>
      <w:r>
        <w:rPr>
          <w:rtl w:val="true"/>
        </w:rPr>
        <w:t>כפי שניתן היה להתרשם ממנה מצפיה בתקליטור התיעוד</w:t>
      </w:r>
      <w:r>
        <w:rPr>
          <w:rtl w:val="true"/>
        </w:rPr>
        <w:t xml:space="preserve">, </w:t>
      </w:r>
      <w:r>
        <w:rPr>
          <w:rtl w:val="true"/>
        </w:rPr>
        <w:t>הותירה רושם חזק בדבר מהימנות גרסתה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הודגש כי תיאורי קטינה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כוללים פירוט וניכר ניסיונה לדייק בתיאור האירוע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מחמת הספק שהביעה קטינה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בעצמה</w:t>
      </w:r>
      <w:r>
        <w:rPr>
          <w:rtl w:val="true"/>
        </w:rPr>
        <w:t xml:space="preserve">, </w:t>
      </w:r>
      <w:r>
        <w:rPr>
          <w:rtl w:val="true"/>
        </w:rPr>
        <w:t>נקבע כי לא הוכח מעבר לספק סביר מגע בישבן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מאחר שעדותה של קטינה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ניתנה בפני חוקרת הילדים ולא בבית משפט</w:t>
      </w:r>
      <w:r>
        <w:rPr>
          <w:rtl w:val="true"/>
        </w:rPr>
        <w:t xml:space="preserve">, </w:t>
      </w:r>
      <w:r>
        <w:rPr>
          <w:rtl w:val="true"/>
        </w:rPr>
        <w:t>הכרעת הדין התייחסה לסיוע הנדרש לראייה זו</w:t>
      </w:r>
      <w:r>
        <w:rPr>
          <w:rtl w:val="true"/>
        </w:rPr>
        <w:t xml:space="preserve">, </w:t>
      </w:r>
      <w:r>
        <w:rPr>
          <w:rtl w:val="true"/>
        </w:rPr>
        <w:t xml:space="preserve">וקבע כי ניתן למצוא סיוע לגרסת קטינה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במספר הקשרים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נקבע כי עדות קטינה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בדבר הפגיעה בה על ידי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היא משום עדות על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מעשים דומים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המהווה סיוע לדברי קטינה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קבע כי עדותה המהימנה של קטינה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לפיה קטינה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אמרה שהמערער </w:t>
      </w:r>
      <w:r>
        <w:rPr>
          <w:rtl w:val="true"/>
        </w:rPr>
        <w:t>"</w:t>
      </w:r>
      <w:r>
        <w:rPr>
          <w:rtl w:val="true"/>
        </w:rPr>
        <w:t>מתנהג מוזר</w:t>
      </w:r>
      <w:r>
        <w:rPr>
          <w:rtl w:val="true"/>
        </w:rPr>
        <w:t xml:space="preserve">" </w:t>
      </w:r>
      <w:r>
        <w:rPr>
          <w:rtl w:val="true"/>
        </w:rPr>
        <w:t>ובכתה בסמוך לאירוע</w:t>
      </w:r>
      <w:r>
        <w:rPr>
          <w:rtl w:val="true"/>
        </w:rPr>
        <w:t xml:space="preserve">, </w:t>
      </w:r>
      <w:r>
        <w:rPr>
          <w:rtl w:val="true"/>
        </w:rPr>
        <w:t xml:space="preserve">מהווה חיזוק לגרסת קטינה </w:t>
      </w:r>
      <w:r>
        <w:rPr/>
        <w:t>1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הדין נקבע מתחם ענישה אחד לשני האישומים</w:t>
      </w:r>
      <w:r>
        <w:rPr>
          <w:rtl w:val="true"/>
        </w:rPr>
        <w:t xml:space="preserve">, </w:t>
      </w:r>
      <w:r>
        <w:rPr>
          <w:rtl w:val="true"/>
        </w:rPr>
        <w:t xml:space="preserve">העומד על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בית המשפט המחוזי הטעים כי הגם שהמעשים המיניים אינם מהחמורים</w:t>
      </w:r>
      <w:r>
        <w:rPr>
          <w:rtl w:val="true"/>
        </w:rPr>
        <w:t xml:space="preserve">, </w:t>
      </w:r>
      <w:r>
        <w:rPr>
          <w:rtl w:val="true"/>
        </w:rPr>
        <w:t xml:space="preserve">החומרה היתרה נגזרת מזהות הקורבנות </w:t>
      </w:r>
      <w:r>
        <w:rPr>
          <w:rtl w:val="true"/>
        </w:rPr>
        <w:t>–</w:t>
      </w:r>
      <w:r>
        <w:rPr>
          <w:rtl w:val="true"/>
        </w:rPr>
        <w:t xml:space="preserve"> נכדותיו של המערער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נקבע כי יש מקום להתחשב בנסיבותיו האישיות של המערער ובעמדת הקורבנות כטעמים מיוחדים המצדיקים חריגה לקולא מהעונש המזערי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 הקבוע בחוק</w:t>
      </w:r>
      <w:r>
        <w:rPr>
          <w:rtl w:val="true"/>
        </w:rPr>
        <w:t xml:space="preserve">. </w:t>
      </w:r>
      <w:r>
        <w:rPr>
          <w:rtl w:val="true"/>
        </w:rPr>
        <w:t xml:space="preserve">על כן בית המשפט גזר על הנאשם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מותנים</w:t>
      </w:r>
      <w:r>
        <w:rPr>
          <w:rtl w:val="true"/>
        </w:rPr>
        <w:t xml:space="preserve">, </w:t>
      </w:r>
      <w:r>
        <w:rPr>
          <w:rtl w:val="true"/>
        </w:rPr>
        <w:t xml:space="preserve">ופיצוי בסך </w:t>
      </w:r>
      <w:r>
        <w:rPr/>
        <w:t>25,000</w:t>
      </w:r>
      <w:r>
        <w:rPr>
          <w:rtl w:val="true"/>
        </w:rPr>
        <w:t xml:space="preserve"> ₪ </w:t>
      </w:r>
      <w:r>
        <w:rPr>
          <w:rtl w:val="true"/>
        </w:rPr>
        <w:t xml:space="preserve">לקטינה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 xml:space="preserve">לקטינה </w:t>
      </w:r>
      <w:r>
        <w:rPr/>
        <w:t>2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הערעור מופנה כנגד הכרעת הדין וגזר הדין</w:t>
      </w:r>
      <w:r>
        <w:rPr>
          <w:rtl w:val="true"/>
        </w:rPr>
        <w:t xml:space="preserve">. </w:t>
      </w:r>
      <w:r>
        <w:rPr>
          <w:rtl w:val="true"/>
        </w:rPr>
        <w:t>באשר לאישום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טוען כי הראיות שהובאו כסיוע לעדות קטינה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אינן עומדות בדרישות לראיית סיוע</w:t>
      </w:r>
      <w:r>
        <w:rPr>
          <w:rtl w:val="true"/>
        </w:rPr>
        <w:t xml:space="preserve">. </w:t>
      </w:r>
      <w:r>
        <w:rPr>
          <w:rtl w:val="true"/>
        </w:rPr>
        <w:t xml:space="preserve">לשיטתו לא הונחה תשתית למצב נפשי ניכר של קטינה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ולא ניתן להסתפק באמירתה היחידה </w:t>
      </w:r>
      <w:r>
        <w:rPr>
          <w:rtl w:val="true"/>
        </w:rPr>
        <w:t>"</w:t>
      </w:r>
      <w:r>
        <w:rPr>
          <w:rtl w:val="true"/>
        </w:rPr>
        <w:t>סבא התנהג מוזר</w:t>
      </w:r>
      <w:r>
        <w:rPr>
          <w:rtl w:val="true"/>
        </w:rPr>
        <w:t xml:space="preserve">", </w:t>
      </w:r>
      <w:r>
        <w:rPr>
          <w:rtl w:val="true"/>
        </w:rPr>
        <w:t>או בבכי אשר מקורו אינו ברור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נטען כי אין בעדות קטינה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אודות האישום השני כדי להוות סיוע בדמות </w:t>
      </w:r>
      <w:r>
        <w:rPr>
          <w:rtl w:val="true"/>
        </w:rPr>
        <w:t>"</w:t>
      </w:r>
      <w:r>
        <w:rPr>
          <w:rtl w:val="true"/>
        </w:rPr>
        <w:t>מעשים דומים</w:t>
      </w:r>
      <w:r>
        <w:rPr>
          <w:rtl w:val="true"/>
        </w:rPr>
        <w:t xml:space="preserve">". </w:t>
      </w:r>
      <w:r>
        <w:rPr>
          <w:rtl w:val="true"/>
        </w:rPr>
        <w:t>מודגש כי השימוש ב</w:t>
      </w:r>
      <w:r>
        <w:rPr>
          <w:rtl w:val="true"/>
        </w:rPr>
        <w:t>"</w:t>
      </w:r>
      <w:r>
        <w:rPr>
          <w:rtl w:val="true"/>
        </w:rPr>
        <w:t>מעשים דומים</w:t>
      </w:r>
      <w:r>
        <w:rPr>
          <w:rtl w:val="true"/>
        </w:rPr>
        <w:t xml:space="preserve">" </w:t>
      </w:r>
      <w:r>
        <w:rPr>
          <w:rtl w:val="true"/>
        </w:rPr>
        <w:t>כראיית סיוע ייעשה במקרים חריגים</w:t>
      </w:r>
      <w:r>
        <w:rPr>
          <w:rtl w:val="true"/>
        </w:rPr>
        <w:t xml:space="preserve">, </w:t>
      </w:r>
      <w:r>
        <w:rPr>
          <w:rtl w:val="true"/>
        </w:rPr>
        <w:t>וכי במקרה דנן ישנה שונות משמעותית בין המקרים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נטען כי בית המשפט לא נתן משקל לכך שהקטינות שיתפו זו את זו עובר לחקירה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המערער טוען כי בית משפט קמא שגה בהרשעתו בהסתמך על עדותה היחידה של קטינה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המערער מדגיש בהקשר זה כי קטינה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ראתה את רגליו בעת המעשה ומבססת את גרסתה על העובדה שהרגישה מכנסיים של גבר</w:t>
      </w:r>
      <w:r>
        <w:rPr>
          <w:rtl w:val="true"/>
        </w:rPr>
        <w:t xml:space="preserve">. </w:t>
      </w:r>
      <w:r>
        <w:rPr>
          <w:rtl w:val="true"/>
        </w:rPr>
        <w:t>עוד נטען כי בית משפט שגה משלא דן בשאלת קיומו של היסוד הנפשי הדרוש להרשעה ומשדחה את האפשרות כי המגע נעשה באופן לא מכוון ובאקראי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 חומרת העונש</w:t>
      </w:r>
      <w:r>
        <w:rPr>
          <w:rtl w:val="true"/>
        </w:rPr>
        <w:t xml:space="preserve">, </w:t>
      </w:r>
      <w:r>
        <w:rPr>
          <w:rtl w:val="true"/>
        </w:rPr>
        <w:t>המערער טוען כי בית המשפט לא נתן משקל מספק לנסיבות המקרה ולרף הנמוך של חומרת המעשים המיניים בקביעת מתחם הענישה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נטען כי לא ניתן משקל מספק לנתוניו האישיים בקביעת העונש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מנגד טוענת כי הערעור מופנה בעיקרו נגד ממצאי מהימנות ועובדה</w:t>
      </w:r>
      <w:r>
        <w:rPr>
          <w:rtl w:val="true"/>
        </w:rPr>
        <w:t xml:space="preserve">, </w:t>
      </w:r>
      <w:r>
        <w:rPr>
          <w:rtl w:val="true"/>
        </w:rPr>
        <w:t>ומדגישה את המהימנות הגבוהה שייחס בית משפט קמא לעדויות הקטינות</w:t>
      </w:r>
      <w:r>
        <w:rPr>
          <w:rtl w:val="true"/>
        </w:rPr>
        <w:t xml:space="preserve">. </w:t>
      </w:r>
      <w:r>
        <w:rPr>
          <w:rtl w:val="true"/>
        </w:rPr>
        <w:t xml:space="preserve">לעניין הסיוע הנדרש לעדותה של קטינה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נטען כי נוכח מהימנותה הגבוהה של העדות בפני חוקרת הילדים</w:t>
      </w:r>
      <w:r>
        <w:rPr>
          <w:rtl w:val="true"/>
        </w:rPr>
        <w:t xml:space="preserve">, </w:t>
      </w:r>
      <w:r>
        <w:rPr>
          <w:rtl w:val="true"/>
        </w:rPr>
        <w:t>ניתן להסתפק בראיית סיוע שמשקלה מועט באופן יחסי</w:t>
      </w:r>
      <w:r>
        <w:rPr>
          <w:rtl w:val="true"/>
        </w:rPr>
        <w:t xml:space="preserve">, </w:t>
      </w:r>
      <w:r>
        <w:rPr>
          <w:rtl w:val="true"/>
        </w:rPr>
        <w:t>וכי ניתן להסתמך על מספר ראיות אשר בהצטברותן יחד הינן בעלות משקל מספק</w:t>
      </w:r>
      <w:r>
        <w:rPr>
          <w:rtl w:val="true"/>
        </w:rPr>
        <w:t xml:space="preserve">. </w:t>
      </w:r>
      <w:r>
        <w:rPr>
          <w:rtl w:val="true"/>
        </w:rPr>
        <w:t>המשיבה סומכת ידה על קביעות בית משפט קמא ומדגישה שתי ראיות מרכזיות כסיוע</w:t>
      </w:r>
      <w:r>
        <w:rPr>
          <w:rtl w:val="true"/>
        </w:rPr>
        <w:t xml:space="preserve">: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 xml:space="preserve">האמירה </w:t>
      </w:r>
      <w:r>
        <w:rPr>
          <w:rtl w:val="true"/>
        </w:rPr>
        <w:t>"</w:t>
      </w:r>
      <w:r>
        <w:rPr>
          <w:rtl w:val="true"/>
        </w:rPr>
        <w:t>סבא מתנהג מוזר</w:t>
      </w:r>
      <w:r>
        <w:rPr>
          <w:rtl w:val="true"/>
        </w:rPr>
        <w:t xml:space="preserve">";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 xml:space="preserve">עדותה של קטינה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כסיוע במובן של </w:t>
      </w:r>
      <w:r>
        <w:rPr>
          <w:rtl w:val="true"/>
        </w:rPr>
        <w:t>"</w:t>
      </w:r>
      <w:r>
        <w:rPr>
          <w:rtl w:val="true"/>
        </w:rPr>
        <w:t>מעשים דומים</w:t>
      </w:r>
      <w:r>
        <w:rPr>
          <w:rtl w:val="true"/>
        </w:rPr>
        <w:t xml:space="preserve">", </w:t>
      </w:r>
      <w:r>
        <w:rPr>
          <w:rtl w:val="true"/>
        </w:rPr>
        <w:t>תוך שנטען כי די בדמיון כללי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 לטענות המערער לגבי האישום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המשיבה עומדת על כך שבית המשפט התרשם באופן בלתי אמצעי מעדותה של קטינה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ודי בעדות מהימנה זו</w:t>
      </w:r>
      <w:r>
        <w:rPr>
          <w:rtl w:val="true"/>
        </w:rPr>
        <w:t xml:space="preserve">. </w:t>
      </w:r>
      <w:r>
        <w:rPr>
          <w:rtl w:val="true"/>
        </w:rPr>
        <w:t>לעניין היסוד הנפשי של המערער</w:t>
      </w:r>
      <w:r>
        <w:rPr>
          <w:rtl w:val="true"/>
        </w:rPr>
        <w:t xml:space="preserve">, </w:t>
      </w:r>
      <w:r>
        <w:rPr>
          <w:rtl w:val="true"/>
        </w:rPr>
        <w:t>המשיבה מדגישה כי לא נדרשת בהכרח התנהגות בעלת אופי מיני בולט</w:t>
      </w:r>
      <w:r>
        <w:rPr>
          <w:rtl w:val="true"/>
        </w:rPr>
        <w:t xml:space="preserve">, </w:t>
      </w:r>
      <w:r>
        <w:rPr>
          <w:rtl w:val="true"/>
        </w:rPr>
        <w:t xml:space="preserve">כאשר נסיבות הביצוע </w:t>
      </w:r>
      <w:r>
        <w:rPr>
          <w:rtl w:val="true"/>
        </w:rPr>
        <w:t>–</w:t>
      </w:r>
      <w:r>
        <w:rPr>
          <w:rtl w:val="true"/>
        </w:rPr>
        <w:t xml:space="preserve"> נגיעות חוזרות על אף ניסיונו</w:t>
      </w:r>
      <w:r>
        <w:rPr>
          <w:rtl w:val="true"/>
        </w:rPr>
        <w:t>ת</w:t>
      </w:r>
      <w:r>
        <w:rPr>
          <w:rtl w:val="true"/>
        </w:rPr>
        <w:t xml:space="preserve"> של קטינה להתרחק</w:t>
      </w:r>
      <w:r>
        <w:rPr>
          <w:rtl w:val="true"/>
        </w:rPr>
        <w:t xml:space="preserve">, </w:t>
      </w:r>
      <w:r>
        <w:rPr>
          <w:rtl w:val="true"/>
        </w:rPr>
        <w:t>מלמדות על כוונתו המינית של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 לערעור על חומרת העונש</w:t>
      </w:r>
      <w:r>
        <w:rPr>
          <w:rtl w:val="true"/>
        </w:rPr>
        <w:t xml:space="preserve">, </w:t>
      </w:r>
      <w:r>
        <w:rPr>
          <w:rtl w:val="true"/>
        </w:rPr>
        <w:t>המשיבה סבורה כי מדובר בעונש הולם</w:t>
      </w:r>
      <w:r>
        <w:rPr>
          <w:rtl w:val="true"/>
        </w:rPr>
        <w:t xml:space="preserve">, </w:t>
      </w:r>
      <w:r>
        <w:rPr>
          <w:rtl w:val="true"/>
        </w:rPr>
        <w:t>אשר אף נוטה לקולא וחורג מעונש המינימום הקבוע בחוק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תחילה נתייחס לאישום השני בו הורשע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ביסס את הרשעתו של המערער באישום זה על מהימנות עדותה של קטינה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אשר אינה טעונה סיוע</w:t>
      </w:r>
      <w:r>
        <w:rPr>
          <w:rtl w:val="true"/>
        </w:rPr>
        <w:t xml:space="preserve">, </w:t>
      </w:r>
      <w:r>
        <w:rPr>
          <w:rtl w:val="true"/>
        </w:rPr>
        <w:t>וממנה התרשם בית משפט באופן ישיר ובלתי אמצעי</w:t>
      </w:r>
      <w:r>
        <w:rPr>
          <w:rtl w:val="true"/>
        </w:rPr>
        <w:t xml:space="preserve">. </w:t>
      </w:r>
      <w:r>
        <w:rPr>
          <w:rtl w:val="true"/>
        </w:rPr>
        <w:t xml:space="preserve">קטינה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נתנה עדות מפורטת ובניגוד לטענות המערער בית משפט קמא דחה את האפשרות כי מדובר במגע אקראי והתייחס לכוונה המינית שמאחורי המעשה</w:t>
      </w:r>
      <w:r>
        <w:rPr>
          <w:rtl w:val="true"/>
        </w:rPr>
        <w:t xml:space="preserve">. </w:t>
      </w:r>
      <w:r>
        <w:rPr>
          <w:rtl w:val="true"/>
        </w:rPr>
        <w:t xml:space="preserve">קטינה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העידה כי הרגישה במהלך הארוחה רגל </w:t>
      </w:r>
      <w:r>
        <w:rPr>
          <w:rtl w:val="true"/>
        </w:rPr>
        <w:t>"</w:t>
      </w:r>
      <w:r>
        <w:rPr>
          <w:rtl w:val="true"/>
        </w:rPr>
        <w:t>מלטפת</w:t>
      </w:r>
      <w:r>
        <w:rPr>
          <w:rtl w:val="true"/>
        </w:rPr>
        <w:t xml:space="preserve">" </w:t>
      </w:r>
      <w:r>
        <w:rPr>
          <w:rtl w:val="true"/>
        </w:rPr>
        <w:t>את רגלה בתנועה עולה ויורדת</w:t>
      </w:r>
      <w:r>
        <w:rPr>
          <w:rtl w:val="true"/>
        </w:rPr>
        <w:t xml:space="preserve">, </w:t>
      </w:r>
      <w:r>
        <w:rPr>
          <w:rtl w:val="true"/>
        </w:rPr>
        <w:t>ותיארה את הניסיונות שלה להתחמק מהמגע בעוד המערער לא חדל ממעשיו</w:t>
      </w:r>
      <w:r>
        <w:rPr>
          <w:rtl w:val="true"/>
        </w:rPr>
        <w:t xml:space="preserve">. </w:t>
      </w:r>
      <w:r>
        <w:rPr>
          <w:rtl w:val="true"/>
        </w:rPr>
        <w:t>נוכח תיאור זה הכוונה המינית אכן נלמדת מהנסיבות</w:t>
      </w:r>
      <w:r>
        <w:rPr>
          <w:rtl w:val="true"/>
        </w:rPr>
        <w:t xml:space="preserve">. </w:t>
      </w:r>
      <w:r>
        <w:rPr>
          <w:rtl w:val="true"/>
        </w:rPr>
        <w:t xml:space="preserve">מעשים חוזרים ועיקשים כאלו של סב כלפי נכדתו אינם מתרחשים בטעות ולא ניתן למסגרם כמגע אקראי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14.9.2021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קטינה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הסבירה כי על אף שלא הסתכלה מתחת לשולחן אין אפשרות שמדובר באדם באחר מלבד המערער</w:t>
      </w:r>
      <w:r>
        <w:rPr>
          <w:rtl w:val="true"/>
        </w:rPr>
        <w:t xml:space="preserve">, </w:t>
      </w:r>
      <w:r>
        <w:rPr>
          <w:rtl w:val="true"/>
        </w:rPr>
        <w:t>שכן הרגישה מכנסיים של גבר</w:t>
      </w:r>
      <w:r>
        <w:rPr>
          <w:rtl w:val="true"/>
        </w:rPr>
        <w:t xml:space="preserve">, </w:t>
      </w:r>
      <w:r>
        <w:rPr>
          <w:rtl w:val="true"/>
        </w:rPr>
        <w:t>ואביה ישב רחוק מדי</w:t>
      </w:r>
      <w:r>
        <w:rPr>
          <w:rtl w:val="true"/>
        </w:rPr>
        <w:t xml:space="preserve">. </w:t>
      </w:r>
      <w:r>
        <w:rPr>
          <w:rtl w:val="true"/>
        </w:rPr>
        <w:t>בית משפט קמא נימק וקבע 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כעניין שבעובדה </w:t>
      </w:r>
      <w:r>
        <w:rPr>
          <w:rtl w:val="true"/>
        </w:rPr>
        <w:t>–</w:t>
      </w:r>
      <w:r>
        <w:rPr>
          <w:rtl w:val="true"/>
        </w:rPr>
        <w:t xml:space="preserve"> ויש הגיון בכך </w:t>
      </w:r>
      <w:r>
        <w:rPr>
          <w:rtl w:val="true"/>
        </w:rPr>
        <w:t>–</w:t>
      </w:r>
      <w:r>
        <w:rPr>
          <w:rtl w:val="true"/>
        </w:rPr>
        <w:t xml:space="preserve"> כי סדר הישיבה בשולחן מוביל למסקנה כי היה זה המערער שחיכך את רגלו ברגלה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יודגש כי בניגוד 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העובדה שקטינה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 שמה לב להתרחשות בעת הארוחה על אף שהיא ישבה באותו שולחן אינה מלמדת דבר</w:t>
      </w:r>
      <w:r>
        <w:rPr>
          <w:rtl w:val="true"/>
        </w:rPr>
        <w:t xml:space="preserve">. </w:t>
      </w:r>
      <w:r>
        <w:rPr>
          <w:rtl w:val="true"/>
        </w:rPr>
        <w:t>שכן המעשים בוצעו בהיחבא מתחת לשולחן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מקרים שונים של פגיעה מינית בתוך המשפחה עשויים להתרחש </w:t>
      </w:r>
      <w:r>
        <w:rPr>
          <w:rtl w:val="true"/>
        </w:rPr>
        <w:t>"</w:t>
      </w:r>
      <w:r>
        <w:rPr>
          <w:rtl w:val="true"/>
        </w:rPr>
        <w:t>מתחת לאפם</w:t>
      </w:r>
      <w:r>
        <w:rPr>
          <w:rtl w:val="true"/>
        </w:rPr>
        <w:t xml:space="preserve">" </w:t>
      </w:r>
      <w:r>
        <w:rPr>
          <w:rtl w:val="true"/>
        </w:rPr>
        <w:t xml:space="preserve">של בני משפחה אחרים ואין מדובר במאפיין יוצא דופן אשר יש בו כדי לפגום באמינות גרסת קטינה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בית המשפט המחוזי אך קבע כי אין לתת אמון בגרסת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ואציע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עתה נעבור לדון באישום הראשון</w:t>
      </w:r>
      <w:r>
        <w:rPr>
          <w:rtl w:val="true"/>
        </w:rPr>
        <w:t xml:space="preserve">, </w:t>
      </w:r>
      <w:r>
        <w:rPr>
          <w:rtl w:val="true"/>
        </w:rPr>
        <w:t>אשר הערעור לגביו למעשה אינו נוגע לממצאים שבעובדה ובמהימנות</w:t>
      </w:r>
      <w:r>
        <w:rPr>
          <w:rtl w:val="true"/>
        </w:rPr>
        <w:t xml:space="preserve">, </w:t>
      </w:r>
      <w:r>
        <w:rPr>
          <w:rtl w:val="true"/>
        </w:rPr>
        <w:t>אלא מעורר שאלות משפטיות אודות דרישת הסיוע לעדות קטין אשר ניתנה בפני חוקר ילדים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בפתח הדברים נשוב ונזכיר כי ההרשעה באישום זה נסמכה על עדותה של קטינה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 העידה בפני חוקרת ילדים ולא בבית המשפט</w:t>
      </w:r>
      <w:r>
        <w:rPr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 xml:space="preserve">לעניין זה קובע </w:t>
      </w:r>
      <w:hyperlink r:id="rId19"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</w:rPr>
          <w:t>11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ל</w:t>
      </w: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התשט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 w:cs="FrankRuehl"/>
          <w:sz w:val="28"/>
          <w:sz w:val="28"/>
          <w:rtl w:val="true"/>
        </w:rPr>
        <w:t>ו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1956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כי </w:t>
      </w:r>
      <w:r>
        <w:rPr>
          <w:rFonts w:ascii="FrankRuehl" w:hAnsi="FrankRuehl" w:cs="FrankRuehl"/>
          <w:sz w:val="28"/>
          <w:sz w:val="28"/>
          <w:rtl w:val="true"/>
        </w:rPr>
        <w:t>לא ניתן</w:t>
      </w:r>
      <w:r>
        <w:rPr>
          <w:rFonts w:ascii="FrankRuehl" w:hAnsi="FrankRuehl" w:cs="FrankRuehl"/>
          <w:sz w:val="28"/>
          <w:sz w:val="28"/>
          <w:rtl w:val="true"/>
        </w:rPr>
        <w:t xml:space="preserve"> להרשיע אדם על סמך עדות </w:t>
      </w:r>
      <w:r>
        <w:rPr>
          <w:rFonts w:ascii="FrankRuehl" w:hAnsi="FrankRuehl" w:cs="FrankRuehl"/>
          <w:sz w:val="28"/>
          <w:sz w:val="28"/>
          <w:rtl w:val="true"/>
        </w:rPr>
        <w:t>קטין</w:t>
      </w:r>
      <w:r>
        <w:rPr>
          <w:rFonts w:ascii="FrankRuehl" w:hAnsi="FrankRuehl" w:cs="FrankRuehl"/>
          <w:sz w:val="28"/>
          <w:sz w:val="28"/>
          <w:rtl w:val="true"/>
        </w:rPr>
        <w:t xml:space="preserve"> שתועדה באמצעות חוקר ילדים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אלא אם יש</w:t>
      </w:r>
      <w:r>
        <w:rPr>
          <w:rFonts w:ascii="FrankRuehl" w:hAnsi="FrankRuehl" w:cs="FrankRuehl"/>
          <w:sz w:val="28"/>
          <w:sz w:val="28"/>
          <w:rtl w:val="true"/>
        </w:rPr>
        <w:t xml:space="preserve">נו </w:t>
      </w:r>
      <w:r>
        <w:rPr>
          <w:rFonts w:ascii="FrankRuehl" w:hAnsi="FrankRuehl" w:cs="FrankRuehl"/>
          <w:sz w:val="28"/>
          <w:sz w:val="28"/>
          <w:rtl w:val="true"/>
        </w:rPr>
        <w:t>סיוע בראיה אחרת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דרישת הסיוע במקרים אלו נועדה למלא את החסר במסד הראייתי שנוצר בעקבות קבלתה של הודעה שניתנה רק מחוץ לכותלי בית משפט </w:t>
      </w:r>
      <w:r>
        <w:rPr>
          <w:rtl w:val="true"/>
        </w:rPr>
        <w:t>–</w:t>
      </w:r>
      <w:r>
        <w:rPr>
          <w:rtl w:val="true"/>
        </w:rPr>
        <w:t xml:space="preserve"> בפני חוקרת ילדים</w:t>
      </w:r>
      <w:r>
        <w:rPr>
          <w:rtl w:val="true"/>
        </w:rPr>
        <w:t xml:space="preserve">, </w:t>
      </w:r>
      <w:r>
        <w:rPr>
          <w:rtl w:val="true"/>
        </w:rPr>
        <w:t>כראיה מרשיעה</w:t>
      </w:r>
      <w:r>
        <w:rPr>
          <w:rtl w:val="true"/>
        </w:rPr>
        <w:t xml:space="preserve">. </w:t>
      </w:r>
      <w:r>
        <w:rPr>
          <w:rtl w:val="true"/>
        </w:rPr>
        <w:t>במצב דברים כזה עולים שני קשיים מהותיים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בית המשפט לא יכול להתרשם מהעדות באופן ישיר ובלתי אמצעי</w:t>
      </w:r>
      <w:r>
        <w:rPr>
          <w:rtl w:val="true"/>
        </w:rPr>
        <w:t xml:space="preserve">. </w:t>
      </w:r>
      <w:r>
        <w:rPr>
          <w:rtl w:val="true"/>
        </w:rPr>
        <w:t>שנית ועיקר</w:t>
      </w:r>
      <w:r>
        <w:rPr>
          <w:rtl w:val="true"/>
        </w:rPr>
        <w:t xml:space="preserve">, </w:t>
      </w:r>
      <w:r>
        <w:rPr>
          <w:rtl w:val="true"/>
        </w:rPr>
        <w:t>להגנה אין אפשרות לקיים חקירה נגדית מטעמה ולבחון את עדות המתלוננת</w:t>
      </w:r>
      <w:r>
        <w:rPr>
          <w:rtl w:val="true"/>
        </w:rPr>
        <w:t xml:space="preserve">, </w:t>
      </w:r>
      <w:r>
        <w:rPr>
          <w:rtl w:val="true"/>
        </w:rPr>
        <w:t>ומדובר בכלי המרכזי העומד לסנגור בהגנה על נאשם</w:t>
      </w:r>
      <w:r>
        <w:rPr>
          <w:rtl w:val="true"/>
        </w:rPr>
        <w:t xml:space="preserve">. </w:t>
      </w:r>
      <w:r>
        <w:rPr>
          <w:rtl w:val="true"/>
        </w:rPr>
        <w:t>כפי שהדגשתי במקום אחר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האדברסרית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החפירה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. </w:t>
      </w:r>
      <w:r>
        <w:rPr>
          <w:rtl w:val="true"/>
        </w:rPr>
        <w:t>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ונטלת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המסייעת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>" 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6001/12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וההפניות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12.5.2013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הדרישה בחוק לראיית סיוע נועדה לגשר על חסרונות אלו</w:t>
      </w:r>
      <w:r>
        <w:rPr>
          <w:rtl w:val="true"/>
        </w:rPr>
        <w:t xml:space="preserve">, </w:t>
      </w:r>
      <w:r>
        <w:rPr>
          <w:rtl w:val="true"/>
        </w:rPr>
        <w:t>למזער את הסיכון להרשעת חף מפשע ולכונן ביטחון בהרשעה</w:t>
      </w:r>
      <w:r>
        <w:rPr>
          <w:rtl w:val="true"/>
        </w:rPr>
        <w:t xml:space="preserve">. </w:t>
      </w:r>
      <w:r>
        <w:rPr>
          <w:rtl w:val="true"/>
        </w:rPr>
        <w:t xml:space="preserve">ראו דבריו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ריבלין</w:t>
      </w:r>
      <w:r>
        <w:rPr>
          <w:rtl w:val="true"/>
        </w:rPr>
        <w:t xml:space="preserve"> בעניין זה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). </w:t>
      </w:r>
      <w:r>
        <w:rPr>
          <w:rtl w:val="true"/>
        </w:rPr>
        <w:t>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: </w:t>
      </w:r>
      <w:r>
        <w:rPr>
          <w:rtl w:val="true"/>
        </w:rPr>
        <w:t>מחד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כחריג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הפוסל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מאשימיו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שנגבתה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>" (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446/02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קובי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, </w:t>
      </w:r>
      <w:r>
        <w:rPr/>
        <w:t>783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</w:t>
      </w:r>
      <w:r>
        <w:rPr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בית משפט זה חזר לא פעם על כך שמדובר בדרישה מהותית לסיוע ולא בדרישה טכנית גרידא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4721/99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684</w:t>
      </w:r>
      <w:r>
        <w:rPr>
          <w:rtl w:val="true"/>
        </w:rPr>
        <w:t xml:space="preserve">, </w:t>
      </w:r>
      <w:r>
        <w:rPr/>
        <w:t>696</w:t>
      </w:r>
      <w:r>
        <w:rPr>
          <w:rtl w:val="true"/>
        </w:rPr>
        <w:t xml:space="preserve"> (</w:t>
      </w:r>
      <w:r>
        <w:rPr/>
        <w:t>1999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2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4721/99</w:t>
        </w:r>
      </w:hyperlink>
      <w:r>
        <w:rPr>
          <w:rtl w:val="true"/>
        </w:rPr>
        <w:t xml:space="preserve">); </w:t>
      </w:r>
      <w:r>
        <w:rPr>
          <w:rtl w:val="true"/>
        </w:rPr>
        <w:t>ו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4447/20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10.1.2022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hyperlink r:id="rId2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4447/20</w:t>
        </w:r>
      </w:hyperlink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באשר לטיבה של ראיית הסיוע</w:t>
      </w:r>
      <w:r>
        <w:rPr>
          <w:rtl w:val="true"/>
        </w:rPr>
        <w:t xml:space="preserve">, </w:t>
      </w:r>
      <w:r>
        <w:rPr>
          <w:rtl w:val="true"/>
        </w:rPr>
        <w:t>הלכה פסוקה היא כי על הראיה לעמוד בשלושה תנאים מצטברים</w:t>
      </w:r>
      <w:r>
        <w:rPr>
          <w:rtl w:val="true"/>
        </w:rPr>
        <w:t xml:space="preserve">: </w:t>
      </w:r>
      <w:r>
        <w:rPr>
          <w:rtl w:val="true"/>
        </w:rPr>
        <w:t>היא צריכה לבוא ממקור עצמאי ונפרד</w:t>
      </w:r>
      <w:r>
        <w:rPr>
          <w:rtl w:val="true"/>
        </w:rPr>
        <w:t xml:space="preserve">; </w:t>
      </w:r>
      <w:r>
        <w:rPr>
          <w:rtl w:val="true"/>
        </w:rPr>
        <w:t>היא צריכה לנטות לסבך את הנאשם בביצוע העבירה</w:t>
      </w:r>
      <w:r>
        <w:rPr>
          <w:rtl w:val="true"/>
        </w:rPr>
        <w:t xml:space="preserve">; </w:t>
      </w:r>
      <w:r>
        <w:rPr>
          <w:rtl w:val="true"/>
        </w:rPr>
        <w:t>והיא צריכה לגעת בנקודה ממשית השנויה במחלוקת</w:t>
      </w:r>
      <w:r>
        <w:rPr>
          <w:rtl w:val="true"/>
        </w:rPr>
        <w:t xml:space="preserve">. </w:t>
      </w:r>
      <w:r>
        <w:rPr>
          <w:rtl w:val="true"/>
        </w:rPr>
        <w:t>ביחס לחזית המחלוקת הודגש כי ככל שהכחשתו של הנאשם היא כללית</w:t>
      </w:r>
      <w:r>
        <w:rPr>
          <w:rtl w:val="true"/>
        </w:rPr>
        <w:t xml:space="preserve">, </w:t>
      </w:r>
      <w:r>
        <w:rPr>
          <w:rtl w:val="true"/>
        </w:rPr>
        <w:t xml:space="preserve">היקפה של ראיית הסיוע הנדרשת יכולה להיות מצומצמת יותר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387/83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יהודאי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לט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197</w:t>
      </w:r>
      <w:r>
        <w:rPr>
          <w:rtl w:val="true"/>
        </w:rPr>
        <w:t xml:space="preserve">, </w:t>
      </w:r>
      <w:r>
        <w:rPr/>
        <w:t>204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1985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8631/13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10.3.2016</w:t>
      </w:r>
      <w:r>
        <w:rPr>
          <w:rFonts w:cs="Century" w:ascii="Century" w:hAnsi="Century"/>
          <w:rtl w:val="true"/>
        </w:rPr>
        <w:t>)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8631/13</w:t>
        </w:r>
      </w:hyperlink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rFonts w:ascii="Century" w:hAnsi="Century" w:cs="Century"/>
          <w:rtl w:val="true"/>
        </w:rPr>
        <w:t>מצומצמת אך לא מיותרת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 שטענה המשיבה</w:t>
      </w:r>
      <w:r>
        <w:rPr>
          <w:rtl w:val="true"/>
        </w:rPr>
        <w:t xml:space="preserve">, </w:t>
      </w:r>
      <w:r>
        <w:rPr>
          <w:rtl w:val="true"/>
        </w:rPr>
        <w:t>המשקל הראייתי של הסיוע עשוי להשתנות בהתאם לטיבה הראייתי של העדות הטעונה סיוע</w:t>
      </w:r>
      <w:r>
        <w:rPr>
          <w:rtl w:val="true"/>
        </w:rPr>
        <w:t xml:space="preserve">, </w:t>
      </w:r>
      <w:r>
        <w:rPr>
          <w:rtl w:val="true"/>
        </w:rPr>
        <w:t>ועומד ביחס הפוך אליה</w:t>
      </w:r>
      <w:r>
        <w:rPr>
          <w:rtl w:val="true"/>
        </w:rPr>
        <w:t xml:space="preserve">. </w:t>
      </w:r>
      <w:r>
        <w:rPr>
          <w:rtl w:val="true"/>
        </w:rPr>
        <w:t>כך ש</w:t>
      </w:r>
      <w:r>
        <w:rPr>
          <w:rtl w:val="true"/>
        </w:rPr>
        <w:t xml:space="preserve">ככל שניתן </w:t>
      </w:r>
      <w:r>
        <w:rPr>
          <w:rtl w:val="true"/>
        </w:rPr>
        <w:t xml:space="preserve">לעדות העיקרית </w:t>
      </w:r>
      <w:r>
        <w:rPr>
          <w:rtl w:val="true"/>
        </w:rPr>
        <w:t>משקל רב יותר</w:t>
      </w:r>
      <w:r>
        <w:rPr>
          <w:rtl w:val="true"/>
        </w:rPr>
        <w:t xml:space="preserve">, </w:t>
      </w:r>
      <w:r>
        <w:rPr>
          <w:rtl w:val="true"/>
        </w:rPr>
        <w:t>ניתן להסתפק בראיית סיוע שמשקלה מועט יותר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גם בהינתן אמון רב שניתן בעדות הטעונה סיוע</w:t>
      </w:r>
      <w:r>
        <w:rPr>
          <w:rtl w:val="true"/>
        </w:rPr>
        <w:t xml:space="preserve">, </w:t>
      </w:r>
      <w:r>
        <w:rPr>
          <w:rtl w:val="true"/>
        </w:rPr>
        <w:t>לא ניתן לפסוח על דרישת החוק לראיית סיוע</w:t>
      </w:r>
      <w:r>
        <w:rPr>
          <w:rtl w:val="true"/>
        </w:rPr>
        <w:t xml:space="preserve">, </w:t>
      </w:r>
      <w:r>
        <w:rPr>
          <w:rtl w:val="true"/>
        </w:rPr>
        <w:t xml:space="preserve">אשר צריכה לעמוד בתנאים כאמור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9608/11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7.7.2014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דרישת הסיוע כמוה כשיח בין המחוקק לבין השופט המכריע את הדין</w:t>
      </w:r>
      <w:r>
        <w:rPr>
          <w:rtl w:val="true"/>
        </w:rPr>
        <w:t xml:space="preserve">. </w:t>
      </w:r>
      <w:r>
        <w:rPr>
          <w:rtl w:val="true"/>
        </w:rPr>
        <w:t xml:space="preserve">הראשון אומר לשני </w:t>
      </w:r>
      <w:r>
        <w:rPr>
          <w:rtl w:val="true"/>
        </w:rPr>
        <w:t>–</w:t>
      </w:r>
      <w:r>
        <w:rPr>
          <w:rtl w:val="true"/>
        </w:rPr>
        <w:t xml:space="preserve"> דע לך כי גם אם מוענק משקל רב לעדות העיקרית</w:t>
      </w:r>
      <w:r>
        <w:rPr>
          <w:rtl w:val="true"/>
        </w:rPr>
        <w:t xml:space="preserve">, </w:t>
      </w:r>
      <w:r>
        <w:rPr>
          <w:rtl w:val="true"/>
        </w:rPr>
        <w:t>ולהערכתך ניתן להסתפק בה</w:t>
      </w:r>
      <w:r>
        <w:rPr>
          <w:rtl w:val="true"/>
        </w:rPr>
        <w:t xml:space="preserve">, </w:t>
      </w:r>
      <w:r>
        <w:rPr>
          <w:rtl w:val="true"/>
        </w:rPr>
        <w:t>אין לך שיקול דעת להרשיע ללא סיוע</w:t>
      </w:r>
      <w:r>
        <w:rPr>
          <w:rtl w:val="true"/>
        </w:rPr>
        <w:t xml:space="preserve">. </w:t>
      </w:r>
      <w:r>
        <w:rPr>
          <w:rtl w:val="true"/>
        </w:rPr>
        <w:t>זו איננה דרישה כללית אלא דרישה הקיימת במקרים מסוימים בהם קשה כעניין של מדיניות ודין להצדיק הרשעה על סמך העדות העיקרית הטעונה סיוע</w:t>
      </w:r>
      <w:r>
        <w:rPr>
          <w:rtl w:val="true"/>
        </w:rPr>
        <w:t xml:space="preserve">. </w:t>
      </w:r>
      <w:r>
        <w:rPr>
          <w:rtl w:val="true"/>
        </w:rPr>
        <w:t>מקרנו דוגמא מובהקת לכך</w:t>
      </w:r>
      <w:r>
        <w:rPr>
          <w:rtl w:val="true"/>
        </w:rPr>
        <w:t xml:space="preserve">, </w:t>
      </w:r>
      <w:r>
        <w:rPr>
          <w:rtl w:val="true"/>
        </w:rPr>
        <w:t>העד העיקרי לא עבר כאמור את המנגנון של החקירה הנגדית שכה חיוני לקביעת ממצאים עובדתיים</w:t>
      </w:r>
      <w:r>
        <w:rPr>
          <w:rtl w:val="true"/>
        </w:rPr>
        <w:t xml:space="preserve">. 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כפי שצוין</w:t>
      </w:r>
      <w:r>
        <w:rPr>
          <w:rtl w:val="true"/>
        </w:rPr>
        <w:t xml:space="preserve">, </w:t>
      </w:r>
      <w:r>
        <w:rPr>
          <w:rtl w:val="true"/>
        </w:rPr>
        <w:t>ממקדת טענותיה בשתי ראיות מרכזיות המהוות לשיטתה סיוע</w:t>
      </w:r>
      <w:r>
        <w:rPr>
          <w:rtl w:val="true"/>
        </w:rPr>
        <w:t xml:space="preserve">, </w:t>
      </w:r>
      <w:r>
        <w:rPr>
          <w:rtl w:val="true"/>
        </w:rPr>
        <w:t>ושעמדו בבסיס הכרעת בית המשפט המחוזי</w:t>
      </w:r>
      <w:r>
        <w:rPr>
          <w:rtl w:val="true"/>
        </w:rPr>
        <w:t xml:space="preserve">. </w:t>
      </w:r>
      <w:r>
        <w:rPr>
          <w:rtl w:val="true"/>
        </w:rPr>
        <w:t xml:space="preserve">האחת אמירתה של קטינה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לאחותה</w:t>
      </w:r>
      <w:r>
        <w:rPr>
          <w:rtl w:val="true"/>
        </w:rPr>
        <w:t xml:space="preserve">, </w:t>
      </w:r>
      <w:r>
        <w:rPr>
          <w:rtl w:val="true"/>
        </w:rPr>
        <w:t xml:space="preserve">קטינה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סבא מתנהג מוזר</w:t>
      </w:r>
      <w:r>
        <w:rPr>
          <w:rtl w:val="true"/>
        </w:rPr>
        <w:t xml:space="preserve">", </w:t>
      </w:r>
      <w:r>
        <w:rPr>
          <w:rtl w:val="true"/>
        </w:rPr>
        <w:t xml:space="preserve">והשנייה עדותה של קטינה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המשמשת כסיוע בדמות </w:t>
      </w:r>
      <w:r>
        <w:rPr>
          <w:rtl w:val="true"/>
        </w:rPr>
        <w:t>"</w:t>
      </w:r>
      <w:r>
        <w:rPr>
          <w:rtl w:val="true"/>
        </w:rPr>
        <w:t>מעשים דומים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באשר לאמירה </w:t>
      </w:r>
      <w:r>
        <w:rPr>
          <w:rtl w:val="true"/>
        </w:rPr>
        <w:t>"</w:t>
      </w:r>
      <w:r>
        <w:rPr>
          <w:rtl w:val="true"/>
        </w:rPr>
        <w:t>סבא מתנהג מוזר</w:t>
      </w:r>
      <w:r>
        <w:rPr>
          <w:rtl w:val="true"/>
        </w:rPr>
        <w:t xml:space="preserve">", </w:t>
      </w:r>
      <w:r>
        <w:rPr>
          <w:rtl w:val="true"/>
        </w:rPr>
        <w:t>נראה כי אמירה זו אינה עומדת בדרישות ראיית סיוע</w:t>
      </w:r>
      <w:r>
        <w:rPr>
          <w:rtl w:val="true"/>
        </w:rPr>
        <w:t xml:space="preserve">. </w:t>
      </w:r>
      <w:r>
        <w:rPr>
          <w:rtl w:val="true"/>
        </w:rPr>
        <w:t>אמירה זו אינה ראיה המסבכת את המערער בביצוע המעשה</w:t>
      </w:r>
      <w:r>
        <w:rPr>
          <w:rtl w:val="true"/>
        </w:rPr>
        <w:t xml:space="preserve">, </w:t>
      </w:r>
      <w:r>
        <w:rPr>
          <w:rtl w:val="true"/>
        </w:rPr>
        <w:t xml:space="preserve">שכן מדובר בהתבטאות של קטינה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אשר עשויות להיות לה משמעויות שונות שלא בוררו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 xml:space="preserve">קטינה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הגיבה לאמירה זו כי היא גם שמה לב להתנהגות המוזרה של הסב</w:t>
      </w:r>
      <w:r>
        <w:rPr>
          <w:rtl w:val="true"/>
        </w:rPr>
        <w:t xml:space="preserve">. </w:t>
      </w:r>
      <w:r>
        <w:rPr>
          <w:rtl w:val="true"/>
        </w:rPr>
        <w:t xml:space="preserve">אולם בשלב זה קטינה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כלל לא ידעה אודות האירוע הנטען ולא ראתה את הסב לאחר המעשה</w:t>
      </w:r>
      <w:r>
        <w:rPr>
          <w:rtl w:val="true"/>
        </w:rPr>
        <w:t xml:space="preserve">, </w:t>
      </w:r>
      <w:r>
        <w:rPr>
          <w:rtl w:val="true"/>
        </w:rPr>
        <w:t>דבר המלמד כי התייחסות כזו להתנהגות הסב עשויה הייתה לעלות בהקשרים שונים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בניגוד לנטען על ידי המשיבה</w:t>
      </w:r>
      <w:r>
        <w:rPr>
          <w:rtl w:val="true"/>
        </w:rPr>
        <w:t xml:space="preserve">, </w:t>
      </w:r>
      <w:r>
        <w:rPr>
          <w:rtl w:val="true"/>
        </w:rPr>
        <w:t>נראה כי גם בית משפט קמא התייחס בסופו של דבר לאמירה זו כ</w:t>
      </w:r>
      <w:r>
        <w:rPr>
          <w:rtl w:val="true"/>
        </w:rPr>
        <w:t>"</w:t>
      </w:r>
      <w:r>
        <w:rPr>
          <w:rtl w:val="true"/>
        </w:rPr>
        <w:t>ראיית חיזוק</w:t>
      </w:r>
      <w:r>
        <w:rPr>
          <w:rtl w:val="true"/>
        </w:rPr>
        <w:t xml:space="preserve">" </w:t>
      </w:r>
      <w:r>
        <w:rPr>
          <w:rtl w:val="true"/>
        </w:rPr>
        <w:t xml:space="preserve">ולא סיוע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86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הראיה השנייה היא עדות קטינה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כסיוע לעדות קטינה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הלכה פסוקה היא כי במקרים של עבירות מין בקטינים</w:t>
      </w:r>
      <w:r>
        <w:rPr>
          <w:rtl w:val="true"/>
        </w:rPr>
        <w:t xml:space="preserve">, </w:t>
      </w:r>
      <w:r>
        <w:rPr>
          <w:rtl w:val="true"/>
        </w:rPr>
        <w:t>עדות אמינה של מתלונן אחר בדבר מעשים דומים שביצע בו הנאשם</w:t>
      </w:r>
      <w:r>
        <w:rPr>
          <w:rtl w:val="true"/>
        </w:rPr>
        <w:t xml:space="preserve">, </w:t>
      </w:r>
      <w:r>
        <w:rPr>
          <w:rtl w:val="true"/>
        </w:rPr>
        <w:t xml:space="preserve">יכולה לשמש כסיוע לעדות קטין אשר ניתנה בפני חוקר ילדים והטעונה סיוע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4009/90</w:t>
        </w:r>
      </w:hyperlink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292</w:t>
      </w:r>
      <w:r>
        <w:rPr>
          <w:rtl w:val="true"/>
        </w:rPr>
        <w:t xml:space="preserve"> (</w:t>
      </w:r>
      <w:r>
        <w:rPr/>
        <w:t>1993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3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4009/90</w:t>
        </w:r>
      </w:hyperlink>
      <w:r>
        <w:rPr>
          <w:rtl w:val="true"/>
        </w:rPr>
        <w:t xml:space="preserve">), </w:t>
      </w:r>
      <w:r>
        <w:rPr>
          <w:rtl w:val="true"/>
        </w:rPr>
        <w:t>בו נקבעה למעשה הלכה זו בדעת הרוב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7508/10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27.08.2012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4583/13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54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21.9.2015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סץ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עדות אודות </w:t>
      </w:r>
      <w:r>
        <w:rPr>
          <w:rtl w:val="true"/>
        </w:rPr>
        <w:t>"</w:t>
      </w:r>
      <w:r>
        <w:rPr>
          <w:rtl w:val="true"/>
        </w:rPr>
        <w:t>מעשים דומים</w:t>
      </w:r>
      <w:r>
        <w:rPr>
          <w:rtl w:val="true"/>
        </w:rPr>
        <w:t xml:space="preserve">" </w:t>
      </w:r>
      <w:r>
        <w:rPr>
          <w:rtl w:val="true"/>
        </w:rPr>
        <w:t>בהליך הפלילי הינה חריג לכלל לפיו אין מציגים בפני בית המשפט את עברו הפלילי של נאשם</w:t>
      </w:r>
      <w:r>
        <w:rPr>
          <w:rtl w:val="true"/>
        </w:rPr>
        <w:t xml:space="preserve">, </w:t>
      </w:r>
      <w:r>
        <w:rPr>
          <w:rtl w:val="true"/>
        </w:rPr>
        <w:t>נוכח החשש להתגבשות דעה מוקדמת אודות הנאשם</w:t>
      </w:r>
      <w:r>
        <w:rPr>
          <w:rtl w:val="true"/>
        </w:rPr>
        <w:t xml:space="preserve">, </w:t>
      </w:r>
      <w:r>
        <w:rPr>
          <w:rtl w:val="true"/>
        </w:rPr>
        <w:t>ומהווה סייג לכלל לפיו יש לבחון כל מקרה עבירה על פי נסיבותיו הוא</w:t>
      </w:r>
      <w:r>
        <w:rPr>
          <w:rtl w:val="true"/>
        </w:rPr>
        <w:t xml:space="preserve">. </w:t>
      </w:r>
      <w:r>
        <w:rPr>
          <w:rtl w:val="true"/>
        </w:rPr>
        <w:t>על כן נקבע כי ממילא יש להתייחס לראייה כזו בזהירות הנדרשת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שימוש ב</w:t>
      </w:r>
      <w:r>
        <w:rPr>
          <w:rtl w:val="true"/>
        </w:rPr>
        <w:t>"</w:t>
      </w:r>
      <w:r>
        <w:rPr>
          <w:rtl w:val="true"/>
        </w:rPr>
        <w:t>מעשים דומים</w:t>
      </w:r>
      <w:r>
        <w:rPr>
          <w:rtl w:val="true"/>
        </w:rPr>
        <w:t xml:space="preserve">" </w:t>
      </w:r>
      <w:r>
        <w:rPr>
          <w:rtl w:val="true"/>
        </w:rPr>
        <w:t>כראייה נועד לשלול טענה של נאשם בדבר העדר כוונה פלילית לצורך הוכחת היסוד הנפשי שבעבירה</w:t>
      </w:r>
      <w:r>
        <w:rPr>
          <w:rtl w:val="true"/>
        </w:rPr>
        <w:t xml:space="preserve">, </w:t>
      </w:r>
      <w:r>
        <w:rPr>
          <w:rtl w:val="true"/>
        </w:rPr>
        <w:t xml:space="preserve">ולא להוכחת העובדה כי המעשה בוצע והנאשם הוא המבצע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 xml:space="preserve">יעקב </w:t>
      </w:r>
      <w:hyperlink r:id="rId35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קדמי על הראיות חלק</w:t>
        </w:r>
      </w:hyperlink>
      <w:r>
        <w:rPr>
          <w:rFonts w:ascii="FrankRuehl" w:hAnsi="FrankRuehl" w:cs="FrankRuehl"/>
          <w:sz w:val="28"/>
          <w:sz w:val="28"/>
          <w:rtl w:val="true"/>
        </w:rPr>
        <w:t xml:space="preserve"> ראשון </w:t>
      </w:r>
      <w:r>
        <w:rPr>
          <w:rFonts w:cs="FrankRuehl" w:ascii="FrankRuehl" w:hAnsi="FrankRuehl"/>
          <w:sz w:val="28"/>
        </w:rPr>
        <w:t>257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cs="FrankRuehl" w:ascii="FrankRuehl" w:hAnsi="FrankRuehl"/>
          <w:sz w:val="28"/>
        </w:rPr>
        <w:t>2009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קדמי</w:t>
      </w:r>
      <w:r>
        <w:rPr>
          <w:rtl w:val="true"/>
        </w:rPr>
        <w:t xml:space="preserve">);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9657/05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23-22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9.3.2009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בעוד האפשרות למצוא בעדות של מתלוננת אחרת סיוע לביסוס עצם עובדת הביצוע מהווה חריג</w:t>
      </w:r>
      <w:r>
        <w:rPr>
          <w:rtl w:val="true"/>
        </w:rPr>
        <w:t xml:space="preserve">, </w:t>
      </w:r>
      <w:r>
        <w:rPr>
          <w:rtl w:val="true"/>
        </w:rPr>
        <w:t>אשר נקבע לגביו כי השימוש בו ייעשה בהתקיימן של נסיבות מיוחדת בלבד</w:t>
      </w:r>
      <w:r>
        <w:rPr>
          <w:rtl w:val="true"/>
        </w:rPr>
        <w:t xml:space="preserve">, </w:t>
      </w:r>
      <w:r>
        <w:rPr>
          <w:rtl w:val="true"/>
        </w:rPr>
        <w:t>בעבירות מין</w:t>
      </w:r>
      <w:r>
        <w:rPr>
          <w:rtl w:val="true"/>
        </w:rPr>
        <w:t xml:space="preserve">. </w:t>
      </w:r>
      <w:r>
        <w:rPr>
          <w:rtl w:val="true"/>
        </w:rPr>
        <w:t xml:space="preserve">כפי שהדגיש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גולדברג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ונסיבותיהם</w:t>
      </w:r>
      <w:r>
        <w:rPr>
          <w:rtl w:val="true"/>
        </w:rPr>
        <w:t>" 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4009/90</w:t>
        </w:r>
      </w:hyperlink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306</w:t>
      </w:r>
      <w:r>
        <w:rPr>
          <w:rtl w:val="true"/>
        </w:rPr>
        <w:t xml:space="preserve">). 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יצויין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קדמי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595/95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קריספין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14.7.1996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גולדברג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להלכה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4721/99</w:t>
        </w:r>
      </w:hyperlink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698-696</w:t>
      </w:r>
      <w:r>
        <w:rPr>
          <w:rtl w:val="true"/>
        </w:rPr>
        <w:t xml:space="preserve">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7792/13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66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28.9.2016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8631/13</w:t>
        </w:r>
      </w:hyperlink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; </w:t>
      </w:r>
      <w:r>
        <w:rPr>
          <w:rtl w:val="true"/>
        </w:rPr>
        <w:t>קדמי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297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spacing w:before="0" w:after="120"/>
        <w:ind w:hanging="0" w:start="0" w:end="0"/>
        <w:jc w:val="both"/>
        <w:rPr/>
      </w:pPr>
      <w:r>
        <w:rPr>
          <w:rtl w:val="true"/>
        </w:rPr>
        <w:t>אחת הסוגיות העולות בהקשר זה היא מידת הדמיון הנדרשת כך שעדות אודות מעשים אחרים תשמש כסיוע</w:t>
      </w:r>
      <w:r>
        <w:rPr>
          <w:rtl w:val="true"/>
        </w:rPr>
        <w:t xml:space="preserve">. </w:t>
      </w:r>
      <w:r>
        <w:rPr>
          <w:rtl w:val="true"/>
        </w:rPr>
        <w:t>כאשר מתקיים דמיון מובהק ושיטת פעולה דומה</w:t>
      </w:r>
      <w:r>
        <w:rPr>
          <w:rtl w:val="true"/>
        </w:rPr>
        <w:t xml:space="preserve">, </w:t>
      </w:r>
      <w:r>
        <w:rPr>
          <w:rtl w:val="true"/>
        </w:rPr>
        <w:t>ברי כי פשוט יותר למצוא סיוע בעדות אחרת</w:t>
      </w:r>
      <w:r>
        <w:rPr>
          <w:rtl w:val="true"/>
        </w:rPr>
        <w:t xml:space="preserve">. </w:t>
      </w:r>
      <w:r>
        <w:rPr>
          <w:rtl w:val="true"/>
        </w:rPr>
        <w:t>כפי שהדגשתי במקרה אחר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ובעוצמה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שיטה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8631/13</w:t>
        </w:r>
      </w:hyperlink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והמקורות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המובאים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אך נקבע בפסיקה כי די גם בקווי דמיון כלליים בין המעשים</w:t>
      </w:r>
      <w:r>
        <w:rPr>
          <w:rtl w:val="true"/>
        </w:rPr>
        <w:t xml:space="preserve">, </w:t>
      </w:r>
      <w:r>
        <w:rPr>
          <w:rtl w:val="true"/>
        </w:rPr>
        <w:t xml:space="preserve">העשויים ללמד למשל על התנהגות של התעללות מינית בקטינות בנות משפחה </w:t>
      </w:r>
      <w:r>
        <w:rPr>
          <w:rtl w:val="true"/>
        </w:rPr>
        <w:t>(</w:t>
      </w:r>
      <w:r>
        <w:rPr>
          <w:rtl w:val="true"/>
        </w:rPr>
        <w:t>ראו למשל התייחסותי לגישה המרוככת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וכן ראו</w:t>
      </w:r>
      <w:r>
        <w:rPr>
          <w:rtl w:val="true"/>
        </w:rPr>
        <w:t xml:space="preserve">: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4721/99</w:t>
        </w:r>
      </w:hyperlink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696</w:t>
      </w:r>
      <w:r>
        <w:rPr>
          <w:rtl w:val="true"/>
        </w:rPr>
        <w:t xml:space="preserve">; </w:t>
      </w:r>
      <w:r>
        <w:rPr>
          <w:rtl w:val="true"/>
        </w:rPr>
        <w:t>ועניין סץ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54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 xml:space="preserve"> התייחס לאחרונה לסוגיית הדמיון הדרוש</w:t>
      </w:r>
      <w:r>
        <w:rPr>
          <w:rtl w:val="true"/>
        </w:rPr>
        <w:t xml:space="preserve">, </w:t>
      </w:r>
      <w:r>
        <w:rPr>
          <w:rtl w:val="true"/>
        </w:rPr>
        <w:t>בכותבו כי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"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ובלבד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דיסטינקטי</w:t>
      </w:r>
      <w:r>
        <w:rPr>
          <w:rtl w:val="true"/>
        </w:rPr>
        <w:t>וו</w:t>
      </w:r>
      <w:r>
        <w:rPr>
          <w:rtl w:val="true"/>
        </w:rPr>
        <w:t>יים</w:t>
      </w:r>
      <w:r>
        <w:rPr>
          <w:rtl w:val="true"/>
        </w:rPr>
        <w:t>-</w:t>
      </w:r>
      <w:r>
        <w:rPr>
          <w:rtl w:val="true"/>
        </w:rPr>
        <w:t>מבדלים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ברורים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ומובהקים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בהודעתה</w:t>
      </w:r>
      <w:r>
        <w:rPr>
          <w:rtl w:val="true"/>
        </w:rPr>
        <w:t>" 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4447/20</w:t>
        </w:r>
      </w:hyperlink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ההרמוניה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ומובהקים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כלליים</w:t>
      </w:r>
      <w:r>
        <w:rPr>
          <w:rtl w:val="true"/>
        </w:rPr>
        <w:t xml:space="preserve">",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דמיון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בטיבם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ונסיבותיהם</w:t>
      </w:r>
      <w:r>
        <w:rPr>
          <w:rtl w:val="true"/>
        </w:rPr>
        <w:t>" (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4009/90</w:t>
        </w:r>
      </w:hyperlink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306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".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מסייעת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הדמיון בין המעשים חלש יחסית</w:t>
      </w:r>
      <w:r>
        <w:rPr>
          <w:rtl w:val="true"/>
        </w:rPr>
        <w:t xml:space="preserve">, </w:t>
      </w:r>
      <w:r>
        <w:rPr>
          <w:rtl w:val="true"/>
        </w:rPr>
        <w:t>ומסתכם בהיות הנפגעות נכדות המערער</w:t>
      </w:r>
      <w:r>
        <w:rPr>
          <w:rtl w:val="true"/>
        </w:rPr>
        <w:t xml:space="preserve">. </w:t>
      </w:r>
      <w:r>
        <w:rPr>
          <w:rtl w:val="true"/>
        </w:rPr>
        <w:t>אין בכך כדי לומר שאין בהתנהגות מינית פוגענית כלפי נכדות מן המשותף</w:t>
      </w:r>
      <w:r>
        <w:rPr>
          <w:rtl w:val="true"/>
        </w:rPr>
        <w:t xml:space="preserve">, </w:t>
      </w:r>
      <w:r>
        <w:rPr>
          <w:rtl w:val="true"/>
        </w:rPr>
        <w:t>אלא שבמקרה דנן קיים שוני מהותי בין המעשים הנטענים</w:t>
      </w:r>
      <w:r>
        <w:rPr>
          <w:rtl w:val="true"/>
        </w:rPr>
        <w:t xml:space="preserve">. </w:t>
      </w:r>
      <w:r>
        <w:rPr>
          <w:rtl w:val="true"/>
        </w:rPr>
        <w:t xml:space="preserve">האישום הראשון שונה מהאישום השני מבחינת טיב המעשים וחומרתם </w:t>
      </w:r>
      <w:r>
        <w:rPr>
          <w:rtl w:val="true"/>
        </w:rPr>
        <w:t>–</w:t>
      </w:r>
      <w:r>
        <w:rPr>
          <w:rtl w:val="true"/>
        </w:rPr>
        <w:t xml:space="preserve"> אשר בראשון כללו מגע בעל אופי מיני כופה אינטנסיב</w:t>
      </w:r>
      <w:r>
        <w:rPr>
          <w:rtl w:val="true"/>
        </w:rPr>
        <w:t>י</w:t>
      </w:r>
      <w:r>
        <w:rPr>
          <w:rtl w:val="true"/>
        </w:rPr>
        <w:t xml:space="preserve"> ומתמשך</w:t>
      </w:r>
      <w:r>
        <w:rPr>
          <w:rtl w:val="true"/>
        </w:rPr>
        <w:t xml:space="preserve">, </w:t>
      </w:r>
      <w:r>
        <w:rPr>
          <w:rtl w:val="true"/>
        </w:rPr>
        <w:t xml:space="preserve">שכלל ישיבה ושכיבה מעל קטינה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נשיקות ומגע</w:t>
      </w:r>
      <w:r>
        <w:rPr>
          <w:rtl w:val="true"/>
        </w:rPr>
        <w:t xml:space="preserve">. </w:t>
      </w:r>
      <w:r>
        <w:rPr>
          <w:rtl w:val="true"/>
        </w:rPr>
        <w:t xml:space="preserve">בעוד האישום השני הנוגע לחיכוך רגלו של המערער ברגלה של קטינה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מתחת לשולחן</w:t>
      </w:r>
      <w:r>
        <w:rPr>
          <w:rtl w:val="true"/>
        </w:rPr>
        <w:t xml:space="preserve">, </w:t>
      </w:r>
      <w:r>
        <w:rPr>
          <w:rtl w:val="true"/>
        </w:rPr>
        <w:t>מדבר במעשים שעל אף חומרתם העצמאית אינם דומים בטיבם ובנסיבותיהם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קיים שוני בין המעשים מבחינת מסגרת ביצועם ביחידות לעומת בנוכחת אנשים שונים במהלך ארוחת השבת</w:t>
      </w:r>
      <w:r>
        <w:rPr>
          <w:rtl w:val="true"/>
        </w:rPr>
        <w:t xml:space="preserve">; </w:t>
      </w:r>
      <w:r>
        <w:rPr>
          <w:rtl w:val="true"/>
        </w:rPr>
        <w:t>וגיל הנפגעות</w:t>
      </w:r>
      <w:r>
        <w:rPr>
          <w:rtl w:val="true"/>
        </w:rPr>
        <w:t xml:space="preserve">, </w:t>
      </w:r>
      <w:r>
        <w:rPr>
          <w:rtl w:val="true"/>
        </w:rPr>
        <w:t xml:space="preserve">כאשר קטינה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הייתה כבת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וקטינה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כבת </w:t>
      </w: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>עוד יצוין כי האירועים לא נעשו בסמיכות אלא בהפרש של שנתיים</w:t>
      </w:r>
      <w:r>
        <w:rPr>
          <w:rtl w:val="true"/>
        </w:rPr>
        <w:t>-</w:t>
      </w:r>
      <w:r>
        <w:rPr>
          <w:rtl w:val="true"/>
        </w:rPr>
        <w:t>שלוש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נשוב ונבהיר</w:t>
      </w:r>
      <w:r>
        <w:rPr>
          <w:rtl w:val="true"/>
        </w:rPr>
        <w:t xml:space="preserve">. </w:t>
      </w:r>
      <w:r>
        <w:rPr>
          <w:rtl w:val="true"/>
        </w:rPr>
        <w:t xml:space="preserve">אין באמור כדי להמעיט בפגיעה שנגרמה לקטינה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על ידי המערער </w:t>
      </w:r>
      <w:r>
        <w:rPr>
          <w:rtl w:val="true"/>
        </w:rPr>
        <w:t>–</w:t>
      </w:r>
      <w:r>
        <w:rPr>
          <w:rtl w:val="true"/>
        </w:rPr>
        <w:t xml:space="preserve"> סבה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מעשה החיכוך של רגל ברגל מתחת לשולחן מאופיין בניסיון להסתיר את הכוונה המינית כאלו מדובר בסוג של אי הבנה</w:t>
      </w:r>
      <w:r>
        <w:rPr>
          <w:rtl w:val="true"/>
        </w:rPr>
        <w:t xml:space="preserve">. </w:t>
      </w:r>
      <w:r>
        <w:rPr>
          <w:rtl w:val="true"/>
        </w:rPr>
        <w:t>שונה הדברים לגבי המעשה הגלוי באישום הראשון שכולל כאמור דחיקה למיטה וישיבה ושכיבה מעל הנפגעת</w:t>
      </w:r>
      <w:r>
        <w:rPr>
          <w:rtl w:val="true"/>
        </w:rPr>
        <w:t xml:space="preserve">. </w:t>
      </w:r>
      <w:r>
        <w:rPr>
          <w:rtl w:val="true"/>
        </w:rPr>
        <w:t>אף זה מפחית מהדמיון בין שני המקרים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בנכדות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בסיטואציות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להכחישם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בנכדה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79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מקריות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</w:t>
      </w:r>
      <w:r>
        <w:rPr>
          <w:rtl w:val="true"/>
        </w:rPr>
        <w:t xml:space="preserve">", </w:t>
      </w:r>
      <w:r>
        <w:rPr>
          <w:rtl w:val="true"/>
        </w:rPr>
        <w:t>ומדובר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תמים</w:t>
      </w:r>
      <w:r>
        <w:rPr>
          <w:rtl w:val="true"/>
        </w:rPr>
        <w:t xml:space="preserve">".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יודגש </w:t>
      </w:r>
      <w:r>
        <w:rPr>
          <w:rtl w:val="true"/>
        </w:rPr>
        <w:t>–</w:t>
      </w:r>
      <w:r>
        <w:rPr>
          <w:rtl w:val="true"/>
        </w:rPr>
        <w:t xml:space="preserve"> אין בטענה כי קיים הבדל בין המעשים כדי לפגום באמינות עדותה של קטינה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כהוא זה</w:t>
      </w:r>
      <w:r>
        <w:rPr>
          <w:rtl w:val="true"/>
        </w:rPr>
        <w:t xml:space="preserve">. </w:t>
      </w:r>
      <w:r>
        <w:rPr>
          <w:rtl w:val="true"/>
        </w:rPr>
        <w:t>אלא שיש בו כדי לעורר את השאלה האם אכן התקיימה הדרישה המשפטית של סיוע לעדותה בפני חוקרת הילדים</w:t>
      </w:r>
      <w:r>
        <w:rPr>
          <w:rtl w:val="true"/>
        </w:rPr>
        <w:t xml:space="preserve">, </w:t>
      </w:r>
      <w:r>
        <w:rPr>
          <w:rtl w:val="true"/>
        </w:rPr>
        <w:t>אשר בהעדרו לא ניתן להרשיע גם כאשר גרסת המתלוננת מהימנה</w:t>
      </w:r>
      <w:r>
        <w:rPr>
          <w:rtl w:val="true"/>
        </w:rPr>
        <w:t xml:space="preserve">. </w:t>
      </w:r>
      <w:r>
        <w:rPr>
          <w:rtl w:val="true"/>
        </w:rPr>
        <w:t>בהינתן השוני המהותי בין המעשים המתוארים בעדויות</w:t>
      </w:r>
      <w:r>
        <w:rPr>
          <w:rtl w:val="true"/>
        </w:rPr>
        <w:t xml:space="preserve">, </w:t>
      </w:r>
      <w:r>
        <w:rPr>
          <w:rtl w:val="true"/>
        </w:rPr>
        <w:t xml:space="preserve">נראה שעדות קטינה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אינה נוטה לסבך את המערער בביצוע המעשה גם כלפי קטינה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במובן שהיא מצביעה על אשמתו של המערער </w:t>
      </w:r>
      <w:r>
        <w:rPr>
          <w:rtl w:val="true"/>
        </w:rPr>
        <w:t>(</w:t>
      </w:r>
      <w:r>
        <w:rPr>
          <w:rtl w:val="true"/>
        </w:rPr>
        <w:t>עיינו</w:t>
      </w:r>
      <w:r>
        <w:rPr>
          <w:rtl w:val="true"/>
        </w:rPr>
        <w:t xml:space="preserve">: </w:t>
      </w:r>
      <w:r>
        <w:rPr>
          <w:rtl w:val="true"/>
        </w:rPr>
        <w:t>קדמי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265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",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המונח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שבמחשבה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" </w:t>
      </w:r>
      <w:r>
        <w:rPr>
          <w:rtl w:val="true"/>
        </w:rPr>
        <w:t>לסיוע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מועילה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הדומה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נראה שהמשיבה מודעת לחולשה זו בראיית הסיוע ועל כן היא מבקשת להיבנות ממשקלן המצטבר של הראיות</w:t>
      </w:r>
      <w:r>
        <w:rPr>
          <w:rtl w:val="true"/>
        </w:rPr>
        <w:t xml:space="preserve">, </w:t>
      </w:r>
      <w:r>
        <w:rPr>
          <w:rtl w:val="true"/>
        </w:rPr>
        <w:t>אשר לטענתה עולות יחד כדי סיוע</w:t>
      </w:r>
      <w:r>
        <w:rPr>
          <w:rtl w:val="true"/>
        </w:rPr>
        <w:t xml:space="preserve">. </w:t>
      </w:r>
      <w:r>
        <w:rPr>
          <w:rtl w:val="true"/>
        </w:rPr>
        <w:t>אולם הגם שהפסיקה הכירה באפשרות להסתמך על מספר ראיות אשר בהצטברן מהוות סיוע אחד עצמאי</w:t>
      </w:r>
      <w:r>
        <w:rPr>
          <w:rtl w:val="true"/>
        </w:rPr>
        <w:t xml:space="preserve">, </w:t>
      </w:r>
      <w:r>
        <w:rPr>
          <w:rtl w:val="true"/>
        </w:rPr>
        <w:t>דרישת הסיוע היא הכרחית ומהותית להרשעה ולא ניתן לוותר על הדרישה לראייה הממלאת את שלוש התנאים לקיומו של לסיוע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כל אחת מן הראיות אינה עולה בעצמה כדי סיוע</w:t>
      </w:r>
      <w:r>
        <w:rPr>
          <w:rtl w:val="true"/>
        </w:rPr>
        <w:t xml:space="preserve">, </w:t>
      </w:r>
      <w:r>
        <w:rPr>
          <w:rtl w:val="true"/>
        </w:rPr>
        <w:t>ובניגוד לטענות המשיבה</w:t>
      </w:r>
      <w:r>
        <w:rPr>
          <w:rtl w:val="true"/>
        </w:rPr>
        <w:t xml:space="preserve">, </w:t>
      </w:r>
      <w:r>
        <w:rPr>
          <w:rtl w:val="true"/>
        </w:rPr>
        <w:t xml:space="preserve">האמירה </w:t>
      </w:r>
      <w:r>
        <w:rPr>
          <w:rtl w:val="true"/>
        </w:rPr>
        <w:t>"</w:t>
      </w:r>
      <w:r>
        <w:rPr>
          <w:rtl w:val="true"/>
        </w:rPr>
        <w:t>סבא התנהג מוזר</w:t>
      </w:r>
      <w:r>
        <w:rPr>
          <w:rtl w:val="true"/>
        </w:rPr>
        <w:t xml:space="preserve">" </w:t>
      </w:r>
      <w:r>
        <w:rPr>
          <w:rtl w:val="true"/>
        </w:rPr>
        <w:t xml:space="preserve">אינה מצטרפת כראיית סיוע ואינה יוצרת יחד עם עדות קטינה </w:t>
      </w:r>
      <w:r>
        <w:rPr/>
        <w:t>2</w:t>
      </w:r>
      <w:r>
        <w:rPr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המאפשרת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הכרעה</w:t>
      </w:r>
      <w:r>
        <w:rPr>
          <w:rtl w:val="true"/>
        </w:rPr>
        <w:t>" 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1601/91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צרפתי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408</w:t>
      </w:r>
      <w:r>
        <w:rPr>
          <w:rtl w:val="true"/>
        </w:rPr>
        <w:t xml:space="preserve"> (</w:t>
      </w:r>
      <w:r>
        <w:rPr/>
        <w:t>1991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נבהיר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הכלל</w:t>
      </w:r>
      <w:r>
        <w:rPr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 </w:t>
      </w:r>
      <w:r>
        <w:rPr>
          <w:rtl w:val="true"/>
        </w:rPr>
        <w:t>חוקרת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 </w:t>
      </w:r>
      <w:r>
        <w:rPr>
          <w:rtl w:val="true"/>
        </w:rPr>
        <w:t>להרשעה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להרשיע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מעניקים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 </w:t>
      </w:r>
      <w:r>
        <w:rPr>
          <w:rtl w:val="true"/>
        </w:rPr>
        <w:t>לעדות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במקרה שלפנינו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הדין דורש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 xml:space="preserve"> </w:t>
      </w:r>
      <w:r>
        <w:rPr>
          <w:rtl w:val="true"/>
        </w:rPr>
        <w:t>חיזוקים</w:t>
      </w:r>
      <w:r>
        <w:rPr>
          <w:rtl w:val="true"/>
        </w:rPr>
        <w:t xml:space="preserve">.  </w:t>
      </w:r>
      <w:r>
        <w:rPr>
          <w:rtl w:val="true"/>
        </w:rPr>
        <w:t>האחרונים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 xml:space="preserve">יכולים להוות </w:t>
      </w:r>
      <w:r>
        <w:rPr>
          <w:rtl w:val="true"/>
        </w:rPr>
        <w:t>תחליף</w:t>
      </w:r>
      <w:r>
        <w:rPr>
          <w:rtl w:val="true"/>
        </w:rPr>
        <w:t xml:space="preserve"> </w:t>
      </w:r>
      <w:r>
        <w:rPr>
          <w:rtl w:val="true"/>
        </w:rPr>
        <w:t>לסיוע</w:t>
      </w:r>
      <w:r>
        <w:rPr>
          <w:rtl w:val="true"/>
        </w:rPr>
        <w:t xml:space="preserve">. </w:t>
      </w:r>
      <w:r>
        <w:rPr>
          <w:rtl w:val="true"/>
        </w:rPr>
        <w:t>נבהיר</w:t>
      </w:r>
      <w:r>
        <w:rPr>
          <w:rtl w:val="true"/>
        </w:rPr>
        <w:t xml:space="preserve"> </w:t>
      </w:r>
      <w:r>
        <w:rPr>
          <w:rtl w:val="true"/>
        </w:rPr>
        <w:t>מתי מספר ראיות מהוות יחד סיוע</w:t>
      </w:r>
      <w:r>
        <w:rPr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 </w:t>
      </w:r>
      <w:r>
        <w:rPr>
          <w:rtl w:val="true"/>
        </w:rPr>
        <w:t>דוגמא</w:t>
      </w:r>
      <w:r>
        <w:rPr>
          <w:rtl w:val="true"/>
        </w:rPr>
        <w:t xml:space="preserve">: </w:t>
      </w:r>
      <w:r>
        <w:rPr>
          <w:rtl w:val="true"/>
        </w:rPr>
        <w:t xml:space="preserve">מקרה </w:t>
      </w:r>
      <w:r>
        <w:rPr>
          <w:rtl w:val="true"/>
        </w:rPr>
        <w:t>שבנסיבותיו</w:t>
      </w:r>
      <w:r>
        <w:rPr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הימצאות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בוצעה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 </w:t>
      </w:r>
      <w:r>
        <w:rPr>
          <w:rtl w:val="true"/>
        </w:rPr>
        <w:t>לשעת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>מהווה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להתבסס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מראיה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עדותם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שילובן</w:t>
      </w:r>
      <w:r>
        <w:rPr>
          <w:rtl w:val="true"/>
        </w:rPr>
        <w:t xml:space="preserve"> </w:t>
      </w:r>
      <w:r>
        <w:rPr>
          <w:rtl w:val="true"/>
        </w:rPr>
        <w:t>מוכיח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מיקום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 </w:t>
      </w:r>
      <w:r>
        <w:rPr>
          <w:rtl w:val="true"/>
        </w:rPr>
        <w:t>מעל</w:t>
      </w:r>
      <w:r>
        <w:rPr>
          <w:rtl w:val="true"/>
        </w:rPr>
        <w:t xml:space="preserve"> </w:t>
      </w:r>
      <w:r>
        <w:rPr>
          <w:rtl w:val="true"/>
        </w:rPr>
        <w:t>לספק</w:t>
      </w:r>
      <w:r>
        <w:rPr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עדויות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 </w:t>
      </w:r>
      <w:r>
        <w:rPr>
          <w:rtl w:val="true"/>
        </w:rPr>
        <w:t>תיחשבנה</w:t>
      </w:r>
      <w:r>
        <w:rPr>
          <w:rtl w:val="true"/>
        </w:rPr>
        <w:t xml:space="preserve"> </w:t>
      </w:r>
      <w:r>
        <w:rPr>
          <w:rtl w:val="true"/>
        </w:rPr>
        <w:t>בהצטברן</w:t>
      </w:r>
      <w:r>
        <w:rPr>
          <w:rtl w:val="true"/>
        </w:rPr>
        <w:t xml:space="preserve"> </w:t>
      </w:r>
      <w:r>
        <w:rPr>
          <w:rtl w:val="true"/>
        </w:rPr>
        <w:t>לסיוע</w:t>
      </w:r>
      <w:r>
        <w:rPr>
          <w:rtl w:val="true"/>
        </w:rPr>
        <w:t xml:space="preserve"> </w:t>
      </w:r>
      <w:r>
        <w:rPr>
          <w:rtl w:val="true"/>
        </w:rPr>
        <w:t>ככל</w:t>
      </w:r>
      <w:r>
        <w:rPr>
          <w:rtl w:val="true"/>
        </w:rPr>
        <w:t xml:space="preserve"> </w:t>
      </w:r>
      <w:r>
        <w:rPr>
          <w:rtl w:val="true"/>
        </w:rPr>
        <w:t>שבנסיבות</w:t>
      </w:r>
      <w:r>
        <w:rPr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 </w:t>
      </w:r>
      <w:r>
        <w:rPr>
          <w:rtl w:val="true"/>
        </w:rPr>
        <w:t>ובשים</w:t>
      </w:r>
      <w:r>
        <w:rPr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 </w:t>
      </w:r>
      <w:r>
        <w:rPr>
          <w:rtl w:val="true"/>
        </w:rPr>
        <w:t>לסלע</w:t>
      </w:r>
      <w:r>
        <w:rPr>
          <w:rtl w:val="true"/>
        </w:rPr>
        <w:t xml:space="preserve"> </w:t>
      </w:r>
      <w:r>
        <w:rPr>
          <w:rtl w:val="true"/>
        </w:rPr>
        <w:t>המחלוקת</w:t>
      </w:r>
      <w:r>
        <w:rPr>
          <w:rtl w:val="true"/>
        </w:rPr>
        <w:t xml:space="preserve">, </w:t>
      </w:r>
      <w:r>
        <w:rPr>
          <w:rtl w:val="true"/>
        </w:rPr>
        <w:t>התמלאו</w:t>
      </w:r>
      <w:r>
        <w:rPr>
          <w:rtl w:val="true"/>
        </w:rPr>
        <w:t xml:space="preserve"> </w:t>
      </w:r>
      <w:r>
        <w:rPr>
          <w:rtl w:val="true"/>
        </w:rPr>
        <w:t>במצבור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tl w:val="true"/>
        </w:rPr>
        <w:t xml:space="preserve"> </w:t>
      </w:r>
      <w:r>
        <w:rPr>
          <w:rtl w:val="true"/>
        </w:rPr>
        <w:t>הדרישות</w:t>
      </w:r>
      <w:r>
        <w:rPr>
          <w:rtl w:val="true"/>
        </w:rPr>
        <w:t xml:space="preserve"> </w:t>
      </w:r>
      <w:r>
        <w:rPr>
          <w:rtl w:val="true"/>
        </w:rPr>
        <w:t>לסיוע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חיזוק פה וחיזוק שם</w:t>
      </w:r>
      <w:r>
        <w:rPr>
          <w:rtl w:val="true"/>
        </w:rPr>
        <w:t xml:space="preserve">, </w:t>
      </w:r>
      <w:r>
        <w:rPr>
          <w:rtl w:val="true"/>
        </w:rPr>
        <w:t>אינם מהווים יחד סיוע</w:t>
      </w:r>
      <w:r>
        <w:rPr>
          <w:rtl w:val="true"/>
        </w:rPr>
        <w:t xml:space="preserve">. </w:t>
      </w:r>
      <w:r>
        <w:rPr>
          <w:rtl w:val="true"/>
        </w:rPr>
        <w:t>בכגון דא</w:t>
      </w:r>
      <w:r>
        <w:rPr>
          <w:rtl w:val="true"/>
        </w:rPr>
        <w:t xml:space="preserve">, </w:t>
      </w:r>
      <w:r>
        <w:rPr>
          <w:rtl w:val="true"/>
        </w:rPr>
        <w:t>הכמות אינו תחליף לאיכות</w:t>
      </w:r>
      <w:r>
        <w:rPr>
          <w:rtl w:val="true"/>
        </w:rPr>
        <w:t xml:space="preserve">. </w:t>
      </w:r>
      <w:r>
        <w:rPr>
          <w:rtl w:val="true"/>
        </w:rPr>
        <w:t xml:space="preserve">יש לזכור שדרישת הסיוע היא דרישה מפורשת של המחוקק </w:t>
      </w:r>
      <w:r>
        <w:rPr>
          <w:rtl w:val="true"/>
        </w:rPr>
        <w:t>(</w:t>
      </w:r>
      <w:hyperlink r:id="rId47">
        <w:r>
          <w:rPr>
            <w:rStyle w:val="Hyperlink"/>
            <w:rFonts w:ascii="FrankRuehl" w:hAnsi="FrankRuehl" w:cs="FrankRuehl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</w:rPr>
          <w:t>11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ל</w:t>
      </w:r>
      <w:hyperlink r:id="rId4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התשט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 w:cs="FrankRuehl"/>
          <w:sz w:val="28"/>
          <w:sz w:val="28"/>
          <w:rtl w:val="true"/>
        </w:rPr>
        <w:t>ו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1956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לסיכום סוגיה זו</w:t>
      </w:r>
      <w:r>
        <w:rPr>
          <w:rtl w:val="true"/>
        </w:rPr>
        <w:t xml:space="preserve">: </w:t>
      </w:r>
      <w:r>
        <w:rPr>
          <w:rtl w:val="true"/>
        </w:rPr>
        <w:t>השימוש בעדות קטינה אחרת אודות מעשים דומים שעשה נאשם כסיוע</w:t>
      </w:r>
      <w:r>
        <w:rPr>
          <w:rtl w:val="true"/>
        </w:rPr>
        <w:t xml:space="preserve">, </w:t>
      </w:r>
      <w:r>
        <w:rPr>
          <w:rtl w:val="true"/>
        </w:rPr>
        <w:t>מהווה חריג אשר יש להפעילו בזהירות ובנסיבות מיוחדות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 xml:space="preserve">עדות קטינה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על אף אמינותה</w:t>
      </w:r>
      <w:r>
        <w:rPr>
          <w:rtl w:val="true"/>
        </w:rPr>
        <w:t xml:space="preserve">, </w:t>
      </w:r>
      <w:r>
        <w:rPr>
          <w:rtl w:val="true"/>
        </w:rPr>
        <w:t xml:space="preserve">אינה מצביעה על דפוס התנהגות ועל מעשים דומים של המערער בהתייחס לעדות קטינה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לא נמצא סיוע מהותי לעדותה של קטינה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בפני חוקרת הילדים</w:t>
      </w:r>
      <w:r>
        <w:rPr>
          <w:rtl w:val="true"/>
        </w:rPr>
        <w:t xml:space="preserve">. </w:t>
      </w:r>
      <w:r>
        <w:rPr>
          <w:rtl w:val="true"/>
        </w:rPr>
        <w:t>למעשה זהו המועמד היחיד של סיוע והוא אינו עומד בתנאים של תוספת ראייתית זו</w:t>
      </w:r>
      <w:r>
        <w:rPr>
          <w:rtl w:val="true"/>
        </w:rPr>
        <w:t xml:space="preserve">. </w:t>
      </w:r>
      <w:r>
        <w:rPr>
          <w:rtl w:val="true"/>
        </w:rPr>
        <w:t>סיוע הינה ראיה מסבכת שבאה ממקור חיצוני שאין מכוחה לבדה להרשיע</w:t>
      </w:r>
      <w:r>
        <w:rPr>
          <w:rtl w:val="true"/>
        </w:rPr>
        <w:t xml:space="preserve">, </w:t>
      </w:r>
      <w:r>
        <w:rPr>
          <w:rtl w:val="true"/>
        </w:rPr>
        <w:t>אבל יש לה תנאים משלה המבחינים אותה מ</w:t>
      </w:r>
      <w:r>
        <w:rPr>
          <w:rtl w:val="true"/>
        </w:rPr>
        <w:t>"</w:t>
      </w:r>
      <w:r>
        <w:rPr>
          <w:rtl w:val="true"/>
        </w:rPr>
        <w:t>דבר מה נוסף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דבר לחיזוק</w:t>
      </w:r>
      <w:r>
        <w:rPr>
          <w:rtl w:val="true"/>
        </w:rPr>
        <w:t xml:space="preserve">" </w:t>
      </w:r>
      <w:r>
        <w:rPr>
          <w:rtl w:val="true"/>
        </w:rPr>
        <w:t xml:space="preserve">שהן תוספות מאמתות בלבד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6813/16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tl w:val="true"/>
        </w:rPr>
        <w:t>פסקה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17.9.2018</w:t>
      </w:r>
      <w:r>
        <w:rPr>
          <w:rtl w:val="true"/>
        </w:rPr>
        <w:t>)</w:t>
      </w:r>
      <w:r>
        <w:rPr>
          <w:rtl w:val="true"/>
        </w:rPr>
        <w:t xml:space="preserve">) </w:t>
      </w:r>
      <w:r>
        <w:rPr>
          <w:rtl w:val="true"/>
        </w:rPr>
        <w:t>משכך לא ניתן להרשיע את המערער באישום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הגם שחקירתה של קטינה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מעלה גרסה אמינה</w:t>
      </w:r>
      <w:r>
        <w:rPr>
          <w:rtl w:val="true"/>
        </w:rPr>
        <w:t xml:space="preserve">. </w:t>
      </w:r>
      <w:r>
        <w:rPr>
          <w:rtl w:val="true"/>
        </w:rPr>
        <w:t>בפנינו דוגמא לרגישות המשפט הפלילי לזכויות נאשמים ועמידה על דרישות המשפט הפלילי</w:t>
      </w:r>
      <w:r>
        <w:rPr>
          <w:rtl w:val="true"/>
        </w:rPr>
        <w:t xml:space="preserve">. </w:t>
      </w:r>
      <w:r>
        <w:rPr>
          <w:rtl w:val="true"/>
        </w:rPr>
        <w:t xml:space="preserve">לצד התכלית של </w:t>
      </w:r>
      <w:r>
        <w:rPr>
          <w:rtl w:val="true"/>
        </w:rPr>
        <w:t>"</w:t>
      </w:r>
      <w:r>
        <w:rPr>
          <w:rtl w:val="true"/>
        </w:rPr>
        <w:t>ובערת הרע מקרבך</w:t>
      </w:r>
      <w:r>
        <w:rPr>
          <w:rtl w:val="true"/>
        </w:rPr>
        <w:t xml:space="preserve">", </w:t>
      </w:r>
      <w:r>
        <w:rPr>
          <w:rtl w:val="true"/>
        </w:rPr>
        <w:t>דורש המשפט הפלילי הרשעה שהוכחה מעבר לספק סביר</w:t>
      </w:r>
      <w:r>
        <w:rPr>
          <w:rtl w:val="true"/>
        </w:rPr>
        <w:t xml:space="preserve">.  </w:t>
      </w:r>
      <w:r>
        <w:rPr>
          <w:rtl w:val="true"/>
        </w:rPr>
        <w:t>כלל שבמקרים המתאימים בנוי על דרישה לתוספת ראייתית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 </w:t>
      </w:r>
      <w:r>
        <w:rPr>
          <w:rtl w:val="true"/>
        </w:rPr>
        <w:t>הייתי</w:t>
      </w:r>
      <w:r>
        <w:rPr>
          <w:rtl w:val="true"/>
        </w:rPr>
        <w:t xml:space="preserve"> </w:t>
      </w:r>
      <w:r>
        <w:rPr>
          <w:rtl w:val="true"/>
        </w:rPr>
        <w:t>מציע</w:t>
      </w:r>
      <w:r>
        <w:rPr>
          <w:rtl w:val="true"/>
        </w:rPr>
        <w:t xml:space="preserve"> </w:t>
      </w:r>
      <w:r>
        <w:rPr>
          <w:rtl w:val="true"/>
        </w:rPr>
        <w:t>לחבריי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יתקבל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השארת</w:t>
      </w:r>
      <w:r>
        <w:rPr>
          <w:rtl w:val="true"/>
        </w:rPr>
        <w:t xml:space="preserve"> </w:t>
      </w:r>
      <w:r>
        <w:rPr>
          <w:rtl w:val="true"/>
        </w:rPr>
        <w:t>הרשעת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 </w:t>
      </w:r>
      <w:r>
        <w:rPr>
          <w:rtl w:val="true"/>
        </w:rPr>
        <w:t>וזיכויו</w:t>
      </w:r>
      <w:r>
        <w:rPr>
          <w:rtl w:val="true"/>
        </w:rPr>
        <w:t xml:space="preserve"> </w:t>
      </w:r>
      <w:r>
        <w:rPr>
          <w:rtl w:val="true"/>
        </w:rPr>
        <w:t>מחמת</w:t>
      </w:r>
      <w:r>
        <w:rPr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 </w:t>
      </w:r>
      <w:r>
        <w:rPr>
          <w:rtl w:val="true"/>
        </w:rPr>
        <w:t>מהאישום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הייתי</w:t>
      </w:r>
      <w:r>
        <w:rPr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ביטול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והחזרת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שמיעת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הייתי</w:t>
      </w:r>
      <w:r>
        <w:rPr>
          <w:rtl w:val="true"/>
        </w:rPr>
        <w:t xml:space="preserve"> </w:t>
      </w:r>
      <w:r>
        <w:rPr>
          <w:rtl w:val="true"/>
        </w:rPr>
        <w:t>מציע</w:t>
      </w:r>
      <w:r>
        <w:rPr>
          <w:rtl w:val="true"/>
        </w:rPr>
        <w:t xml:space="preserve"> </w:t>
      </w:r>
      <w:r>
        <w:rPr>
          <w:rtl w:val="true"/>
        </w:rPr>
        <w:t>לצדדים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tl w:val="true"/>
        </w:rPr>
        <w:t xml:space="preserve"> </w:t>
      </w:r>
      <w:r>
        <w:rPr>
          <w:rtl w:val="true"/>
        </w:rPr>
        <w:t>הניתן</w:t>
      </w:r>
      <w:r>
        <w:rPr>
          <w:rtl w:val="true"/>
        </w:rPr>
        <w:t xml:space="preserve">, </w:t>
      </w:r>
      <w:r>
        <w:rPr>
          <w:rtl w:val="true"/>
        </w:rPr>
        <w:t>להגיע</w:t>
      </w:r>
      <w:r>
        <w:rPr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יקבע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סמך</w:t>
      </w:r>
      <w:r>
        <w:rPr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והנמקתו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שישמשו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וממשי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"[</w:t>
      </w:r>
      <w:r>
        <w:rPr>
          <w:rtl w:val="true"/>
        </w:rPr>
        <w:t>אין</w:t>
      </w:r>
      <w:r>
        <w:rPr>
          <w:rtl w:val="true"/>
        </w:rPr>
        <w:t xml:space="preserve">]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דיסטינקטיביים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, </w:t>
      </w:r>
      <w:r>
        <w:rPr>
          <w:rtl w:val="true"/>
        </w:rPr>
        <w:t>שמצדיקים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שיטה</w:t>
      </w:r>
      <w:r>
        <w:rPr>
          <w:rtl w:val="true"/>
        </w:rPr>
        <w:t xml:space="preserve">. </w:t>
      </w:r>
      <w:r>
        <w:rPr>
          <w:rtl w:val="true"/>
        </w:rPr>
        <w:t>כוונתנו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המוחשיים</w:t>
      </w:r>
      <w:r>
        <w:rPr>
          <w:rtl w:val="true"/>
        </w:rPr>
        <w:t xml:space="preserve">, </w:t>
      </w:r>
      <w:r>
        <w:rPr>
          <w:rtl w:val="true"/>
        </w:rPr>
        <w:t>הדרושים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שנזכר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679/78</w:t>
        </w:r>
      </w:hyperlink>
      <w:r>
        <w:rPr>
          <w:rtl w:val="true"/>
        </w:rPr>
        <w:t xml:space="preserve"> [</w:t>
      </w:r>
      <w:r>
        <w:rPr/>
        <w:t>4</w:t>
      </w:r>
      <w:r>
        <w:rPr>
          <w:rtl w:val="true"/>
        </w:rPr>
        <w:t xml:space="preserve">] </w:t>
      </w:r>
      <w:r>
        <w:rPr>
          <w:rtl w:val="true"/>
        </w:rPr>
        <w:t>מפי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בעמ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492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>" 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40/85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652</w:t>
      </w:r>
      <w:r>
        <w:rPr>
          <w:rtl w:val="true"/>
        </w:rPr>
        <w:t xml:space="preserve">, </w:t>
      </w:r>
      <w:r>
        <w:rPr/>
        <w:t>658</w:t>
      </w:r>
      <w:r>
        <w:rPr>
          <w:rtl w:val="true"/>
        </w:rPr>
        <w:t xml:space="preserve"> (</w:t>
      </w:r>
      <w:r>
        <w:rPr/>
        <w:t>1985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 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1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29.3.2022</w:t>
      </w:r>
      <w:r>
        <w:rPr>
          <w:rtl w:val="true"/>
        </w:rPr>
        <w:t xml:space="preserve">). </w:t>
      </w:r>
      <w:bookmarkEnd w:id="21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" w:cs="Arial TUR"/>
          <w:rtl w:val="true"/>
        </w:rPr>
        <w:t xml:space="preserve">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                                     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20085790</w:t>
      </w:r>
      <w:r>
        <w:rPr>
          <w:sz w:val="16"/>
          <w:rtl w:val="true"/>
        </w:rPr>
        <w:t>_</w:t>
      </w:r>
      <w:r>
        <w:rPr>
          <w:sz w:val="16"/>
        </w:rPr>
        <w:t>Z11.docx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ג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Cs w:val="22"/>
        </w:rPr>
        <w:t>54678313-8579/20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4"/>
      <w:footerReference w:type="default" r:id="rId5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8579/20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6"/>
        <w:szCs w:val="26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6"/>
      <w:szCs w:val="26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980149" TargetMode="External"/><Relationship Id="rId3" Type="http://schemas.openxmlformats.org/officeDocument/2006/relationships/hyperlink" Target="http://www.nevo.co.il/safrut/bookgroup/2156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law/70387" TargetMode="External"/><Relationship Id="rId6" Type="http://schemas.openxmlformats.org/officeDocument/2006/relationships/hyperlink" Target="http://www.nevo.co.il/law/70387/1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45.a.1" TargetMode="External"/><Relationship Id="rId9" Type="http://schemas.openxmlformats.org/officeDocument/2006/relationships/hyperlink" Target="http://www.nevo.co.il/law/70301/345.b.1" TargetMode="External"/><Relationship Id="rId10" Type="http://schemas.openxmlformats.org/officeDocument/2006/relationships/hyperlink" Target="http://www.nevo.co.il/law/70301/351.c.2" TargetMode="External"/><Relationship Id="rId11" Type="http://schemas.openxmlformats.org/officeDocument/2006/relationships/hyperlink" Target="http://www.nevo.co.il/law/70387/11" TargetMode="External"/><Relationship Id="rId12" Type="http://schemas.openxmlformats.org/officeDocument/2006/relationships/hyperlink" Target="http://www.nevo.co.il/law/70387" TargetMode="External"/><Relationship Id="rId13" Type="http://schemas.openxmlformats.org/officeDocument/2006/relationships/hyperlink" Target="http://www.nevo.co.il/case/24980149" TargetMode="External"/><Relationship Id="rId14" Type="http://schemas.openxmlformats.org/officeDocument/2006/relationships/hyperlink" Target="http://www.nevo.co.il/law/70301/351.c.2" TargetMode="External"/><Relationship Id="rId15" Type="http://schemas.openxmlformats.org/officeDocument/2006/relationships/hyperlink" Target="http://www.nevo.co.il/law/70301/345.b.1" TargetMode="External"/><Relationship Id="rId16" Type="http://schemas.openxmlformats.org/officeDocument/2006/relationships/hyperlink" Target="http://www.nevo.co.il/law/70301/345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6781929" TargetMode="External"/><Relationship Id="rId19" Type="http://schemas.openxmlformats.org/officeDocument/2006/relationships/hyperlink" Target="http://www.nevo.co.il/law/70387/11" TargetMode="External"/><Relationship Id="rId20" Type="http://schemas.openxmlformats.org/officeDocument/2006/relationships/hyperlink" Target="http://www.nevo.co.il/law/70387" TargetMode="External"/><Relationship Id="rId21" Type="http://schemas.openxmlformats.org/officeDocument/2006/relationships/hyperlink" Target="http://www.nevo.co.il/case/6246775" TargetMode="External"/><Relationship Id="rId22" Type="http://schemas.openxmlformats.org/officeDocument/2006/relationships/hyperlink" Target="http://www.nevo.co.il/case/5701968" TargetMode="External"/><Relationship Id="rId23" Type="http://schemas.openxmlformats.org/officeDocument/2006/relationships/hyperlink" Target="http://www.nevo.co.il/case/23843687" TargetMode="External"/><Relationship Id="rId24" Type="http://schemas.openxmlformats.org/officeDocument/2006/relationships/hyperlink" Target="http://www.nevo.co.il/case/23843687" TargetMode="External"/><Relationship Id="rId25" Type="http://schemas.openxmlformats.org/officeDocument/2006/relationships/hyperlink" Target="http://www.nevo.co.il/case/26807414" TargetMode="External"/><Relationship Id="rId26" Type="http://schemas.openxmlformats.org/officeDocument/2006/relationships/hyperlink" Target="http://www.nevo.co.il/case/26807414" TargetMode="External"/><Relationship Id="rId27" Type="http://schemas.openxmlformats.org/officeDocument/2006/relationships/hyperlink" Target="http://www.nevo.co.il/case/17921296" TargetMode="External"/><Relationship Id="rId28" Type="http://schemas.openxmlformats.org/officeDocument/2006/relationships/hyperlink" Target="http://www.nevo.co.il/case/20010276" TargetMode="External"/><Relationship Id="rId29" Type="http://schemas.openxmlformats.org/officeDocument/2006/relationships/hyperlink" Target="http://www.nevo.co.il/case/20010276" TargetMode="External"/><Relationship Id="rId30" Type="http://schemas.openxmlformats.org/officeDocument/2006/relationships/hyperlink" Target="http://www.nevo.co.il/case/6249237" TargetMode="External"/><Relationship Id="rId31" Type="http://schemas.openxmlformats.org/officeDocument/2006/relationships/hyperlink" Target="http://www.nevo.co.il/case/17921747" TargetMode="External"/><Relationship Id="rId32" Type="http://schemas.openxmlformats.org/officeDocument/2006/relationships/hyperlink" Target="http://www.nevo.co.il/case/17921747" TargetMode="External"/><Relationship Id="rId33" Type="http://schemas.openxmlformats.org/officeDocument/2006/relationships/hyperlink" Target="http://www.nevo.co.il/case/6247841" TargetMode="External"/><Relationship Id="rId34" Type="http://schemas.openxmlformats.org/officeDocument/2006/relationships/hyperlink" Target="http://www.nevo.co.il/case/7697245" TargetMode="External"/><Relationship Id="rId35" Type="http://schemas.openxmlformats.org/officeDocument/2006/relationships/hyperlink" Target="http://www.nevo.co.il/safrut/bookgroup/2156" TargetMode="External"/><Relationship Id="rId36" Type="http://schemas.openxmlformats.org/officeDocument/2006/relationships/hyperlink" Target="http://www.nevo.co.il/case/6162862" TargetMode="External"/><Relationship Id="rId37" Type="http://schemas.openxmlformats.org/officeDocument/2006/relationships/hyperlink" Target="http://www.nevo.co.il/case/17921747" TargetMode="External"/><Relationship Id="rId38" Type="http://schemas.openxmlformats.org/officeDocument/2006/relationships/hyperlink" Target="http://www.nevo.co.il/case/17928383" TargetMode="External"/><Relationship Id="rId39" Type="http://schemas.openxmlformats.org/officeDocument/2006/relationships/hyperlink" Target="http://www.nevo.co.il/case/23843687" TargetMode="External"/><Relationship Id="rId40" Type="http://schemas.openxmlformats.org/officeDocument/2006/relationships/hyperlink" Target="http://www.nevo.co.il/case/20329366" TargetMode="External"/><Relationship Id="rId41" Type="http://schemas.openxmlformats.org/officeDocument/2006/relationships/hyperlink" Target="http://www.nevo.co.il/case/20010276" TargetMode="External"/><Relationship Id="rId42" Type="http://schemas.openxmlformats.org/officeDocument/2006/relationships/hyperlink" Target="http://www.nevo.co.il/case/20010276" TargetMode="External"/><Relationship Id="rId43" Type="http://schemas.openxmlformats.org/officeDocument/2006/relationships/hyperlink" Target="http://www.nevo.co.il/case/23843687" TargetMode="External"/><Relationship Id="rId44" Type="http://schemas.openxmlformats.org/officeDocument/2006/relationships/hyperlink" Target="http://www.nevo.co.il/case/26807414" TargetMode="External"/><Relationship Id="rId45" Type="http://schemas.openxmlformats.org/officeDocument/2006/relationships/hyperlink" Target="http://www.nevo.co.il/case/17921747" TargetMode="External"/><Relationship Id="rId46" Type="http://schemas.openxmlformats.org/officeDocument/2006/relationships/hyperlink" Target="http://www.nevo.co.il/case/17912536" TargetMode="External"/><Relationship Id="rId47" Type="http://schemas.openxmlformats.org/officeDocument/2006/relationships/hyperlink" Target="http://www.nevo.co.il/law/70387/11" TargetMode="External"/><Relationship Id="rId48" Type="http://schemas.openxmlformats.org/officeDocument/2006/relationships/hyperlink" Target="http://www.nevo.co.il/law/70387" TargetMode="External"/><Relationship Id="rId49" Type="http://schemas.openxmlformats.org/officeDocument/2006/relationships/hyperlink" Target="http://www.nevo.co.il/case/21479226" TargetMode="External"/><Relationship Id="rId50" Type="http://schemas.openxmlformats.org/officeDocument/2006/relationships/hyperlink" Target="http://www.nevo.co.il/case/17930061" TargetMode="External"/><Relationship Id="rId51" Type="http://schemas.openxmlformats.org/officeDocument/2006/relationships/hyperlink" Target="http://www.nevo.co.il/case/17947174" TargetMode="External"/><Relationship Id="rId52" Type="http://schemas.openxmlformats.org/officeDocument/2006/relationships/hyperlink" Target="https://supreme.court.gov.il/" TargetMode="External"/><Relationship Id="rId53" Type="http://schemas.openxmlformats.org/officeDocument/2006/relationships/hyperlink" Target="http://www.nevo.co.il/advertisements/nevo-100.doc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numbering" Target="numbering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2022-08-31T13:21:00Z</dcterms:created>
  <dc:creator> </dc:creator>
  <dc:description/>
  <cp:keywords/>
  <dc:language>en-IL</dc:language>
  <cp:lastModifiedBy>h11</cp:lastModifiedBy>
  <cp:lastPrinted>2022-03-29T11:01:00Z</cp:lastPrinted>
  <dcterms:modified xsi:type="dcterms:W3CDTF">2022-08-31T13:21:00Z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2156:2</vt:lpwstr>
  </property>
  <property fmtid="{D5CDD505-2E9C-101B-9397-08002B2CF9AE}" pid="5" name="CASESLISTTMP1">
    <vt:lpwstr>24980149:2;26781929;6246775;5701968;23843687:4;26807414:3;17921296;20010276:4;6249237;17921747:4;6247841;7697245;6162862;17928383;20329366;17912536;21479226;17930061;17947174</vt:lpwstr>
  </property>
  <property fmtid="{D5CDD505-2E9C-101B-9397-08002B2CF9AE}" pid="6" name="DATE">
    <vt:lpwstr>20220329</vt:lpwstr>
  </property>
  <property fmtid="{D5CDD505-2E9C-101B-9397-08002B2CF9AE}" pid="7" name="ISABSTRACT">
    <vt:lpwstr>Y</vt:lpwstr>
  </property>
  <property fmtid="{D5CDD505-2E9C-101B-9397-08002B2CF9AE}" pid="8" name="JUDGE">
    <vt:lpwstr>ג' קרא;י' וילנר;נ' הנדל</vt:lpwstr>
  </property>
  <property fmtid="{D5CDD505-2E9C-101B-9397-08002B2CF9AE}" pid="9" name="LAWLISTTMP1">
    <vt:lpwstr>70387/011:2</vt:lpwstr>
  </property>
  <property fmtid="{D5CDD505-2E9C-101B-9397-08002B2CF9AE}" pid="10" name="LAWLISTTMP2">
    <vt:lpwstr>70301/351.c.2;345.b.1;345.a.1</vt:lpwstr>
  </property>
  <property fmtid="{D5CDD505-2E9C-101B-9397-08002B2CF9AE}" pid="11" name="LAWYER">
    <vt:lpwstr>אופיר ביתן;ענת קירשנברג;אריה צוק</vt:lpwstr>
  </property>
  <property fmtid="{D5CDD505-2E9C-101B-9397-08002B2CF9AE}" pid="12" name="METAKZER">
    <vt:lpwstr>נעה</vt:lpwstr>
  </property>
  <property fmtid="{D5CDD505-2E9C-101B-9397-08002B2CF9AE}" pid="13" name="NOSE11">
    <vt:lpwstr>ראיות</vt:lpwstr>
  </property>
  <property fmtid="{D5CDD505-2E9C-101B-9397-08002B2CF9AE}" pid="14" name="NOSE12">
    <vt:lpwstr>עונשין</vt:lpwstr>
  </property>
  <property fmtid="{D5CDD505-2E9C-101B-9397-08002B2CF9AE}" pid="15" name="NOSE13">
    <vt:lpwstr>ראיות</vt:lpwstr>
  </property>
  <property fmtid="{D5CDD505-2E9C-101B-9397-08002B2CF9AE}" pid="16" name="NOSE14">
    <vt:lpwstr>ראיות</vt:lpwstr>
  </property>
  <property fmtid="{D5CDD505-2E9C-101B-9397-08002B2CF9AE}" pid="17" name="NOSE1ID">
    <vt:lpwstr>89;77;89;89</vt:lpwstr>
  </property>
  <property fmtid="{D5CDD505-2E9C-101B-9397-08002B2CF9AE}" pid="18" name="NOSE21">
    <vt:lpwstr>סיוע</vt:lpwstr>
  </property>
  <property fmtid="{D5CDD505-2E9C-101B-9397-08002B2CF9AE}" pid="19" name="NOSE22">
    <vt:lpwstr>עבירות</vt:lpwstr>
  </property>
  <property fmtid="{D5CDD505-2E9C-101B-9397-08002B2CF9AE}" pid="20" name="NOSE23">
    <vt:lpwstr>סיוע</vt:lpwstr>
  </property>
  <property fmtid="{D5CDD505-2E9C-101B-9397-08002B2CF9AE}" pid="21" name="NOSE24">
    <vt:lpwstr>סיוע</vt:lpwstr>
  </property>
  <property fmtid="{D5CDD505-2E9C-101B-9397-08002B2CF9AE}" pid="22" name="NOSE2ID">
    <vt:lpwstr>1651;1443;1651;1651</vt:lpwstr>
  </property>
  <property fmtid="{D5CDD505-2E9C-101B-9397-08002B2CF9AE}" pid="23" name="NOSE31">
    <vt:lpwstr>מעשים דומים</vt:lpwstr>
  </property>
  <property fmtid="{D5CDD505-2E9C-101B-9397-08002B2CF9AE}" pid="24" name="NOSE32">
    <vt:lpwstr>עבירות מין בקטין</vt:lpwstr>
  </property>
  <property fmtid="{D5CDD505-2E9C-101B-9397-08002B2CF9AE}" pid="25" name="NOSE33">
    <vt:lpwstr>עדות קטין לפני חוקר נוער</vt:lpwstr>
  </property>
  <property fmtid="{D5CDD505-2E9C-101B-9397-08002B2CF9AE}" pid="26" name="NOSE34">
    <vt:lpwstr>דרישותיו</vt:lpwstr>
  </property>
  <property fmtid="{D5CDD505-2E9C-101B-9397-08002B2CF9AE}" pid="27" name="NOSE3ID">
    <vt:lpwstr>13494;16634;10364;10345</vt:lpwstr>
  </property>
  <property fmtid="{D5CDD505-2E9C-101B-9397-08002B2CF9AE}" pid="28" name="PADIDATE">
    <vt:lpwstr>20220330</vt:lpwstr>
  </property>
  <property fmtid="{D5CDD505-2E9C-101B-9397-08002B2CF9AE}" pid="29" name="PADIMAIL">
    <vt:lpwstr>YES</vt:lpwstr>
  </property>
  <property fmtid="{D5CDD505-2E9C-101B-9397-08002B2CF9AE}" pid="30" name="PROCESS">
    <vt:lpwstr>עפ</vt:lpwstr>
  </property>
  <property fmtid="{D5CDD505-2E9C-101B-9397-08002B2CF9AE}" pid="31" name="PROCNUM">
    <vt:lpwstr>8579</vt:lpwstr>
  </property>
  <property fmtid="{D5CDD505-2E9C-101B-9397-08002B2CF9AE}" pid="32" name="PROCYEAR">
    <vt:lpwstr>20</vt:lpwstr>
  </property>
  <property fmtid="{D5CDD505-2E9C-101B-9397-08002B2CF9AE}" pid="33" name="PSAKDIN">
    <vt:lpwstr>פסק-דין</vt:lpwstr>
  </property>
  <property fmtid="{D5CDD505-2E9C-101B-9397-08002B2CF9AE}" pid="34" name="TYPE">
    <vt:lpwstr>1</vt:lpwstr>
  </property>
  <property fmtid="{D5CDD505-2E9C-101B-9397-08002B2CF9AE}" pid="35" name="TYPE_ABS_DATE">
    <vt:lpwstr>410120220329</vt:lpwstr>
  </property>
  <property fmtid="{D5CDD505-2E9C-101B-9397-08002B2CF9AE}" pid="36" name="TYPE_N_DATE">
    <vt:lpwstr>41020220329</vt:lpwstr>
  </property>
  <property fmtid="{D5CDD505-2E9C-101B-9397-08002B2CF9AE}" pid="37" name="WORDNUMPAGES">
    <vt:lpwstr>16</vt:lpwstr>
  </property>
</Properties>
</file>