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858/20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רבאן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18.12.2019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כ</w:t>
            </w:r>
            <w:r>
              <w:rPr>
                <w:rFonts w:cs="Century" w:ascii="Century" w:hAnsi="Century"/>
                <w:b/>
                <w:sz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סעב</w:t>
            </w:r>
            <w:r>
              <w:rPr>
                <w:rFonts w:cs="Century" w:ascii="Century" w:hAnsi="Century"/>
                <w:b/>
                <w:sz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י</w:t>
            </w:r>
            <w:r>
              <w:rPr>
                <w:rFonts w:cs="Century" w:ascii="Century" w:hAnsi="Century"/>
                <w:b/>
                <w:sz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ליפשיץ</w:t>
            </w:r>
            <w:r>
              <w:rPr>
                <w:rFonts w:cs="Century" w:ascii="Century" w:hAnsi="Century"/>
                <w:b/>
                <w:sz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ג</w:t>
            </w:r>
            <w:r>
              <w:rPr>
                <w:rFonts w:cs="Century" w:ascii="Century" w:hAnsi="Century"/>
                <w:b/>
                <w:sz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rtl w:val="true"/>
              </w:rPr>
              <w:t>ציגלר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בתפ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23538-02-18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26" w:type="dxa"/>
        <w:jc w:val="start"/>
        <w:tblInd w:w="16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93"/>
        <w:gridCol w:w="5133"/>
      </w:tblGrid>
      <w:tr>
        <w:trPr/>
        <w:tc>
          <w:tcPr>
            <w:tcW w:w="319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24.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2020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3" w:type="dxa"/>
        <w:jc w:val="start"/>
        <w:tblInd w:w="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"/>
        <w:gridCol w:w="30"/>
        <w:gridCol w:w="11"/>
        <w:gridCol w:w="3035"/>
        <w:gridCol w:w="30"/>
        <w:gridCol w:w="48"/>
        <w:gridCol w:w="5172"/>
      </w:tblGrid>
      <w:tr>
        <w:trPr/>
        <w:tc>
          <w:tcPr>
            <w:tcW w:w="67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076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ויסאם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פארס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סאמר</w:t>
            </w:r>
          </w:p>
        </w:tc>
      </w:tr>
      <w:tr>
        <w:trPr/>
        <w:tc>
          <w:tcPr>
            <w:tcW w:w="37" w:type="dxa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076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5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רוט</w:t>
            </w:r>
          </w:p>
        </w:tc>
      </w:tr>
      <w:tr>
        <w:trPr/>
        <w:tc>
          <w:tcPr>
            <w:tcW w:w="78" w:type="dxa"/>
            <w:gridSpan w:val="3"/>
            <w:tcBorders/>
          </w:tcPr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113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72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>
                <w:rFonts w:ascii="Century" w:hAnsi="Century" w:cs="David"/>
                <w:spacing w:val="10"/>
                <w:sz w:val="26"/>
                <w:szCs w:val="26"/>
              </w:rPr>
            </w:pPr>
            <w:r>
              <w:rPr>
                <w:rFonts w:ascii="Century" w:hAnsi="Century" w:cs="David"/>
                <w:spacing w:val="10"/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rFonts w:cs="David" w:ascii="Century" w:hAnsi="Century"/>
                <w:spacing w:val="10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Century" w:hAnsi="Century" w:cs="David"/>
                <w:spacing w:val="10"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ascii="Century" w:hAnsi="Century" w:eastAsia="Century" w:cs="Century"/>
                <w:spacing w:val="10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Century" w:hAnsi="Century" w:cs="David"/>
                <w:spacing w:val="10"/>
                <w:sz w:val="26"/>
                <w:sz w:val="26"/>
                <w:szCs w:val="26"/>
                <w:rtl w:val="true"/>
              </w:rPr>
              <w:t>וייס</w:t>
            </w:r>
            <w:r>
              <w:rPr>
                <w:rFonts w:ascii="Century" w:hAnsi="Century" w:eastAsia="Century" w:cs="Century"/>
                <w:spacing w:val="10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צוין כי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הפירוט העובדתי שבכתב אישום שתוקן מכח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בו הודה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שקובע את התשתית העובדתית והנסיבתית המלאה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שעתידה לשמש בסיס לגזר הדין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רשאי להיזקק לעובדות שאינן מופיעות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החמורים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תוצאותיהם ההרסניות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הצורך לשוב ולהביע את סלידת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מאלימות ושימוש בנשק חם ומזילות בחיי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ענישה ראויה והולמת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 ביטוי לחשיבות העליונה שמייחסת החברה לחיי אדם ולשלמות 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התייחסות לנסיבות שלא פורטו בכתב אישום מתוקן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על פי הודאתו במסגרת הסדר טיעון בעבירת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 עבירות נשק ובעבירה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כך נדון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בגין האישום הראשון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בגין האישום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שירוצו חלקם בחופף וחלקם במצטבר כך שהמערער ירצה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פיצוי לעזבון המנוח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למתלונן באישום השני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הפירוט העובדתי שבכתב אישום שתוקן מכח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בו הודה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שקובע את התשתית העובדתית והנסיבתית המלאה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שעתידה לשמש בסיס לגזר הדין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רשאי להיזקק לעובדות שאינן מופיעות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הבנה כי הסכמת הצדדים היא שעומדת בבסיס כתב האישום המתוקן וכל שינוי או תוספת הנוגעת לנסיבות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כפופים לתנאים המחמירים הנקובים 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 מן הטענות העובדתיות שבפי המערער לא רק שאינן מופיעות בכתב האישום המתוקן אלא אף עומדות בסתירה לו וחותרות תחתיו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הן באות אף בגדרו של החריג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כי הסדר הטיעון נחתם לאחר שנשמעו עדי תביעה מרכזיים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מהווה טעם ראוי לחריגה מן הכלל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 הסדר הטיעון וכתב האישום המתוקן שקללו את ההשלכות האפשריות של אותן עדויות שכבר נשמעו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נדחתה הטענה כי היה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להחיל על המערער את הדין המקל שבתיקון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ולקבוע כי ביצע את המעשה שבאישום הראשון מתוך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טומנת בחובה בלבול מושגי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החלת הדין המקל אין משמעה הכרעה עובדתית ביחס לטיב היסוד הנפשי שהתקיים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קביעה ביחס לטיב היסוד הנפשי שהתקיים בנאשם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קביעה עובדתית העולה מנסיבות המקרה ומחזקות ראייתיות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שבעובדותיו הודה המערער ועל פיו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ציין במפורש כי המערער ירה במנוח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כשהוא שווה נפש לאפשרות גרימת מותו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שהתקיים בו יסוד נפשי של אדישות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כל מקום לייחס לו יסוד נפשי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בנסיבות פגם בהחלטת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שלא להביא את נסיבת הסכם הסולחה במכלול שיקוליו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גם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שהמשקל המיוחס לנסיבה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מוגבל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המסד העובדתי שתואר בכתב האישום המתוקן ושעליו התבסס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המסד העובדתי שאליו יש להתייחס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במי שביצע ירי לעבר המנוח ולא חדל מן הירי חרף קיומו של מעצור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התגבר על המעצור והמשיך לירות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 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עבירת ההריגה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מצויה בקצה מנעד עבירות ההריגה ונושקת בחומרתה לעבירת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קביעה משמעותית נוספת בגזר הדין היא כי אין לראות במעשי המערער משום הגנה עצמית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לנאשם הייתה אופציה ראשונה לעזוב את המקום וכן אופציה שניה להפסיק את הירי עם קרות המעצור באקדח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הוא תיקן את המעצור שהיה באקדח תוך כדי והמשיך לירות עד שבמעשיו האסורים גרם למותו של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...".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עובדתיות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הנסיבה כי המנוח הגיע למקום מיוזמתו כשהוא חמוש בסכין ובגרזן והחל רודף אחרי המערער – מתחם העונש שנקבע והעונש שנקבע בגדרו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נסיבות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בקביעת העונש בתוך המתחם יש ליתן משקל גם לעובדה כי הירי באישום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 מספר חודשים לאחר הירי באישום השני וכי בעובדה זו יש כדי להצביע על מידת המסוכנות הנשקפת מן המערער ועל ההסלמה שבמעשיו בציר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מתחם העונש שבאישום השני משקף שקלול ראוי של מכלול נסיבות העבירות וכך גם העונש שנקבע בגדרו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החמורים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תוצאותיהם ההרסניות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הצורך לשוב ולהביע את סלידת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מאלימות ושימוש בנשק חם ומזילות בחיי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ענישה ראויה והולמת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 ביטוי לחשיבות העליונה שמייחסת החברה לחיי אדם ולשלמות 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החפיפה החלקית בין העונשים החמירה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כבד וממושך והמערער הוא אדם 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בקיומן של הודאה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 ונטילת אחריות כדי להצדיק התערבות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18.12.2019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כ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סעב</w:t>
      </w:r>
      <w:r>
        <w:rPr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ליפשיץ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ציגלר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23538-02-18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הורשע על פי הודאתו בכתב אישום מתוקן במסגרת הסדר טיעון בעבירת הריגה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בשתי עבירות 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יחד </w:t>
      </w:r>
      <w:hyperlink r:id="rId16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 וסיפא לחוק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ובעבירה של חבלה בכוונה מחמירה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בשל כך נדון המערער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מותנה ופיצוי לעיזבון המנוח בסך של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ולמתלונן בעבירת החבלה בכוונה מחמירה בסך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פרטי כתב האישום המתוקן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תיקונו בהסדר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ייחס למערער עבירת רצח בכוונה תחילה ושני אישומים בעבירות של חבלה בכוונה מחמירה ועבירות 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שנשמעו ראיות ובהן העדים המרכזיים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תוקן כתב האישום כך שעבירת הרצח הומרה לעבירת הריגה והושמטו ממנו עבירה של חבלה בכוונה מחמירה ועבירות בנשק שבאישום השני לכתב האישום טרם תיקונו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הפירוט העובדתי שבכתב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16.4.2017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ירה המערער שלוש יריות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ממרחק של מטרים ספורים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לעבר פלג גופו התחתון של אדם עימו היה מסוכסך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במטרה להטיל בו נכות או מום או לגרום לו חבלה חמורה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נגרם למתלונן שבר מרוסק ברגלו והוא אושפז ונותח </w:t>
      </w:r>
      <w:r>
        <w:rPr>
          <w:rFonts w:cs="Century" w:ascii="Century" w:hAnsi="Century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>האישום הש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מספר חודשים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17.12.2017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המנוח לסמטה שבה שהה המערער עם קרוב משפחתו וחבר נוסף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מסוכסך עם השלושה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למקום כשהוא חמוש בסכין ובגרזן והחל רודף אחרי המערער והחבר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רץ לעבר רכב שבו ישב קרוב משפחתו יחד עם שניים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דבר מה מקרוב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לסמטה וירה במנוח מספר יריות באקדח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שווה נפש לאפשרות גרימת מותו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תוך כדי הירי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תיקן המערער מעצור באקדח והמשיך לירות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נפגע המנוח מקליעים בצד ימין בחזהו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בירך ימין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בחלקה התחתון והאמצעי של שוק שמאל ומרסיסי קליעים בעכוזו ובירכיו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מותו של המנוח נגרם כתוצאה מהלם דימומי ומאיבוד כמות גדולה של דם ונזק חבלתי בריאות </w:t>
      </w:r>
      <w:r>
        <w:rPr>
          <w:rFonts w:cs="Century" w:ascii="Century" w:hAnsi="Century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>האישום הראשון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הסדר הטיעון לא כלל הסכמה עונשית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בפני בית המשפט המחוזי הונחו תסקיר שירות המבחן לגבי המערער וכן תסקירי נפגעי עבירה בשני האישומים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 xml:space="preserve">גזר דינו של בית המשפט המחוזי 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דחה טענות עובדתיות של המערער ביחס לסכסוך שברקע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שלא היה להן ביטוי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הודה המערער ועל פיו הורשע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לראות בעבירות שביצע המערער בשני האישומים כאירועים נפרדים וקבע מתחם עונש הולם נפרד לכל אחד מהם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בכל הנוגע לאישום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שתי העבירות שבהן הורשע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עבירות ההריגה והנשק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מהוות מעשה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שהעונש בגינן לא יעלה על העונש המירבי בגין עבירת ההריגה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החמורה שבהן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מתחם העונש ההולם הועמד על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בקביעת מתחם העונש עמד בית המשפט על הערכים החברתיים המוגנים ועל מידת הפגיעה בהם וכן על מדיניות הענישה הנהוגה בעבירות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שבחן את נסיבות הביצוע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זו בוצעה בנשק 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בסביבת מגורים תוך חשיפת הסובבים לסכנת פגיעה בחייהם ובגופם 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המעשה עומד ברף העליון של קטילת חיים שאיננה מגבשת עבירת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קרובה וכמעט נושקת בחומרתה לעבירת רצח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דחה את טענת המערער כי מעשיו נעשו מתוך הגנה עצמית שכן הוא הצליח להתרחק מן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שרדף אחריו כשהוא חמוש בסכין ובגרזן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המערער בחר לחזור כשהוא מצויד באקדח וירה לעבר המנוח מספר יריות תוך שהוא מתגבר על מעצור בנשק מתוך שוויון נפש לאפשרות גרימת מותו של המנוח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שקל בית המשפט את הפגיעה החמורה במתלונן ואת הסכנה הכרוכה בשימוש בנשק חם במקומות ציבוריים והעמיד את מתחם העונש ההולם באישום זה על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הורה על הוצאת הסכם הסולחה שהגיש המערער מתיק בית המשפט לנוכח המחלוקת בין הצדדים ובעיקר על יסוד עמדת המתלונן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בגזירת הדין בתוך מתחמי הענישה עמדו לנגד עיני בית המשפט שיקולי קולא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שעניינם גילו הצעיר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כבן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ביצוע המעשים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הבעת חרטה ונטילת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שאלו באו לאחר שנשמעו חלק ניכר מן העדים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לחומרא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נלקחו בחשבון עברו הפלילי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 שלוש 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שאחת מהן בהיותו קטין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וגורמי הסיכון שפורטו בתסקיר שירות המבחן ובהם קשרים חברתיים בעייתיים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נטייה לפריצת גבולות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התנהלות אימפולסיבית תוך מתן לגיטימציה לאלימות והתנהגות עוברת חוק במהלך שנות התבגרותו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דחה את טענת המערער כי יש בתיקון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, (</w:t>
      </w:r>
      <w:r>
        <w:rPr>
          <w:rFonts w:ascii="Century" w:hAnsi="Century" w:cs="Century"/>
          <w:rtl w:val="true"/>
        </w:rPr>
        <w:t xml:space="preserve">חוק העונשין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ט </w:t>
      </w:r>
      <w:r>
        <w:rPr>
          <w:rFonts w:cs="Century" w:ascii="Century" w:hAnsi="Century"/>
        </w:rPr>
        <w:t>230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המבחין בין גרימת מוות באדישות לבין גרימת מוות בקלות דעת ואשר נכנס לתוקף לאחר ביצוע העבירה ולפני שניתן פסק דין חלוט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להקל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המערער הודה בביצוע העבירה מתוך שוויון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היסוד הנפשי המיוחס לו הוא של אדישות ולא של קלות דעת ואין הדין המקל חל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העונשים שיושתו על המערער ביחס לכל אחד מן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יצטברו זה לזה באופן חלקי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אופי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ביצועם וחומרת הפגיעה בקורבן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הודאת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נטילת אחריות וחרטה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נגזרו על המערער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בגין האישום הראשון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בגין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שירוצו חלקם בחופף וחלקם במצטבר כך שהמערער ירצה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מאסרים מותנים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פיצוי לעזבון המנוח בסך של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ופיצוי למתלונן באישום השני בסך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 xml:space="preserve">טענות המערער 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 שלפנינו משיג המערער על חומרת עונש המאסר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מתחם הענישה שנקבע לעבירת ההריגה חמור וחורג במידה בלתי סבירה ממתחמי ענישה בתיקים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בהם למי שנפגע היה חלק בהתרחשות האירוע האלים והתקיימה הקרבה לסייג ההגנה העצמית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מתחם העונש אינו הולם את נסיבות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 העובדה כי המנוח הגיע במפתיע למקום שהותו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רדף אחריו כשהוא חמוש במטרה לפגוע בו ואף לגרום למותו וכי הירי באקדח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שהגיע לידיו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נעשה כדי להדוף את הסכנה שנשקפה לו מן 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בהתנהגות המנוח יש משום קינטור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בין המנוח לבין המערער לא היה סכסוך קודם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שהמנוח היה מסוכסך עם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ששהה באותה שעה בחברת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המערער לא התגרה במנוח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כי הנשק הגיע לידי המערער בסמוך לירי ולא היה מדובר בנשיאה או בהחזקת הנשק לאורך 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ניתן משקל ראוי להשפעת האחר על ביצוע העבירה ולהתנהגות המנוח וכן כי בית המשפט שקל לחובת המערער כי הודייתו באה לאחר שנשמעו מרבית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בהתעלמו מכך שכתב האישום תוקן בשל הראיות שנשמעו וכי אלו נשמעו רק בשל כפירת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טענה נוספת שהעלה המערער היא כי בית המשפט שגה בקבעו כי לא יזקק לעובדות ולנסיבות שאינן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שנשמעו בפניו 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לסייג את הלכת בית משפט זה 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3667/13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טיב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14.10.2014</w:t>
      </w:r>
      <w:r>
        <w:rPr>
          <w:rFonts w:cs="Century" w:ascii="Century" w:hAnsi="Century"/>
          <w:rtl w:val="true"/>
        </w:rPr>
        <w:t>)(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ח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טיב</w:t>
      </w:r>
      <w:r>
        <w:rPr>
          <w:rFonts w:cs="Century" w:ascii="Century" w:hAnsi="Century"/>
          <w:rtl w:val="true"/>
        </w:rPr>
        <w:t xml:space="preserve">)) </w:t>
      </w:r>
      <w:r>
        <w:rPr>
          <w:rFonts w:ascii="Century" w:hAnsi="Century" w:cs="Century"/>
          <w:rtl w:val="true"/>
        </w:rPr>
        <w:t>ולקבוע כי מקום בו נחשף בית המשפט לכלל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הוא כבול רק לפירוט העובדתי שבכתב האישום המתוקן בהסדר 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נטען כי יש להעדיף את הפירוש המקל ולקבוע כי מעשיו של המערער באישום הראשון היו פרי הלך נפש של קלות דעת ולא של אדישות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tabs>
          <w:tab w:val="clear" w:pos="720"/>
          <w:tab w:val="left" w:pos="1431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לא ניתן משקל ראוי לנסיבותיו האישיות של המערער ובכלל זה 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שבעטיו תומרן על ידי שני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המבוגרים ממנו בעשור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שהם אלו שהיו מסוכסכים עם המנוח וכן כי שיקול דעתו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שהיה עליו להגן על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נפגע באופן מוחלט ולכן דימה כי רק ירי במנוח יציל את חייו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נטען כי בית המשפט קמא שגה כשהורה כי הסכם הסולחה ביחס לאישום השני יוצא מתיק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טענת המשיבה כי לא נעשה הסכם כזה וכי לאחר שניתן גזר הדין הודיעה המשיבה למערער כי הסכם זה הוא הסכם אמיתי ונסוגה מהתנגדותה להגשתו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ליתן משקל להסכם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המשפט בקבעו מתחם עונש חמור יתר על המידה ביחס לעבירה של חבלה בכוונה מחמירה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בית המשפט שגה משלא הורה על חפיפה מלאה בין עונשי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מכלול הנסיבות ובהן גילו הצעיר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נטילת אחריות והבעת חרטה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כי זהו לו מאסר ראשון ותקופת מעצר ממושכת וקשה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עמדת המשיבה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</w:rPr>
      </w:pPr>
      <w:r>
        <w:rPr>
          <w:rFonts w:cs="Century" w:ascii="Century" w:hAnsi="Century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המשיבה ביקשה לדחות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עיקר טענותיו של המערער מבוססות על עובדות שאינן מנויות בכתב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ולכן מנוגדות להוראות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הקביעה כי אין מדובר בהגנה עצמית אלא כפסע מעבירת 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הקשה במשפחת המנוח ובמתלונן באישום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הפלילי של המערער והעובדה כי ביצע שני מעשי 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העונשים שהוטלו על המערער אינם כבדים ובית המשפט אף הקל עמו שעה שהורה על חפיפתם החלקית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להסכם הסולחה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ציינה המשיבה כי הדבר מצוי בחקירה וכי המערער יכול היה להגיש את הסכם הסולחה בכפוף לעדות המתלונן אך הוא ביכר שלא לעשות כן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דיון והכרעה</w:t>
      </w:r>
    </w:p>
    <w:p>
      <w:pPr>
        <w:pStyle w:val="Ruller4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צרופותיהן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tabs>
          <w:tab w:val="clear" w:pos="720"/>
          <w:tab w:val="left" w:pos="440" w:leader="none"/>
          <w:tab w:val="left" w:pos="7016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שעתידה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2256/17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חנניאייב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8.8.2018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הנקובים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טיב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3457/18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12.3.2019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tl w:val="true"/>
        </w:rPr>
        <w:t>.</w:t>
      </w:r>
    </w:p>
    <w:p>
      <w:pPr>
        <w:pStyle w:val="Ruller4"/>
        <w:tabs>
          <w:tab w:val="clear" w:pos="720"/>
          <w:tab w:val="left" w:pos="440" w:leader="none"/>
          <w:tab w:val="left" w:pos="7016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שבתיקון</w:t>
      </w:r>
      <w:r>
        <w:rPr>
          <w:rFonts w:eastAsia="Arial TUR" w:cs="Arial TUR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מושגי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", </w:t>
      </w:r>
      <w:r>
        <w:rPr>
          <w:rtl w:val="true"/>
        </w:rPr>
        <w:t>משמע</w:t>
      </w:r>
      <w:r>
        <w:rPr>
          <w:rtl w:val="true"/>
        </w:rPr>
        <w:t xml:space="preserve">: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</w:rPr>
          <w:t>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סובח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ונושקת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...".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ואבחונה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ובגרזן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חנוכייב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3.3.2019</w:t>
      </w:r>
      <w:r>
        <w:rPr>
          <w:rtl w:val="true"/>
        </w:rPr>
        <w:t xml:space="preserve">)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,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6326/17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3.12.2017</w:t>
      </w:r>
      <w:r>
        <w:rPr>
          <w:rtl w:val="true"/>
        </w:rPr>
        <w:t xml:space="preserve">)), </w:t>
      </w:r>
      <w:r>
        <w:rPr>
          <w:rtl w:val="true"/>
        </w:rPr>
        <w:t>ועניינו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ההרסניות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2.7.2020</w:t>
      </w:r>
      <w:r>
        <w:rPr>
          <w:rtl w:val="true"/>
        </w:rPr>
        <w:t xml:space="preserve">). </w:t>
      </w:r>
      <w:bookmarkEnd w:id="17"/>
    </w:p>
    <w:p>
      <w:pPr>
        <w:pStyle w:val="Ruller4"/>
        <w:tabs>
          <w:tab w:val="clear" w:pos="720"/>
          <w:tab w:val="left" w:pos="440" w:leader="none"/>
          <w:tab w:val="left" w:pos="7016" w:leader="none"/>
        </w:tabs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20008580</w:t>
      </w:r>
      <w:r>
        <w:rPr>
          <w:sz w:val="16"/>
          <w:rtl w:val="true"/>
        </w:rPr>
        <w:t>_</w:t>
      </w:r>
      <w:r>
        <w:rPr>
          <w:sz w:val="16"/>
        </w:rPr>
        <w:t>Q01.docx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54678313-858/20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פארס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ארבאן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.2.a" TargetMode="External"/><Relationship Id="rId4" Type="http://schemas.openxmlformats.org/officeDocument/2006/relationships/hyperlink" Target="http://www.nevo.co.il/law/70301/40j.b.2" TargetMode="External"/><Relationship Id="rId5" Type="http://schemas.openxmlformats.org/officeDocument/2006/relationships/hyperlink" Target="http://www.nevo.co.il/law/70301/40j.d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40j.b.2" TargetMode="External"/><Relationship Id="rId11" Type="http://schemas.openxmlformats.org/officeDocument/2006/relationships/hyperlink" Target="http://www.nevo.co.il/law/70301/40j.b.2" TargetMode="External"/><Relationship Id="rId12" Type="http://schemas.openxmlformats.org/officeDocument/2006/relationships/hyperlink" Target="http://www.nevo.co.il/law/70301/29.a.2.a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2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7954542" TargetMode="External"/><Relationship Id="rId20" Type="http://schemas.openxmlformats.org/officeDocument/2006/relationships/hyperlink" Target="http://www.nevo.co.il/law/70301/40j.d" TargetMode="External"/><Relationship Id="rId21" Type="http://schemas.openxmlformats.org/officeDocument/2006/relationships/hyperlink" Target="http://www.nevo.co.il/case/22505399" TargetMode="External"/><Relationship Id="rId22" Type="http://schemas.openxmlformats.org/officeDocument/2006/relationships/hyperlink" Target="http://www.nevo.co.il/law/70301/40j.b.2" TargetMode="External"/><Relationship Id="rId23" Type="http://schemas.openxmlformats.org/officeDocument/2006/relationships/hyperlink" Target="http://www.nevo.co.il/case/24140890" TargetMode="External"/><Relationship Id="rId24" Type="http://schemas.openxmlformats.org/officeDocument/2006/relationships/hyperlink" Target="http://www.nevo.co.il/law/70301/40j.b.2" TargetMode="External"/><Relationship Id="rId25" Type="http://schemas.openxmlformats.org/officeDocument/2006/relationships/hyperlink" Target="http://www.nevo.co.il/law/70301/20.a.2.a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4287805" TargetMode="External"/><Relationship Id="rId28" Type="http://schemas.openxmlformats.org/officeDocument/2006/relationships/hyperlink" Target="http://www.nevo.co.il/case/22923903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2020-07-05T07:41:00Z</dcterms:created>
  <dc:creator>h4</dc:creator>
  <dc:description/>
  <cp:keywords/>
  <dc:language>en-IL</dc:language>
  <cp:lastModifiedBy>hofit</cp:lastModifiedBy>
  <cp:lastPrinted>2020-07-02T09:07:00Z</cp:lastPrinted>
  <dcterms:modified xsi:type="dcterms:W3CDTF">2020-07-13T13:10:00Z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פארס ג'ארבאן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17954542;22505399;24140890;25824863;24287805;22923903</vt:lpwstr>
  </property>
  <property fmtid="{D5CDD505-2E9C-101B-9397-08002B2CF9AE}" pid="9" name="CITY">
    <vt:lpwstr/>
  </property>
  <property fmtid="{D5CDD505-2E9C-101B-9397-08002B2CF9AE}" pid="10" name="DATE">
    <vt:lpwstr>20200702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ארז;ע' ברון;ג' קרא</vt:lpwstr>
  </property>
  <property fmtid="{D5CDD505-2E9C-101B-9397-08002B2CF9AE}" pid="14" name="LAWLISTTMP1">
    <vt:lpwstr>70301/298;144.a;144.b;329.a.1;040j.d;040j.b.2:2;029.a.2.a</vt:lpwstr>
  </property>
  <property fmtid="{D5CDD505-2E9C-101B-9397-08002B2CF9AE}" pid="15" name="LAWYER">
    <vt:lpwstr>קרן רוט;ויסאם פארס;עלי סאמר;ברכה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18;77;77;18</vt:lpwstr>
  </property>
  <property fmtid="{D5CDD505-2E9C-101B-9397-08002B2CF9AE}" pid="37" name="NOSE21">
    <vt:lpwstr>גזר-דין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452;1443;1446;504</vt:lpwstr>
  </property>
  <property fmtid="{D5CDD505-2E9C-101B-9397-08002B2CF9AE}" pid="48" name="NOSE31">
    <vt:lpwstr>התייחסות לנסיבות שלא פורטו בכתב אישום מתוקן</vt:lpwstr>
  </property>
  <property fmtid="{D5CDD505-2E9C-101B-9397-08002B2CF9AE}" pid="49" name="NOSE310">
    <vt:lpwstr/>
  </property>
  <property fmtid="{D5CDD505-2E9C-101B-9397-08002B2CF9AE}" pid="50" name="NOSE32">
    <vt:lpwstr>הריגה</vt:lpwstr>
  </property>
  <property fmtid="{D5CDD505-2E9C-101B-9397-08002B2CF9AE}" pid="51" name="NOSE33">
    <vt:lpwstr>מדיניות ענישה: הריגה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15663;8816;14739;17039</vt:lpwstr>
  </property>
  <property fmtid="{D5CDD505-2E9C-101B-9397-08002B2CF9AE}" pid="59" name="PADIDATE">
    <vt:lpwstr>20200705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858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410120200702</vt:lpwstr>
  </property>
  <property fmtid="{D5CDD505-2E9C-101B-9397-08002B2CF9AE}" pid="69" name="TYPE_N_DATE">
    <vt:lpwstr>41020200702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