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8603/18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אר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25.10.2018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22534-08-17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ואגו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בכיר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אינפלד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חזק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1.8.2019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כרמלי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שלוש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עילית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מידן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33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ה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214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214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214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214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377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377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441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9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למניעת הטרדה מינית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1998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2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8" w:name="ABSTRACT_START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הצידוק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מבצעיהן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במחשכים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בדל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לעתים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פינותיה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המרשתת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ונזקים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להתריע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ולהרתיע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והניצול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בערוצים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לעשות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לבלימת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תעשיה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מחרידה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חוסר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המודעות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שצולם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בתמונותיו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מקהה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המגונה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60,000</w:t>
      </w:r>
      <w:r>
        <w:rPr>
          <w:rFonts w:cs="FrankRuehl"/>
          <w:sz w:val="24"/>
          <w:szCs w:val="26"/>
          <w:rtl w:val="true"/>
        </w:rPr>
        <w:t xml:space="preserve"> ₪ </w:t>
      </w:r>
      <w:r>
        <w:rPr>
          <w:rFonts w:cs="FrankRuehl"/>
          <w:sz w:val="24"/>
          <w:sz w:val="24"/>
          <w:szCs w:val="26"/>
          <w:rtl w:val="true"/>
        </w:rPr>
        <w:t>לבתו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ארוכה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לרבות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סדום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אינוס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בגופו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לעשיית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פרסום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תועבה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ובנשים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שהשיתה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תֵעשה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היקפם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מהנהוג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ומהראוי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מסכת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מעיקה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רצופה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פלצות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ידועה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שבפגיעות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בתוככי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לנהוג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הצידוק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מבצעיהן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במחשכים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בדל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דידן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מדגיש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לעתים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פינותיה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המרשתת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ונזקים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להתריע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ולהרתיע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והניצול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בערוצים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לעשות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לבלימת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תעשיה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מחרידה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הסנגור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המלומד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לפסיקה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הוחמר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המידה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לנהוג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ברם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המתנשא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בהיקפו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ובכיעורו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שהובאה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דידן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הנראה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שהגיעו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לפתחו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הצעירה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לסיפוק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יצריו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שלו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ויצריהם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מקבילית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ניצול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מעוותת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בגדריה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נסחרים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כבודן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ופרטיותן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צעירות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חפץ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שנועדו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ולמרבה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המזל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שנעשו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זהו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ונקווה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ימצאו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לידיעתה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למרבה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שהופץ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במרשתת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ולמחיקה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בצינורות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ושעודנו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מרחף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תלמד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המודעות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שצולם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בתמונותיו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מקהה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המגונה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נשכח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פרטיותן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וצנעתן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והפיץ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ארוך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כורח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המציאות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6"/>
        </w:rPr>
      </w:pPr>
      <w:r>
        <w:rPr>
          <w:rFonts w:cs="FrankRuehl" w:ascii="FrankRuehl" w:hAnsi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25.10.2018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hyperlink r:id="rId2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22534-08-17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הבכיר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ואגו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והשופטים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אינפלד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חזק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בגדרו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Times New Roman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לבתו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רקע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כתב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האישום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המתוקן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מתאר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ילידת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2013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פירוט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דוחה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מעיק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נחוץ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להבהיר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להתריע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שתחילתה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2007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וסופה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2017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להתחבר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לאתרי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אינטרנט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המכילים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תכנים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פורנוגרפיים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ופדופיליים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וליצור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דרכם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משתמשים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משתמשים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שולח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תכנים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פדופיליים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תכנים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תוכנת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Skype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סקייפ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המשמשת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קוליות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ושיחות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וידאו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האינטרנט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לגלוש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לשיתוף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אלבומי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תמונות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אלבום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שהכיל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2007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להציג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לקטינה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ולבקש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מהמשתמשים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שעמם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לשלוח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וסרטונים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בבנותיהם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2016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להציג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משתמשים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ולבקש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לשלוח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וסרטונים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בבנותיהם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בתמורה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לתמונות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וסרטונים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שישלח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ספטמבר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מעצרו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שיחותיו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בסקייפ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מלקק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ישבנה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מחדיר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אצבעותיו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ומחכך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לסיפוק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בתמורה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להעברת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תכנים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לחשבונו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Paypal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המאפשר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תשלומים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26.6.2017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יזם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וידאו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משתמש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סקייפ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המשתמש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במקביל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בתו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כשתחתוניה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מופשלים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בישבנה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4.7.2017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שוחח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משתמש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מדנמרק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הסקייפ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הפשיל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התחתונים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שישנה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במיטתה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ושידר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אונן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פישק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פלחי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ישבנה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והחדיר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חיכך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רגליה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הרטיב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והחדירהּ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וצילם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האינטימיים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בתמורה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המתוארים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שילם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דולר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ארה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חשבון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Paypal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צילם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ושידר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למשתמשים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סרטונים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צילם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מחדיר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פלחי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ישבנה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מראש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לאותנטיות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הצילום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ישבנה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הקדשה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התצלום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2003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למעצרו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2017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החזיק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במחשבו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127,000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קבצי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קבצי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וידאו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בעירום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ומלא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קיום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יחסי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קטינים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בעילת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חפצים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בקטינים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וחפצים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וקטינות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חשופות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ובבגדים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תחתונים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המצולמות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בתנוחות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החזיק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מכשיר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הסלולר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אפליקציה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מוגנת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בסיסמה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17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סרטונים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403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שצילם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לחצאיותיהן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ידיעתן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2014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אחסן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1,152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וסרטים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פדופיליים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Dropbox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המאפשר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אחסון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אינטרנטי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ובחינם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קבצים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החזיק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1,430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קבצים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האלקטרוני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קבצים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2,400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קבצים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נשמרו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האלקטרוני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הנכנס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השלישי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במועדים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2015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לחצאיותיהן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במקומות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ציבוריים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ידיעתן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התמונות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במכשיר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הסלולר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אפליקציה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מוגנת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בסיסמה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ופרסם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אינטרנט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פורסמו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הרביעי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ההתקשרויות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המתוארות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משתמשים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להציג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כוזב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מרציאנו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חשבון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Paypal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באמצעותו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תשלומים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כמתואר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תעודת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הזהות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וכרטיס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האשראי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מרציאנו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9.7.2017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ארוכה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2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347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345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hyperlink r:id="rId24"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345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2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1977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החוק</w:t>
      </w:r>
      <w:r>
        <w:rPr>
          <w:rFonts w:cs="FrankRuehl" w:ascii="Century" w:hAnsi="Century"/>
          <w:spacing w:val="10"/>
          <w:szCs w:val="28"/>
          <w:rtl w:val="true"/>
        </w:rPr>
        <w:t xml:space="preserve">)); </w:t>
      </w:r>
      <w:r>
        <w:rPr>
          <w:rFonts w:ascii="Century" w:hAnsi="Century" w:cs="FrankRuehl"/>
          <w:spacing w:val="10"/>
          <w:szCs w:val="28"/>
          <w:rtl w:val="true"/>
        </w:rPr>
        <w:t>סחר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2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377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6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hyperlink r:id="rId27"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377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7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2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351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ג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348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345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hyperlink r:id="rId31"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345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שידול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3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348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345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ובצרוף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30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לעשיית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פרסום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תועבה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3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214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214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פרסום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תועבה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3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214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214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החזקת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פרסום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תועבה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3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214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4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348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ג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הטרדה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4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4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למניעת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הטרדה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מינית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התשנ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1998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והתחזות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4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441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שנתגלעה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למשמעותם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שבביצועם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להאריך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</w:t>
      </w:r>
      <w:r>
        <w:rPr>
          <w:rFonts w:ascii="Century" w:hAnsi="Century" w:cs="FrankRuehl"/>
          <w:spacing w:val="10"/>
          <w:szCs w:val="28"/>
          <w:rtl w:val="true"/>
        </w:rPr>
        <w:t>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מושלמת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שידול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אינוס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26.6.2017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ההזדמנויות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תועבה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ממשתמשים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Miriam"/>
          <w:b/>
          <w:b/>
          <w:rtl w:val="true"/>
        </w:rPr>
        <w:t>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לשידול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המתוקן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החומרים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נוצרו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ונשלחו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תיקון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גזר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המחוזי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מסוכנות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שהוגשה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הוערכה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מסוכנותו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כגבוהה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מהתסקיר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נורמטיבי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לחשיפת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נחשף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בהדרגה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לתכנים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פדופיליים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בעשור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כמפלט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ממציאות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כלכלית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גרושתו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לבחינה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מרוכז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בשיפור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לטיפול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הומלץ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מוחשית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משמעותית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ומרתיעה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בפנותו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חלוקתן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ניתח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בפירוט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המפריד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ביניהם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שבביצוען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שבאישומים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השני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</w:t>
      </w:r>
      <w:r>
        <w:rPr>
          <w:rFonts w:ascii="Century" w:hAnsi="Century" w:cs="Miriam"/>
          <w:b/>
          <w:b/>
          <w:rtl w:val="true"/>
        </w:rPr>
        <w:t>רביעי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עברייני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השלישי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נפרד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מהאירועים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ביוזמת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לעתים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לתיעוד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בקטינות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והיקפם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הודגשה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החריגה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בחומרים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בגופה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כבודה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פרטיותה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וחירותה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במשפחתו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בילדות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עודד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מנגד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יודעת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שתגלה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בעתיד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FrankRuehl"/>
          <w:spacing w:val="10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גילוי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הנהוגה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בהעדרם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במובהק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לנסיבותיו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20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בפנותו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להעדרו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פלילי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תפקודו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הנורמטיבי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להתגלות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הפרשה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והחרטה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שהביע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הרפואי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והחיסכון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שיפוטי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שבעקבותיה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שיתוף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לשינוי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ילדיו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ושמירת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הטלפוני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ילדיו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המלצת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גורמי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הטיפול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כאילו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לחומרה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נשקלו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מסוכנותו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הגבוהה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ההמלצה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השלילית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והצורך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הציבור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המעוגן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4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40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חויב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Times New Roman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מכאן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המופנה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בלבד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טענות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הצדדים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בערעור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לשיטת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ניכרת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מהנהוג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לנסיבותיו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להעדרו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פלילי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להיותו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נורמטיבי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וללקיחת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בתחתית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המתחם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28.7.2019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לעיוננו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נמסר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הסוהר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מוטיבציה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להשתלב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בטיפול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נמסר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השתתף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</w:t>
      </w:r>
      <w:r>
        <w:rPr>
          <w:rFonts w:ascii="Century" w:hAnsi="Century" w:cs="FrankRuehl"/>
          <w:spacing w:val="10"/>
          <w:szCs w:val="28"/>
          <w:rtl w:val="true"/>
        </w:rPr>
        <w:t>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קבוצות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טיפוליות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ראשוניות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וכלליות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נבדק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מסוכנותו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המינית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שתתקבל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ההערכה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תיבדק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התאמתו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לתוכנית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נמסרה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המלצה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1.8.2019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והדגיש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</w:t>
      </w:r>
      <w:r>
        <w:rPr>
          <w:rFonts w:ascii="Century" w:hAnsi="Century" w:cs="FrankRuehl"/>
          <w:spacing w:val="10"/>
          <w:szCs w:val="28"/>
          <w:rtl w:val="true"/>
        </w:rPr>
        <w:t>ריגה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המתקיימת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לשיטתו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הנהוגה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שהוצגה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ושבגדריה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נגזרו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נופלים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בחומרתם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יודעת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המבחינה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לדידה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יתדותיה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חומרה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נובעת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יזום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בתמורה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בשיטתיות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גדול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מתעצמת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בעצמו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בבנותיהם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עבורו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דיון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שנדרשנו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</w:t>
      </w:r>
      <w:r>
        <w:rPr>
          <w:rFonts w:ascii="Century" w:hAnsi="Century" w:cs="FrankRuehl"/>
          <w:spacing w:val="10"/>
          <w:szCs w:val="28"/>
          <w:rtl w:val="true"/>
        </w:rPr>
        <w:t>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כידוע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שהשיתה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ascii="Century" w:hAnsi="Century" w:cs="FrankRuehl"/>
          <w:spacing w:val="10"/>
          <w:szCs w:val="28"/>
          <w:rtl w:val="true"/>
        </w:rPr>
        <w:t>ֵעשה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חריגים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4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3091/08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 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טרייגר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29.1.2009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שיבואר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היקפם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מהנהוג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ומהראוי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13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המסכת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המתוארת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מעיקה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רצופה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פלצות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שציינתי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ידועה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שבפגיעות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בקטינים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בתוככי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המשפחתי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והצורך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לנהוג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ולהחמיר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כחומרתם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4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9652/17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23.7.2019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נכתב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והחומרה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במשפחה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הצידוק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להחמיר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מבצעיהן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טמ</w:t>
      </w:r>
      <w:r>
        <w:rPr>
          <w:rFonts w:ascii="Century" w:hAnsi="Century" w:cs="FrankRuehl"/>
          <w:spacing w:val="10"/>
          <w:szCs w:val="28"/>
          <w:rtl w:val="true"/>
        </w:rPr>
        <w:t>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במחשכים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דל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והנה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לעתים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פינותיה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האפלות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המרשתת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ונזקים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במיוחד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</w:t>
      </w:r>
      <w:r>
        <w:rPr>
          <w:rFonts w:ascii="Century" w:hAnsi="Century" w:cs="FrankRuehl"/>
          <w:spacing w:val="10"/>
          <w:szCs w:val="28"/>
          <w:rtl w:val="true"/>
        </w:rPr>
        <w:t>ריע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ולהרתיע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והניצול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בערוצים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בלימת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תעשיה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מחרידה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הסנגור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המלומד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לפסיקה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הוחמר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המידה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לנהוג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לענייננו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המתנשא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שהובאה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בחומרתו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בהיקפו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ובכיעורו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הנראה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החמורים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שהגיעו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לפתחו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השוו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4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2375/15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22.2.2018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4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1269/15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23.12.2015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עניין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הצעירה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לסיפוק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יצריו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ויצריהם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כמעין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מקבילית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ניצול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מעוותת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בגדריה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נסחרים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כבודן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ופרטיותן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צעירות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חפץ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שנועדו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עליהן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שציי</w:t>
      </w:r>
      <w:r>
        <w:rPr>
          <w:rFonts w:ascii="Century" w:hAnsi="Century" w:cs="FrankRuehl"/>
          <w:spacing w:val="10"/>
          <w:szCs w:val="28"/>
          <w:rtl w:val="true"/>
        </w:rPr>
        <w:t>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הסנגור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המלומד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נבדל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מחלקם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ולמרבה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המזל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זהו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ונקווה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דרכם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ידיעתה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שהופץ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במרשתת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לרוב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להגבלה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ולמחיקה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בצינורות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ושעודנו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מרחף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תלמד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אביה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חוסר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המודעות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הקורבן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לכך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שצולם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ולשימוש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שנעשה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בתמונותיו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אינו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מקהה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אופיים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המגונה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המעשים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4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9603/09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27.9.2011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נשכח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פרטיותן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וצנעתן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והפיץ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ארוך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כורח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המציאות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לחברַי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48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480"/>
        <w:ind w:end="0"/>
        <w:jc w:val="both"/>
        <w:rPr>
          <w:rFonts w:ascii="Century" w:hAnsi="Century" w:cs="Miriam"/>
          <w:spacing w:val="10"/>
          <w:sz w:val="24"/>
        </w:rPr>
      </w:pPr>
      <w:r>
        <w:rPr>
          <w:rFonts w:ascii="Century" w:hAnsi="Century" w:cs="Miriam"/>
          <w:spacing w:val="10"/>
          <w:sz w:val="24"/>
          <w:sz w:val="24"/>
          <w:u w:val="single"/>
          <w:rtl w:val="true"/>
        </w:rPr>
        <w:t>השופ</w:t>
      </w:r>
      <w:r>
        <w:rPr>
          <w:rFonts w:ascii="Century" w:hAnsi="Century" w:cs="Miriam"/>
          <w:spacing w:val="10"/>
          <w:sz w:val="24"/>
          <w:sz w:val="24"/>
          <w:u w:val="single"/>
          <w:rtl w:val="true"/>
        </w:rPr>
        <w:t>טת</w:t>
      </w:r>
      <w:r>
        <w:rPr>
          <w:rFonts w:ascii="Century" w:hAnsi="Century" w:eastAsia="Century" w:cs="Century"/>
          <w:spacing w:val="10"/>
          <w:sz w:val="24"/>
          <w:sz w:val="24"/>
          <w:u w:val="single"/>
          <w:rtl w:val="true"/>
        </w:rPr>
        <w:t xml:space="preserve"> </w:t>
      </w:r>
      <w:r>
        <w:rPr>
          <w:rFonts w:ascii="Century" w:hAnsi="Century" w:cs="Miriam"/>
          <w:spacing w:val="10"/>
          <w:sz w:val="24"/>
          <w:sz w:val="24"/>
          <w:u w:val="single"/>
          <w:rtl w:val="true"/>
        </w:rPr>
        <w:t>ע</w:t>
      </w:r>
      <w:r>
        <w:rPr>
          <w:rFonts w:cs="Miriam" w:ascii="Century" w:hAnsi="Century"/>
          <w:spacing w:val="10"/>
          <w:sz w:val="24"/>
          <w:u w:val="single"/>
          <w:rtl w:val="true"/>
        </w:rPr>
        <w:t xml:space="preserve">' </w:t>
      </w:r>
      <w:r>
        <w:rPr>
          <w:rFonts w:ascii="Century" w:hAnsi="Century" w:cs="Miriam"/>
          <w:spacing w:val="10"/>
          <w:sz w:val="24"/>
          <w:sz w:val="24"/>
          <w:u w:val="single"/>
          <w:rtl w:val="true"/>
        </w:rPr>
        <w:t>ברון</w:t>
      </w:r>
      <w:r>
        <w:rPr>
          <w:rFonts w:cs="Miriam" w:ascii="Century" w:hAnsi="Century"/>
          <w:spacing w:val="10"/>
          <w:sz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 ת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Miriam"/>
          <w:spacing w:val="10"/>
          <w:sz w:val="24"/>
        </w:rPr>
      </w:pPr>
      <w:r>
        <w:rPr>
          <w:rFonts w:ascii="Century" w:hAnsi="Century" w:cs="Miriam"/>
          <w:spacing w:val="10"/>
          <w:sz w:val="24"/>
          <w:sz w:val="24"/>
          <w:u w:val="single"/>
          <w:rtl w:val="true"/>
        </w:rPr>
        <w:t>השופ</w:t>
      </w:r>
      <w:r>
        <w:rPr>
          <w:rFonts w:ascii="Century" w:hAnsi="Century" w:cs="Miriam"/>
          <w:spacing w:val="10"/>
          <w:sz w:val="24"/>
          <w:sz w:val="24"/>
          <w:u w:val="single"/>
          <w:rtl w:val="true"/>
        </w:rPr>
        <w:t>ט</w:t>
      </w:r>
      <w:r>
        <w:rPr>
          <w:rFonts w:ascii="Century" w:hAnsi="Century" w:eastAsia="Century" w:cs="Century"/>
          <w:spacing w:val="10"/>
          <w:sz w:val="24"/>
          <w:sz w:val="24"/>
          <w:u w:val="single"/>
          <w:rtl w:val="true"/>
        </w:rPr>
        <w:t xml:space="preserve"> </w:t>
      </w:r>
      <w:r>
        <w:rPr>
          <w:rFonts w:ascii="Century" w:hAnsi="Century" w:cs="Miriam"/>
          <w:spacing w:val="10"/>
          <w:sz w:val="24"/>
          <w:sz w:val="24"/>
          <w:u w:val="single"/>
          <w:rtl w:val="true"/>
        </w:rPr>
        <w:t>א</w:t>
      </w:r>
      <w:r>
        <w:rPr>
          <w:rFonts w:cs="Miriam" w:ascii="Century" w:hAnsi="Century"/>
          <w:spacing w:val="10"/>
          <w:sz w:val="24"/>
          <w:u w:val="single"/>
          <w:rtl w:val="true"/>
        </w:rPr>
        <w:t xml:space="preserve">' </w:t>
      </w:r>
      <w:r>
        <w:rPr>
          <w:rFonts w:ascii="Century" w:hAnsi="Century" w:cs="Miriam"/>
          <w:spacing w:val="10"/>
          <w:sz w:val="24"/>
          <w:sz w:val="24"/>
          <w:u w:val="single"/>
          <w:rtl w:val="true"/>
        </w:rPr>
        <w:t>שטיין</w:t>
      </w:r>
      <w:r>
        <w:rPr>
          <w:rFonts w:cs="Miriam" w:ascii="Century" w:hAnsi="Century"/>
          <w:spacing w:val="10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Miriam"/>
          <w:spacing w:val="10"/>
          <w:sz w:val="24"/>
        </w:rPr>
      </w:pPr>
      <w:r>
        <w:rPr>
          <w:rFonts w:cs="Miriam" w:ascii="Century" w:hAnsi="Century"/>
          <w:spacing w:val="10"/>
          <w:sz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spacing w:lineRule="auto" w:line="48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סולברג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באב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4.8.2019</w:t>
      </w:r>
      <w:r>
        <w:rPr>
          <w:rtl w:val="true"/>
        </w:rPr>
        <w:t xml:space="preserve">). </w:t>
      </w:r>
      <w:bookmarkEnd w:id="17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18086030</w:t>
      </w:r>
      <w:r>
        <w:rPr>
          <w:sz w:val="16"/>
          <w:rtl w:val="true"/>
        </w:rPr>
        <w:t>_</w:t>
      </w:r>
      <w:r>
        <w:rPr>
          <w:sz w:val="16"/>
        </w:rPr>
        <w:t>O01.docx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0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54678313-8603/18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2"/>
      <w:footerReference w:type="default" r:id="rId5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8603/18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91002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0" TargetMode="External"/><Relationship Id="rId5" Type="http://schemas.openxmlformats.org/officeDocument/2006/relationships/hyperlink" Target="http://www.nevo.co.il/law/70301/40e" TargetMode="External"/><Relationship Id="rId6" Type="http://schemas.openxmlformats.org/officeDocument/2006/relationships/hyperlink" Target="http://www.nevo.co.il/law/70301/214.b" TargetMode="External"/><Relationship Id="rId7" Type="http://schemas.openxmlformats.org/officeDocument/2006/relationships/hyperlink" Target="http://www.nevo.co.il/law/70301/214.b1" TargetMode="External"/><Relationship Id="rId8" Type="http://schemas.openxmlformats.org/officeDocument/2006/relationships/hyperlink" Target="http://www.nevo.co.il/law/70301/214.b2" TargetMode="External"/><Relationship Id="rId9" Type="http://schemas.openxmlformats.org/officeDocument/2006/relationships/hyperlink" Target="http://www.nevo.co.il/law/70301/214.b3" TargetMode="External"/><Relationship Id="rId10" Type="http://schemas.openxmlformats.org/officeDocument/2006/relationships/hyperlink" Target="http://www.nevo.co.il/law/70301/345.a.3" TargetMode="External"/><Relationship Id="rId11" Type="http://schemas.openxmlformats.org/officeDocument/2006/relationships/hyperlink" Target="http://www.nevo.co.il/law/70301/345.a.4" TargetMode="External"/><Relationship Id="rId12" Type="http://schemas.openxmlformats.org/officeDocument/2006/relationships/hyperlink" Target="http://www.nevo.co.il/law/70301/347.b" TargetMode="External"/><Relationship Id="rId13" Type="http://schemas.openxmlformats.org/officeDocument/2006/relationships/hyperlink" Target="http://www.nevo.co.il/law/70301/348.a" TargetMode="External"/><Relationship Id="rId14" Type="http://schemas.openxmlformats.org/officeDocument/2006/relationships/hyperlink" Target="http://www.nevo.co.il/law/70301/348.c" TargetMode="External"/><Relationship Id="rId15" Type="http://schemas.openxmlformats.org/officeDocument/2006/relationships/hyperlink" Target="http://www.nevo.co.il/law/70301/351.c.1" TargetMode="External"/><Relationship Id="rId16" Type="http://schemas.openxmlformats.org/officeDocument/2006/relationships/hyperlink" Target="http://www.nevo.co.il/law/70301/377a.a.6" TargetMode="External"/><Relationship Id="rId17" Type="http://schemas.openxmlformats.org/officeDocument/2006/relationships/hyperlink" Target="http://www.nevo.co.il/law/70301/377a.a.7" TargetMode="External"/><Relationship Id="rId18" Type="http://schemas.openxmlformats.org/officeDocument/2006/relationships/hyperlink" Target="http://www.nevo.co.il/law/70301/441" TargetMode="External"/><Relationship Id="rId19" Type="http://schemas.openxmlformats.org/officeDocument/2006/relationships/hyperlink" Target="http://www.nevo.co.il/law/72507" TargetMode="External"/><Relationship Id="rId20" Type="http://schemas.openxmlformats.org/officeDocument/2006/relationships/hyperlink" Target="http://www.nevo.co.il/law/72507/3.a.5a" TargetMode="External"/><Relationship Id="rId21" Type="http://schemas.openxmlformats.org/officeDocument/2006/relationships/hyperlink" Target="http://www.nevo.co.il/case/22910023" TargetMode="External"/><Relationship Id="rId22" Type="http://schemas.openxmlformats.org/officeDocument/2006/relationships/hyperlink" Target="http://www.nevo.co.il/law/70301/347.b" TargetMode="External"/><Relationship Id="rId23" Type="http://schemas.openxmlformats.org/officeDocument/2006/relationships/hyperlink" Target="http://www.nevo.co.il/law/70301/345.a.3" TargetMode="External"/><Relationship Id="rId24" Type="http://schemas.openxmlformats.org/officeDocument/2006/relationships/hyperlink" Target="http://www.nevo.co.il/law/70301/345.a.4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377a.a.6" TargetMode="External"/><Relationship Id="rId27" Type="http://schemas.openxmlformats.org/officeDocument/2006/relationships/hyperlink" Target="http://www.nevo.co.il/law/70301/377a.a.7" TargetMode="External"/><Relationship Id="rId28" Type="http://schemas.openxmlformats.org/officeDocument/2006/relationships/hyperlink" Target="http://www.nevo.co.il/law/70301/351.c.1" TargetMode="External"/><Relationship Id="rId29" Type="http://schemas.openxmlformats.org/officeDocument/2006/relationships/hyperlink" Target="http://www.nevo.co.il/law/70301/348.a" TargetMode="External"/><Relationship Id="rId30" Type="http://schemas.openxmlformats.org/officeDocument/2006/relationships/hyperlink" Target="http://www.nevo.co.il/law/70301/345.a.3" TargetMode="External"/><Relationship Id="rId31" Type="http://schemas.openxmlformats.org/officeDocument/2006/relationships/hyperlink" Target="http://www.nevo.co.il/law/70301/345.a.4" TargetMode="External"/><Relationship Id="rId32" Type="http://schemas.openxmlformats.org/officeDocument/2006/relationships/hyperlink" Target="http://www.nevo.co.il/law/70301/348.a" TargetMode="External"/><Relationship Id="rId33" Type="http://schemas.openxmlformats.org/officeDocument/2006/relationships/hyperlink" Target="http://www.nevo.co.il/law/70301/345.a.3" TargetMode="External"/><Relationship Id="rId34" Type="http://schemas.openxmlformats.org/officeDocument/2006/relationships/hyperlink" Target="http://www.nevo.co.il/law/70301/30" TargetMode="External"/><Relationship Id="rId35" Type="http://schemas.openxmlformats.org/officeDocument/2006/relationships/hyperlink" Target="http://www.nevo.co.il/law/70301/214.b2" TargetMode="External"/><Relationship Id="rId36" Type="http://schemas.openxmlformats.org/officeDocument/2006/relationships/hyperlink" Target="http://www.nevo.co.il/law/70301/214.b1" TargetMode="External"/><Relationship Id="rId37" Type="http://schemas.openxmlformats.org/officeDocument/2006/relationships/hyperlink" Target="http://www.nevo.co.il/law/70301/214.b2" TargetMode="External"/><Relationship Id="rId38" Type="http://schemas.openxmlformats.org/officeDocument/2006/relationships/hyperlink" Target="http://www.nevo.co.il/law/70301/214.b" TargetMode="External"/><Relationship Id="rId39" Type="http://schemas.openxmlformats.org/officeDocument/2006/relationships/hyperlink" Target="http://www.nevo.co.il/law/70301/214.b3" TargetMode="External"/><Relationship Id="rId40" Type="http://schemas.openxmlformats.org/officeDocument/2006/relationships/hyperlink" Target="http://www.nevo.co.il/law/70301/348.c" TargetMode="External"/><Relationship Id="rId41" Type="http://schemas.openxmlformats.org/officeDocument/2006/relationships/hyperlink" Target="http://www.nevo.co.il/law/72507/3.a.5a" TargetMode="External"/><Relationship Id="rId42" Type="http://schemas.openxmlformats.org/officeDocument/2006/relationships/hyperlink" Target="http://www.nevo.co.il/law/72507" TargetMode="External"/><Relationship Id="rId43" Type="http://schemas.openxmlformats.org/officeDocument/2006/relationships/hyperlink" Target="http://www.nevo.co.il/law/70301/441" TargetMode="External"/><Relationship Id="rId44" Type="http://schemas.openxmlformats.org/officeDocument/2006/relationships/hyperlink" Target="http://www.nevo.co.il/law/70301/40e" TargetMode="External"/><Relationship Id="rId45" Type="http://schemas.openxmlformats.org/officeDocument/2006/relationships/hyperlink" Target="http://www.nevo.co.il/case/5875466" TargetMode="External"/><Relationship Id="rId46" Type="http://schemas.openxmlformats.org/officeDocument/2006/relationships/hyperlink" Target="http://www.nevo.co.il/case/23751264" TargetMode="External"/><Relationship Id="rId47" Type="http://schemas.openxmlformats.org/officeDocument/2006/relationships/hyperlink" Target="http://www.nevo.co.il/case/20832658" TargetMode="External"/><Relationship Id="rId48" Type="http://schemas.openxmlformats.org/officeDocument/2006/relationships/hyperlink" Target="http://www.nevo.co.il/case/20821604" TargetMode="External"/><Relationship Id="rId49" Type="http://schemas.openxmlformats.org/officeDocument/2006/relationships/hyperlink" Target="http://www.nevo.co.il/case/6249234" TargetMode="External"/><Relationship Id="rId50" Type="http://schemas.openxmlformats.org/officeDocument/2006/relationships/hyperlink" Target="http://supreme.court.gov.il/" TargetMode="External"/><Relationship Id="rId51" Type="http://schemas.openxmlformats.org/officeDocument/2006/relationships/hyperlink" Target="http://www.nevo.co.il/advertisements/nevo-100.doc" TargetMode="External"/><Relationship Id="rId52" Type="http://schemas.openxmlformats.org/officeDocument/2006/relationships/header" Target="header1.xml"/><Relationship Id="rId53" Type="http://schemas.openxmlformats.org/officeDocument/2006/relationships/footer" Target="footer1.xml"/><Relationship Id="rId54" Type="http://schemas.openxmlformats.org/officeDocument/2006/relationships/fontTable" Target="fontTable.xml"/><Relationship Id="rId55" Type="http://schemas.openxmlformats.org/officeDocument/2006/relationships/settings" Target="settings.xml"/><Relationship Id="rId5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2019-08-05T08:58:00Z</dcterms:created>
  <dc:creator>h4</dc:creator>
  <dc:description/>
  <cp:keywords/>
  <dc:language>en-IL</dc:language>
  <cp:lastModifiedBy>orly</cp:lastModifiedBy>
  <cp:lastPrinted>2019-08-04T11:47:00Z</cp:lastPrinted>
  <dcterms:modified xsi:type="dcterms:W3CDTF">2019-08-05T08:58:00Z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22910023:2;5875466;23751264;20832658;20821604;6249234</vt:lpwstr>
  </property>
  <property fmtid="{D5CDD505-2E9C-101B-9397-08002B2CF9AE}" pid="9" name="CITY">
    <vt:lpwstr/>
  </property>
  <property fmtid="{D5CDD505-2E9C-101B-9397-08002B2CF9AE}" pid="10" name="DATE">
    <vt:lpwstr>20190804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סולברג;ע' ברון;א' שטיין</vt:lpwstr>
  </property>
  <property fmtid="{D5CDD505-2E9C-101B-9397-08002B2CF9AE}" pid="14" name="LAWLISTTMP1">
    <vt:lpwstr>70301/347.b;345.a.3:3;345.a.4:2;377a.a.6;377a.a.7;351.c.1;348.a:2;030;214.b2:2;214.b1;214.b;214.b3;348.c;441;040e</vt:lpwstr>
  </property>
  <property fmtid="{D5CDD505-2E9C-101B-9397-08002B2CF9AE}" pid="15" name="LAWLISTTMP2">
    <vt:lpwstr>72507/003.a.5a</vt:lpwstr>
  </property>
  <property fmtid="{D5CDD505-2E9C-101B-9397-08002B2CF9AE}" pid="16" name="LAWYER">
    <vt:lpwstr>עילית מידן;עדי כרמלי;ארז שלוש;ברכה וייס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דיון פלילי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77;77;18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ערעור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1446;1446;504</vt:lpwstr>
  </property>
  <property fmtid="{D5CDD505-2E9C-101B-9397-08002B2CF9AE}" pid="49" name="NOSE31">
    <vt:lpwstr>עבירות מין במשפחה</vt:lpwstr>
  </property>
  <property fmtid="{D5CDD505-2E9C-101B-9397-08002B2CF9AE}" pid="50" name="NOSE310">
    <vt:lpwstr/>
  </property>
  <property fmtid="{D5CDD505-2E9C-101B-9397-08002B2CF9AE}" pid="51" name="NOSE32">
    <vt:lpwstr>עבירות מין בקטינים</vt:lpwstr>
  </property>
  <property fmtid="{D5CDD505-2E9C-101B-9397-08002B2CF9AE}" pid="52" name="NOSE33">
    <vt:lpwstr>עונש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16876;16832;3864</vt:lpwstr>
  </property>
  <property fmtid="{D5CDD505-2E9C-101B-9397-08002B2CF9AE}" pid="60" name="PADIDATE">
    <vt:lpwstr>20190805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8603</vt:lpwstr>
  </property>
  <property fmtid="{D5CDD505-2E9C-101B-9397-08002B2CF9AE}" pid="66" name="PROCYEAR">
    <vt:lpwstr>18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410120190804</vt:lpwstr>
  </property>
  <property fmtid="{D5CDD505-2E9C-101B-9397-08002B2CF9AE}" pid="70" name="TYPE_N_DATE">
    <vt:lpwstr>41020190804</vt:lpwstr>
  </property>
  <property fmtid="{D5CDD505-2E9C-101B-9397-08002B2CF9AE}" pid="71" name="VOLUME">
    <vt:lpwstr/>
  </property>
  <property fmtid="{D5CDD505-2E9C-101B-9397-08002B2CF9AE}" pid="72" name="WORDNUMPAGES">
    <vt:lpwstr>9</vt:lpwstr>
  </property>
</Properties>
</file>