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8614/17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הנשיאה</w:t>
            </w:r>
            <w:r>
              <w:rPr>
                <w:rFonts w:cs="Times New Roman;Times New Roman"/>
                <w:rtl w:val="true"/>
              </w:rPr>
              <w:t xml:space="preserve"> </w:t>
            </w:r>
            <w:r>
              <w:rPr>
                <w:rtl w:val="true"/>
              </w:rPr>
              <w:t>א</w:t>
            </w:r>
            <w:r>
              <w:rPr>
                <w:rtl w:val="true"/>
              </w:rPr>
              <w:t xml:space="preserve">' </w:t>
            </w:r>
            <w:r>
              <w:rPr>
                <w:rtl w:val="true"/>
              </w:rPr>
              <w:t>חיות</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המשנה</w:t>
            </w:r>
            <w:r>
              <w:rPr>
                <w:rFonts w:cs="Times New Roman;Times New Roman"/>
                <w:rtl w:val="true"/>
              </w:rPr>
              <w:t xml:space="preserve"> </w:t>
            </w:r>
            <w:r>
              <w:rPr>
                <w:rtl w:val="true"/>
              </w:rPr>
              <w:t>לנשיאה</w:t>
            </w:r>
            <w:r>
              <w:rPr>
                <w:rFonts w:cs="Times New Roman;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ascii="David;Times New Roman" w:hAnsi="David;Times New Roman"/>
                <w:rtl w:val="true"/>
              </w:rPr>
              <w:t>ה</w:t>
            </w:r>
            <w:r>
              <w:rPr>
                <w:rFonts w:cs="David;Times New Roman" w:ascii="David;Times New Roman" w:hAnsi="David;Times New Roman"/>
                <w:rtl w:val="true"/>
              </w:rPr>
              <w:t>:</w:t>
            </w:r>
          </w:p>
        </w:tc>
        <w:tc>
          <w:tcPr>
            <w:tcW w:w="5154"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rFonts w:ascii="Century" w:hAnsi="Century" w:cs="Miriam"/>
                <w:b/>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19.</w:t>
            </w:r>
            <w:r>
              <w:rPr>
                <w:sz w:val="24"/>
                <w:szCs w:val="24"/>
              </w:rPr>
              <w:t>9</w:t>
            </w:r>
            <w:r>
              <w:rPr>
                <w:sz w:val="24"/>
                <w:szCs w:val="24"/>
              </w:rPr>
              <w:t>.2017</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Times New Roman"/>
                  <w:color w:val="0000FF"/>
                  <w:sz w:val="24"/>
                  <w:sz w:val="24"/>
                  <w:szCs w:val="24"/>
                  <w:u w:val="single"/>
                  <w:rtl w:val="true"/>
                </w:rPr>
                <w:t xml:space="preserve"> </w:t>
              </w:r>
              <w:r>
                <w:rPr>
                  <w:rStyle w:val="Hyperlink"/>
                  <w:color w:val="0000FF"/>
                  <w:sz w:val="24"/>
                  <w:szCs w:val="24"/>
                  <w:u w:val="single"/>
                </w:rPr>
                <w:t>13168-12-16</w:t>
              </w:r>
            </w:hyperlink>
            <w:r>
              <w:rPr>
                <w:sz w:val="24"/>
                <w:szCs w:val="24"/>
                <w:rtl w:val="true"/>
              </w:rPr>
              <w:t xml:space="preserve"> </w:t>
            </w:r>
            <w:r>
              <w:rPr>
                <w:szCs w:val="24"/>
                <w:rtl w:val="true"/>
              </w:rPr>
              <w:t>[</w:t>
            </w:r>
            <w:r>
              <w:rPr>
                <w:szCs w:val="24"/>
                <w:rtl w:val="true"/>
              </w:rPr>
              <w:t>פורסם</w:t>
            </w:r>
            <w:r>
              <w:rPr>
                <w:rFonts w:cs="Times New Roman;Times New Roman"/>
                <w:szCs w:val="24"/>
                <w:rtl w:val="true"/>
              </w:rPr>
              <w:t xml:space="preserve"> </w:t>
            </w:r>
            <w:r>
              <w:rPr>
                <w:szCs w:val="24"/>
                <w:rtl w:val="true"/>
              </w:rPr>
              <w:t>בנבו</w:t>
            </w:r>
            <w:r>
              <w:rPr>
                <w:szCs w:val="24"/>
                <w:rtl w:val="true"/>
              </w:rPr>
              <w:t xml:space="preserve">] </w:t>
            </w:r>
            <w:r>
              <w:rPr>
                <w:sz w:val="24"/>
                <w:sz w:val="24"/>
                <w:szCs w:val="24"/>
                <w:rtl w:val="true"/>
              </w:rPr>
              <w:t>אשר</w:t>
            </w:r>
            <w:r>
              <w:rPr>
                <w:rFonts w:cs="Times New Roman;Times New Roman"/>
                <w:sz w:val="24"/>
                <w:sz w:val="24"/>
                <w:szCs w:val="24"/>
                <w:rtl w:val="true"/>
              </w:rPr>
              <w:t xml:space="preserve"> </w:t>
            </w:r>
            <w:r>
              <w:rPr>
                <w:sz w:val="24"/>
                <w:sz w:val="24"/>
                <w:szCs w:val="24"/>
                <w:rtl w:val="true"/>
              </w:rPr>
              <w:t>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rFonts w:ascii="Century" w:hAnsi="Century" w:cs="Miriam"/>
                <w:b/>
                <w:b/>
                <w:szCs w:val="24"/>
                <w:rtl w:val="true"/>
              </w:rPr>
              <w:t>י</w:t>
            </w:r>
            <w:r>
              <w:rPr>
                <w:rFonts w:cs="Miriam" w:ascii="Century" w:hAnsi="Century"/>
                <w:b/>
                <w:szCs w:val="24"/>
                <w:rtl w:val="true"/>
              </w:rPr>
              <w:t xml:space="preserve">' </w:t>
            </w:r>
            <w:r>
              <w:rPr>
                <w:rFonts w:ascii="Century" w:hAnsi="Century" w:cs="Miriam"/>
                <w:b/>
                <w:b/>
                <w:szCs w:val="24"/>
                <w:rtl w:val="true"/>
              </w:rPr>
              <w:t>ליפשיץ</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ט</w:t>
            </w:r>
            <w:r>
              <w:rPr>
                <w:sz w:val="24"/>
                <w:szCs w:val="24"/>
                <w:rtl w:val="true"/>
              </w:rPr>
              <w:t>"</w:t>
            </w:r>
            <w:r>
              <w:rPr>
                <w:sz w:val="24"/>
                <w:sz w:val="24"/>
                <w:szCs w:val="24"/>
                <w:rtl w:val="true"/>
              </w:rPr>
              <w:t>ו</w:t>
            </w:r>
            <w:r>
              <w:rPr>
                <w:rFonts w:cs="Times New Roman;Times New Roman"/>
                <w:sz w:val="24"/>
                <w:sz w:val="24"/>
                <w:szCs w:val="24"/>
                <w:rtl w:val="true"/>
              </w:rPr>
              <w:t xml:space="preserve"> </w:t>
            </w:r>
            <w:r>
              <w:rPr>
                <w:sz w:val="24"/>
                <w:sz w:val="24"/>
                <w:szCs w:val="24"/>
                <w:rtl w:val="true"/>
              </w:rPr>
              <w:t>בשבט</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rtl w:val="true"/>
              </w:rPr>
              <w:t xml:space="preserve">       </w:t>
            </w:r>
          </w:p>
        </w:tc>
        <w:tc>
          <w:tcPr>
            <w:tcW w:w="2710" w:type="dxa"/>
            <w:tcBorders/>
          </w:tcPr>
          <w:p>
            <w:pPr>
              <w:pStyle w:val="BodyRuller1"/>
              <w:ind w:end="0"/>
              <w:jc w:val="start"/>
              <w:rPr>
                <w:sz w:val="24"/>
                <w:szCs w:val="24"/>
              </w:rPr>
            </w:pPr>
            <w:r>
              <w:rPr>
                <w:rtl w:val="true"/>
              </w:rPr>
              <w:t>(</w:t>
            </w:r>
            <w:r>
              <w:rPr/>
              <w:t>21.1.2019</w:t>
            </w:r>
            <w:r>
              <w:rPr>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ענת</w:t>
            </w:r>
            <w:r>
              <w:rPr>
                <w:rFonts w:cs="Times New Roman;Times New Roman"/>
                <w:rtl w:val="true"/>
              </w:rPr>
              <w:t xml:space="preserve"> </w:t>
            </w:r>
            <w:r>
              <w:rPr>
                <w:rtl w:val="true"/>
              </w:rPr>
              <w:t>חולי</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Fonts w:cs="Times New Roman;Times New Roman"/>
                <w:rtl w:val="true"/>
              </w:rPr>
              <w:t xml:space="preserve"> </w:t>
            </w:r>
            <w:r>
              <w:rPr>
                <w:rtl w:val="true"/>
              </w:rPr>
              <w:t>לנוער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טל</w:t>
            </w:r>
            <w:r>
              <w:rPr>
                <w:rFonts w:cs="Times New Roman;Times New Roman"/>
                <w:rtl w:val="true"/>
              </w:rPr>
              <w:t xml:space="preserve"> </w:t>
            </w:r>
            <w:r>
              <w:rPr>
                <w:rtl w:val="true"/>
              </w:rPr>
              <w:t>אדיר</w:t>
            </w:r>
            <w:r>
              <w:rPr>
                <w:rFonts w:cs="Times New Roman;Times New Roman"/>
                <w:rtl w:val="true"/>
              </w:rPr>
              <w:t xml:space="preserve"> </w:t>
            </w:r>
            <w:r>
              <w:rPr>
                <w:rtl w:val="true"/>
              </w:rPr>
              <w:t>כהן</w:t>
            </w:r>
          </w:p>
          <w:p>
            <w:pPr>
              <w:pStyle w:val="BodyRuller1"/>
              <w:ind w:end="0"/>
              <w:jc w:val="start"/>
              <w:rPr/>
            </w:pPr>
            <w:r>
              <w:rPr>
                <w:rtl w:val="true"/>
              </w:rPr>
            </w:r>
          </w:p>
          <w:p>
            <w:pPr>
              <w:pStyle w:val="BodyRuller1"/>
              <w:ind w:end="0"/>
              <w:jc w:val="start"/>
              <w:rPr/>
            </w:pPr>
            <w:r>
              <w:rPr>
                <w:rtl w:val="true"/>
              </w:rPr>
              <w:t>גב</w:t>
            </w:r>
            <w:r>
              <w:rPr>
                <w:rtl w:val="true"/>
              </w:rPr>
              <w:t xml:space="preserve">' </w:t>
            </w:r>
            <w:r>
              <w:rPr>
                <w:rtl w:val="true"/>
              </w:rPr>
              <w:t>טל</w:t>
            </w:r>
            <w:r>
              <w:rPr>
                <w:rFonts w:cs="Times New Roman;Times New Roman"/>
                <w:rtl w:val="true"/>
              </w:rPr>
              <w:t xml:space="preserve"> </w:t>
            </w:r>
            <w:r>
              <w:rPr>
                <w:rtl w:val="true"/>
              </w:rPr>
              <w:t>סמואל</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29</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368</w:t>
        </w:r>
        <w:r>
          <w:rPr>
            <w:rStyle w:val="Hyperlink"/>
            <w:rFonts w:ascii="FrankRuehl" w:hAnsi="FrankRuehl" w:cs="FrankRuehl"/>
            <w:color w:val="0000FF"/>
            <w:sz w:val="24"/>
            <w:sz w:val="24"/>
            <w:u w:val="single"/>
            <w:rtl w:val="true"/>
          </w:rPr>
          <w:t>ו</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402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u w:val="single"/>
            <w:rtl w:val="true"/>
          </w:rPr>
          <w:t xml:space="preserve">חוק הנוער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שפיטה</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ענישה ודרכי טיפול</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
        <w:r>
          <w:rPr>
            <w:rStyle w:val="Hyperlink"/>
            <w:rFonts w:cs="FrankRuehl" w:ascii="FrankRuehl" w:hAnsi="FrankRuehl"/>
            <w:color w:val="0000FF"/>
            <w:sz w:val="24"/>
            <w:u w:val="single"/>
          </w:rPr>
          <w:t>1</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22</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24</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5" w:name="LawTable_End"/>
      <w:bookmarkStart w:id="6" w:name="LawTable_End"/>
      <w:bookmarkEnd w:id="6"/>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7" w:name="ABSTRACT_START"/>
      <w:bookmarkEnd w:id="7"/>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נדחה ערעור על חומרת העונשים שהושתו על המערער בגין הרשעתו בעבירות שוד של קשישה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אותן ביצע בהיותו קטין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נפסק כי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זה מקרה חריג המצדיק התערבות בעונש שקבעה הערכאה הדיונית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תוך עמידה על חומרתן הרבה של עבירות אלה ועל הצורך להשית ענישה מחמירה ומרתיעה בגינן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הכוללת רכיב משמעותי של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לא נפלה שגגה בשקילת הנסיבות הרלבנטיות לגזירת העונש</w:t>
      </w:r>
      <w:r>
        <w:rPr>
          <w:rFonts w:cs="Times New Roman;Times New Roman" w:ascii="Times New Roman;Times New Roman" w:hAnsi="Times New Roman;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שוד</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נגד קשישים</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התערבות ערכאת ערעור</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שיקולים</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שיקום</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המערער הורשע בבימ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בביצוע עבירות שוד ותקיפה של קשישה ועבירות נוספות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אותן ביצע בהיותו קטין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קמא גזר על המערער </w:t>
      </w:r>
      <w:r>
        <w:rPr>
          <w:rFonts w:cs="Times New Roman;Times New Roman" w:ascii="Times New Roman;Times New Roman" w:hAnsi="Times New Roman;Times New Roman"/>
          <w:spacing w:val="0"/>
          <w:sz w:val="24"/>
          <w:szCs w:val="26"/>
        </w:rPr>
        <w:t>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שנות מאסר לריצוי בפועל בגין התיק העיקרי ו</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 מאסר לריצוי בפועל בגין תיקים שצירף</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כמו כן נקבע כי יש להפעיל שלושה מאסרים מותנים לתקופה כוללת של </w:t>
      </w:r>
      <w:r>
        <w:rPr>
          <w:rFonts w:cs="Times New Roman;Times New Roman" w:ascii="Times New Roman;Times New Roman" w:hAnsi="Times New Roman;Times New Roman"/>
          <w:spacing w:val="0"/>
          <w:sz w:val="24"/>
          <w:szCs w:val="26"/>
        </w:rPr>
        <w:t>16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חודשים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שעמדו לחובתו של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אך תוך חפיפה חלקית של רכיבי המאסר כך שהמערער ירצה </w:t>
      </w:r>
      <w:r>
        <w:rPr>
          <w:rFonts w:cs="Times New Roman;Times New Roman" w:ascii="Times New Roman;Times New Roman" w:hAnsi="Times New Roman;Times New Roman"/>
          <w:spacing w:val="0"/>
          <w:sz w:val="24"/>
          <w:szCs w:val="26"/>
        </w:rPr>
        <w:t>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שנים ו</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10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חודשים בפועל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בניכוי ימי מעצרו בתיק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כמו כן נגזרו על המערער שני מאסרים מותנים ופיצוי למתלוננת בסך </w:t>
      </w:r>
      <w:r>
        <w:rPr>
          <w:rFonts w:cs="Times New Roman;Times New Roman" w:ascii="Times New Roman;Times New Roman" w:hAnsi="Times New Roman;Times New Roman"/>
          <w:spacing w:val="0"/>
          <w:sz w:val="24"/>
          <w:szCs w:val="26"/>
        </w:rPr>
        <w:t>10,000</w:t>
      </w:r>
      <w:r>
        <w:rPr>
          <w:rFonts w:cs="Times New Roman;Times New Roman" w:ascii="Times New Roman;Times New Roman" w:hAnsi="Times New Roman;Times New Roman"/>
          <w:spacing w:val="0"/>
          <w:sz w:val="24"/>
          <w:szCs w:val="26"/>
          <w:rtl w:val="true"/>
        </w:rPr>
        <w:t xml:space="preserve"> ₪. </w:t>
      </w:r>
      <w:r>
        <w:rPr>
          <w:rFonts w:ascii="Times New Roman;Times New Roman" w:hAnsi="Times New Roman;Times New Roman" w:cs="Times New Roman;Times New Roman"/>
          <w:spacing w:val="0"/>
          <w:sz w:val="24"/>
          <w:sz w:val="24"/>
          <w:szCs w:val="26"/>
          <w:rtl w:val="true"/>
        </w:rPr>
        <w:t>הערעור נסב על חומרת העונשים</w:t>
      </w:r>
      <w:r>
        <w:rPr>
          <w:rFonts w:cs="Times New Roman;Times New Roman" w:ascii="Times New Roman;Times New Roman" w:hAnsi="Times New Roman;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בית המשפט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מפי הנשיאה חיות ובהסכמת המשנה לנשיאה מלצר והשופטת ברק</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ארז</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ופסק כי</w:t>
      </w:r>
      <w:r>
        <w:rPr>
          <w:rFonts w:cs="Times New Roman;Times New Roman" w:ascii="Times New Roman;Times New Roman" w:hAnsi="Times New Roman;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ערכאת הערעור אינה מתערבת ככלל בעונש שקבעה הערכאה הדיונית אלא במקרים חריגים שבהם נפלה טעות מהותית בגזר הדין או כאשר העונש שנגזר על המערער חורג במידה משמעותית מרמת הענישה הנוהגת או הראויה במקרים דומים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המקרה דנן אינו נמנה עם אותם מקרים חריגים המצדיקים התערבות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כבר נפסק רבות אודות חומרתן הרבה של עבירות דוגמת אלה שבהן הורשע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הערכים החברתיים הנפגעים כתוצאה מביצוען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ועל הצורך לנקוט לגביהן מדיניות של ענישה מחמירה ומרתיעה הכוללת רכיב משמעותי של מאסר בפועל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יש להשית עונשים מרתיעים על שודדים הבוחרים להם לקורבנות את המבוגרים והקשישים שבחברה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פוטנציאל הנזק של העבירות בהן הורשע המערער גדול והן בוצעו בנסיבות מחמירות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מדובר במעשים קשים ואכזריים הראויים לגמול עונשי ממשי</w:t>
      </w:r>
      <w:r>
        <w:rPr>
          <w:rFonts w:cs="Times New Roman;Times New Roman" w:ascii="Times New Roman;Times New Roman" w:hAnsi="Times New Roman;Times New Roman"/>
          <w:spacing w:val="0"/>
          <w:sz w:val="24"/>
          <w:szCs w:val="26"/>
          <w:rtl w:val="true"/>
        </w:rPr>
        <w:t xml:space="preserve">. </w:t>
      </w:r>
    </w:p>
    <w:p>
      <w:pPr>
        <w:pStyle w:val="Ruller42"/>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טענת המערער כי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שגה בשקילת הנסיבות הרלבנטיות לגזירת עונשו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נדחתה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התייחס למכלול הנסיבות לקולה ולחומרה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נתן להן משקל ראוי והגיע לתוצאה אשר אף שאינה מן הקלות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אינה חורגת מרף הענישה הנוהג והראוי בנסיבות העניין במידה המצדיקה התערבות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שקל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בין היתר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את היותו של המערער קטין בעת ביצוע העבירות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את יכולותיו האינטלקטואליות הנמוכות וכן את העובדה שמידת האלימות הישירה שהופעלה כלפי המתלוננת לא הייתה ברף הגבוה משלא נעשה שימוש בנשק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אינו סובל מהפרעה נפשית חמורה אלא מהפרעת אישיות אנטי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סוציאלית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שהיא השכיחה ביותר בקרב אוכלוסיית האסירים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וגם לאדם הסובל ממנה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הרשות נתונה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מבחינת יכולת להימנע מעשיית המעשה והבנת הפסול שבמעשה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לכן מבנה אישיותו של המערער אינו יכול לשמש עילה להקלה בעונשו מעבר להקלה שכבר הקל עמו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בשל כך</w:t>
      </w:r>
      <w:r>
        <w:rPr>
          <w:rFonts w:cs="Times New Roman;Times New Roman" w:ascii="Times New Roman;Times New Roman" w:hAnsi="Times New Roman;Times New Roman"/>
          <w:spacing w:val="0"/>
          <w:sz w:val="24"/>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אין חולק כי שיקומו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והצורך לאפשר לו לשוב ולהשתלב בחברה מן הראוי שיעמדו לנגד עיני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בעת גזירת העונש</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שבמקרה דנן סבר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כי שיקולי השיקום נסוגים מפני שיקולי ענישה אחרים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במקרה זה אף נמצא כי המערער מסרב להשתתף במסגרות שיקומיות ואינו מוכן ליטול אחריות על מעשיו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בהינתן עברו הפלילי המכביד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אף קיים סיכון גבוה לביצוע עבירות נוספות על ידי המערער</w:t>
      </w:r>
      <w:r>
        <w:rPr>
          <w:rFonts w:cs="Times New Roman;Times New Roman" w:ascii="Times New Roman;Times New Roman" w:hAnsi="Times New Roman;Times New Roman"/>
          <w:spacing w:val="0"/>
          <w:szCs w:val="26"/>
          <w:rtl w:val="true"/>
        </w:rPr>
        <w:t xml:space="preserve">. </w:t>
      </w:r>
    </w:p>
    <w:p>
      <w:pPr>
        <w:pStyle w:val="Normal"/>
        <w:tabs>
          <w:tab w:val="clear" w:pos="720"/>
          <w:tab w:val="left" w:pos="2552" w:leader="none"/>
        </w:tabs>
        <w:ind w:end="0"/>
        <w:jc w:val="start"/>
        <w:rPr>
          <w:rFonts w:ascii="Times New Roman;Times New Roman" w:hAnsi="Times New Roman;Times New Roman" w:cs="Times New Roman;Times New Roman"/>
          <w:spacing w:val="0"/>
          <w:szCs w:val="26"/>
        </w:rPr>
      </w:pPr>
      <w:r>
        <w:rPr>
          <w:rFonts w:cs="Times New Roman;Times New Roman"/>
          <w:spacing w:val="0"/>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הנשיאה</w:t>
      </w:r>
      <w:r>
        <w:rPr>
          <w:rFonts w:cs="Times New Roman;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חיות</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2"/>
        <w:ind w:end="0"/>
        <w:jc w:val="both"/>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שגזר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בחיפה</w:t>
      </w:r>
      <w:r>
        <w:rPr>
          <w:rFonts w:eastAsia="Arial TUR;Arial" w:cs="Arial TUR;Arial"/>
          <w:rtl w:val="true"/>
        </w:rPr>
        <w:t xml:space="preserve"> </w:t>
      </w:r>
      <w:r>
        <w:rPr>
          <w:rtl w:val="true"/>
        </w:rPr>
        <w:t>(</w:t>
      </w:r>
      <w:r>
        <w:rPr>
          <w:rtl w:val="true"/>
        </w:rPr>
        <w:t>כבוד</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ליפשיץ</w:t>
      </w:r>
      <w:r>
        <w:rPr>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ביום</w:t>
      </w:r>
      <w:r>
        <w:rPr>
          <w:rFonts w:eastAsia="Arial TUR;Arial" w:cs="Arial TUR;Arial"/>
          <w:rtl w:val="true"/>
        </w:rPr>
        <w:t xml:space="preserve"> </w:t>
      </w:r>
      <w:r>
        <w:rPr/>
        <w:t>19.9.2017</w:t>
      </w:r>
      <w:r>
        <w:rPr>
          <w:rtl w:val="true"/>
        </w:rPr>
        <w:t xml:space="preserve"> </w:t>
      </w:r>
      <w:r>
        <w:rPr>
          <w:rtl w:val="true"/>
        </w:rPr>
        <w:t>ב</w:t>
      </w:r>
      <w:hyperlink r:id="rId1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13168-12-16</w:t>
        </w:r>
      </w:hyperlink>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בעקבות</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שוד</w:t>
      </w:r>
      <w:r>
        <w:rPr>
          <w:rFonts w:eastAsia="Arial TUR;Arial" w:cs="Arial TUR;Arial"/>
          <w:rtl w:val="true"/>
        </w:rPr>
        <w:t xml:space="preserve"> </w:t>
      </w:r>
      <w:r>
        <w:rPr>
          <w:rtl w:val="true"/>
        </w:rPr>
        <w:t>ותקיפה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קשישה</w:t>
      </w:r>
      <w:r>
        <w:rPr>
          <w:rFonts w:eastAsia="Arial TUR;Arial" w:cs="Arial TUR;Arial"/>
          <w:rtl w:val="true"/>
        </w:rPr>
        <w:t xml:space="preserve"> </w:t>
      </w:r>
      <w:r>
        <w:rPr>
          <w:rtl w:val="true"/>
        </w:rPr>
        <w:t>ועבירות</w:t>
      </w:r>
      <w:r>
        <w:rPr>
          <w:rFonts w:eastAsia="Arial TUR;Arial" w:cs="Arial TUR;Arial"/>
          <w:rtl w:val="true"/>
        </w:rPr>
        <w:t xml:space="preserve"> </w:t>
      </w:r>
      <w:r>
        <w:rPr>
          <w:rtl w:val="true"/>
        </w:rPr>
        <w:t>נוספות</w:t>
      </w:r>
      <w:r>
        <w:rPr>
          <w:rtl w:val="true"/>
        </w:rPr>
        <w:t>.</w:t>
      </w:r>
    </w:p>
    <w:p>
      <w:pPr>
        <w:pStyle w:val="Ruller42"/>
        <w:ind w:end="0"/>
        <w:jc w:val="both"/>
        <w:rPr/>
      </w:pPr>
      <w:r>
        <w:rPr>
          <w:rtl w:val="true"/>
        </w:rPr>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וגזר</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על</w:t>
      </w:r>
      <w:r>
        <w:rPr>
          <w:rtl w:val="true"/>
        </w:rPr>
        <w:t>-</w:t>
      </w:r>
      <w:r>
        <w:rPr>
          <w:rtl w:val="true"/>
        </w:rPr>
        <w:t>פי עובדות כתב האישום</w:t>
      </w:r>
      <w:r>
        <w:rPr>
          <w:rtl w:val="true"/>
        </w:rPr>
        <w:t xml:space="preserve">, </w:t>
      </w:r>
      <w:r>
        <w:rPr>
          <w:rtl w:val="true"/>
        </w:rPr>
        <w:t>המערער</w:t>
      </w:r>
      <w:r>
        <w:rPr>
          <w:rtl w:val="true"/>
        </w:rPr>
        <w:t xml:space="preserve">, </w:t>
      </w:r>
      <w:r>
        <w:rPr>
          <w:rtl w:val="true"/>
        </w:rPr>
        <w:t xml:space="preserve">יליד אפריל </w:t>
      </w:r>
      <w:r>
        <w:rPr/>
        <w:t>1999</w:t>
      </w:r>
      <w:r>
        <w:rPr>
          <w:rtl w:val="true"/>
        </w:rPr>
        <w:t xml:space="preserve">, </w:t>
      </w:r>
      <w:r>
        <w:rPr>
          <w:rtl w:val="true"/>
        </w:rPr>
        <w:t>שהיה קטין בעת ביצוע המעשה המתואר</w:t>
      </w:r>
      <w:r>
        <w:rPr>
          <w:rtl w:val="true"/>
        </w:rPr>
        <w:t xml:space="preserve">, </w:t>
      </w:r>
      <w:r>
        <w:rPr>
          <w:rtl w:val="true"/>
        </w:rPr>
        <w:t xml:space="preserve">קשר קשר עם אחר </w:t>
      </w:r>
      <w:r>
        <w:rPr>
          <w:rtl w:val="true"/>
        </w:rPr>
        <w:t>(</w:t>
      </w:r>
      <w:r>
        <w:rPr>
          <w:rtl w:val="true"/>
        </w:rPr>
        <w:t>להלן</w:t>
      </w:r>
      <w:r>
        <w:rPr>
          <w:rtl w:val="true"/>
        </w:rPr>
        <w:t xml:space="preserve">: </w:t>
      </w:r>
      <w:r>
        <w:rPr>
          <w:rFonts w:ascii="Century" w:hAnsi="Century" w:cs="Miriam"/>
          <w:b/>
          <w:b/>
          <w:spacing w:val="0"/>
          <w:sz w:val="22"/>
          <w:sz w:val="22"/>
          <w:szCs w:val="24"/>
          <w:rtl w:val="true"/>
        </w:rPr>
        <w:t>האחר</w:t>
      </w:r>
      <w:r>
        <w:rPr>
          <w:rtl w:val="true"/>
        </w:rPr>
        <w:t xml:space="preserve">) </w:t>
      </w:r>
      <w:r>
        <w:rPr>
          <w:rtl w:val="true"/>
        </w:rPr>
        <w:t xml:space="preserve">לשדוד קשישה ילידת </w:t>
      </w:r>
      <w:r>
        <w:rPr/>
        <w:t>1929</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המתגוררת בגפה בדירת קרקע בת חדר אחד</w:t>
      </w:r>
      <w:r>
        <w:rPr>
          <w:rtl w:val="true"/>
        </w:rPr>
        <w:t xml:space="preserve">. </w:t>
      </w:r>
      <w:r>
        <w:rPr>
          <w:rtl w:val="true"/>
        </w:rPr>
        <w:t>במסגרת הקשר</w:t>
      </w:r>
      <w:r>
        <w:rPr>
          <w:rtl w:val="true"/>
        </w:rPr>
        <w:t xml:space="preserve">, </w:t>
      </w:r>
      <w:r>
        <w:rPr>
          <w:rtl w:val="true"/>
        </w:rPr>
        <w:t xml:space="preserve">הגיעו המערער והאחר ביום </w:t>
      </w:r>
      <w:r>
        <w:rPr/>
        <w:t>6.10.2016</w:t>
      </w:r>
      <w:r>
        <w:rPr>
          <w:rtl w:val="true"/>
        </w:rPr>
        <w:t xml:space="preserve"> </w:t>
      </w:r>
      <w:r>
        <w:rPr>
          <w:rtl w:val="true"/>
        </w:rPr>
        <w:t xml:space="preserve">בשעה </w:t>
      </w:r>
      <w:r>
        <w:rPr/>
        <w:t>22:00</w:t>
      </w:r>
      <w:r>
        <w:rPr>
          <w:rtl w:val="true"/>
        </w:rPr>
        <w:t xml:space="preserve"> </w:t>
      </w:r>
      <w:r>
        <w:rPr>
          <w:rtl w:val="true"/>
        </w:rPr>
        <w:t>לערך לדירתה של המתלוננת</w:t>
      </w:r>
      <w:r>
        <w:rPr>
          <w:rtl w:val="true"/>
        </w:rPr>
        <w:t xml:space="preserve">, </w:t>
      </w:r>
      <w:r>
        <w:rPr>
          <w:rtl w:val="true"/>
        </w:rPr>
        <w:t>דפקו על דלת הדירה וביקשו מים</w:t>
      </w:r>
      <w:r>
        <w:rPr>
          <w:rtl w:val="true"/>
        </w:rPr>
        <w:t xml:space="preserve">. </w:t>
      </w:r>
      <w:r>
        <w:rPr>
          <w:rtl w:val="true"/>
        </w:rPr>
        <w:t>המתלוננת פתחה את הדלת והפנתה את גבה אל השניים במטרה להביא להם בקבוק מים</w:t>
      </w:r>
      <w:r>
        <w:rPr>
          <w:rtl w:val="true"/>
        </w:rPr>
        <w:t xml:space="preserve">. </w:t>
      </w:r>
      <w:r>
        <w:rPr>
          <w:rtl w:val="true"/>
        </w:rPr>
        <w:t>או אז התנפלו המערער והאחר על המתלוננת</w:t>
      </w:r>
      <w:r>
        <w:rPr>
          <w:rtl w:val="true"/>
        </w:rPr>
        <w:t xml:space="preserve">. </w:t>
      </w:r>
      <w:r>
        <w:rPr>
          <w:rtl w:val="true"/>
        </w:rPr>
        <w:t>המערער תקף את המתלוננת בכך שהפילה אל הרצפה</w:t>
      </w:r>
      <w:r>
        <w:rPr>
          <w:rtl w:val="true"/>
        </w:rPr>
        <w:t xml:space="preserve">, </w:t>
      </w:r>
      <w:r>
        <w:rPr>
          <w:rtl w:val="true"/>
        </w:rPr>
        <w:t>החזיק בה בכוח ובאמצעות מגבת שלקח מהדירה סתם את פיה ואפה במטרה שלא תצעק ואף הורה לה לא לצעוק ולא להתקשר למשטרה</w:t>
      </w:r>
      <w:r>
        <w:rPr>
          <w:rtl w:val="true"/>
        </w:rPr>
        <w:t xml:space="preserve">. </w:t>
      </w:r>
      <w:r>
        <w:rPr>
          <w:rtl w:val="true"/>
        </w:rPr>
        <w:t>המערער המשיך וריתק את המתלוננת לרצפה במשך כעשרים דקות כשהוא אוחז בגופה ומניח בכוח את ברכו על רגלה הימנית</w:t>
      </w:r>
      <w:r>
        <w:rPr>
          <w:rtl w:val="true"/>
        </w:rPr>
        <w:t xml:space="preserve">. </w:t>
      </w:r>
      <w:r>
        <w:rPr>
          <w:rtl w:val="true"/>
        </w:rPr>
        <w:t xml:space="preserve">באותו הזמן חיפש האחר בדירה כסף ורכוש תוך שהוא זורע בה אי סדר עד שלבסוף מצא </w:t>
      </w:r>
      <w:r>
        <w:rPr/>
        <w:t>7,000</w:t>
      </w:r>
      <w:r>
        <w:rPr>
          <w:rtl w:val="true"/>
        </w:rPr>
        <w:t xml:space="preserve"> </w:t>
      </w:r>
      <w:r>
        <w:rPr>
          <w:rtl w:val="true"/>
        </w:rPr>
        <w:t>ש</w:t>
      </w:r>
      <w:r>
        <w:rPr>
          <w:rtl w:val="true"/>
        </w:rPr>
        <w:t>"</w:t>
      </w:r>
      <w:r>
        <w:rPr>
          <w:rtl w:val="true"/>
        </w:rPr>
        <w:t xml:space="preserve">ח במזומן ושטר של </w:t>
      </w:r>
      <w:r>
        <w:rPr/>
        <w:t>100</w:t>
      </w:r>
      <w:r>
        <w:rPr>
          <w:rtl w:val="true"/>
        </w:rPr>
        <w:t xml:space="preserve"> </w:t>
      </w:r>
      <w:r>
        <w:rPr>
          <w:rtl w:val="true"/>
        </w:rPr>
        <w:t>דולר</w:t>
      </w:r>
      <w:r>
        <w:rPr>
          <w:rtl w:val="true"/>
        </w:rPr>
        <w:t xml:space="preserve">. </w:t>
      </w:r>
      <w:r>
        <w:rPr>
          <w:rtl w:val="true"/>
        </w:rPr>
        <w:t>השניים הותירו את המתלוננת שרועה על הרצפה ונמלטו עם שללם תוך שהם שבים ומורים למתלוננת לא לזוז ולא להתקשר למשטרה</w:t>
      </w:r>
      <w:r>
        <w:rPr>
          <w:rtl w:val="true"/>
        </w:rPr>
        <w:t xml:space="preserve">. </w:t>
      </w:r>
      <w:r>
        <w:rPr>
          <w:rtl w:val="true"/>
        </w:rPr>
        <w:t>המתלוננת</w:t>
      </w:r>
      <w:r>
        <w:rPr>
          <w:rtl w:val="true"/>
        </w:rPr>
        <w:t xml:space="preserve">, </w:t>
      </w:r>
      <w:r>
        <w:rPr>
          <w:rtl w:val="true"/>
        </w:rPr>
        <w:t>אחוזת פחד</w:t>
      </w:r>
      <w:r>
        <w:rPr>
          <w:rtl w:val="true"/>
        </w:rPr>
        <w:t xml:space="preserve">, </w:t>
      </w:r>
      <w:r>
        <w:rPr>
          <w:rtl w:val="true"/>
        </w:rPr>
        <w:t>המשיכה לשכב על הרצפה במשך כעשר דקות נוספות ורק אז אזרה כוח להזעיק עזרה</w:t>
      </w:r>
      <w:r>
        <w:rPr>
          <w:rtl w:val="true"/>
        </w:rPr>
        <w:t xml:space="preserve">. </w:t>
      </w:r>
      <w:r>
        <w:rPr>
          <w:rtl w:val="true"/>
        </w:rPr>
        <w:t>כתוצאה מן האירועים המתוארים לעיל</w:t>
      </w:r>
      <w:r>
        <w:rPr>
          <w:rtl w:val="true"/>
        </w:rPr>
        <w:t xml:space="preserve">, </w:t>
      </w:r>
      <w:r>
        <w:rPr>
          <w:rtl w:val="true"/>
        </w:rPr>
        <w:t>סבלה המתלוננת במשך מספר ימים מכאבים ומסימנים כחולים ברגליה וכן מכאבי ראש שנגרמו כתוצאה מתחושת החנק שחשה</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המערער והאחר כפרו באמור בכתב האישום ובית המשפט קמא שמע הוכחות וביום </w:t>
      </w:r>
      <w:r>
        <w:rPr/>
        <w:t>22.5.2017</w:t>
      </w:r>
      <w:r>
        <w:rPr>
          <w:rtl w:val="true"/>
        </w:rPr>
        <w:t xml:space="preserve"> </w:t>
      </w:r>
      <w:r>
        <w:rPr>
          <w:rtl w:val="true"/>
        </w:rPr>
        <w:t>ניתנה הכרעת הדין לפיה הורשע האחר בעבירות שיוחסו לו</w:t>
      </w:r>
      <w:r>
        <w:rPr>
          <w:rtl w:val="true"/>
        </w:rPr>
        <w:t>–</w:t>
      </w:r>
      <w:r>
        <w:rPr>
          <w:rtl w:val="true"/>
        </w:rPr>
        <w:t xml:space="preserve"> קשירת קשר לביצוע פשע לפי </w:t>
      </w:r>
      <w:hyperlink r:id="rId13">
        <w:r>
          <w:rPr>
            <w:rStyle w:val="Hyperlink"/>
            <w:color w:val="0000FF"/>
            <w:u w:val="single"/>
            <w:rtl w:val="true"/>
          </w:rPr>
          <w:t>סעיף</w:t>
        </w:r>
        <w:r>
          <w:rPr>
            <w:rStyle w:val="Hyperlink"/>
            <w:color w:val="0000FF"/>
            <w:u w:val="single"/>
            <w:rtl w:val="true"/>
          </w:rPr>
          <w:t xml:space="preserve">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שוד בנסיבות מחמירות לפי </w:t>
      </w:r>
      <w:hyperlink r:id="rId15">
        <w:r>
          <w:rPr>
            <w:rStyle w:val="Hyperlink"/>
            <w:color w:val="0000FF"/>
            <w:u w:val="single"/>
            <w:rtl w:val="true"/>
          </w:rPr>
          <w:t>סעיף</w:t>
        </w:r>
        <w:r>
          <w:rPr>
            <w:rStyle w:val="Hyperlink"/>
            <w:color w:val="0000FF"/>
            <w:u w:val="single"/>
            <w:rtl w:val="true"/>
          </w:rPr>
          <w:t xml:space="preserve"> </w:t>
        </w:r>
        <w:r>
          <w:rPr>
            <w:rStyle w:val="Hyperlink"/>
            <w:color w:val="0000FF"/>
            <w:u w:val="single"/>
          </w:rPr>
          <w:t>402</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יחד עם </w:t>
      </w:r>
      <w:hyperlink r:id="rId16">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לחוק</w:t>
      </w:r>
      <w:r>
        <w:rPr>
          <w:rtl w:val="true"/>
        </w:rPr>
        <w:t xml:space="preserve">; </w:t>
      </w:r>
      <w:r>
        <w:rPr>
          <w:rtl w:val="true"/>
        </w:rPr>
        <w:t xml:space="preserve">ותקיפת זקן לפי </w:t>
      </w:r>
      <w:hyperlink r:id="rId17">
        <w:r>
          <w:rPr>
            <w:rStyle w:val="Hyperlink"/>
            <w:color w:val="0000FF"/>
            <w:u w:val="single"/>
            <w:rtl w:val="true"/>
          </w:rPr>
          <w:t>סעיף</w:t>
        </w:r>
        <w:r>
          <w:rPr>
            <w:rStyle w:val="Hyperlink"/>
            <w:color w:val="0000FF"/>
            <w:u w:val="single"/>
            <w:rtl w:val="true"/>
          </w:rPr>
          <w:t xml:space="preserve"> </w:t>
        </w:r>
        <w:r>
          <w:rPr>
            <w:rStyle w:val="Hyperlink"/>
            <w:color w:val="0000FF"/>
            <w:u w:val="single"/>
          </w:rPr>
          <w:t>368</w:t>
        </w:r>
        <w:r>
          <w:rPr>
            <w:rStyle w:val="Hyperlink"/>
            <w:color w:val="0000FF"/>
            <w:u w:val="single"/>
            <w:rtl w:val="true"/>
          </w:rPr>
          <w:t>ו</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יחד עם </w:t>
      </w:r>
      <w:hyperlink r:id="rId18">
        <w:r>
          <w:rPr>
            <w:rStyle w:val="Hyperlink"/>
            <w:color w:val="0000FF"/>
            <w:u w:val="single"/>
            <w:rtl w:val="true"/>
          </w:rPr>
          <w:t>סעיף</w:t>
        </w:r>
        <w:r>
          <w:rPr>
            <w:rStyle w:val="Hyperlink"/>
            <w:color w:val="0000FF"/>
            <w:u w:val="single"/>
            <w:rtl w:val="true"/>
          </w:rPr>
          <w:t xml:space="preserve"> </w:t>
        </w:r>
        <w:r>
          <w:rPr>
            <w:rStyle w:val="Hyperlink"/>
            <w:color w:val="0000FF"/>
            <w:u w:val="single"/>
          </w:rPr>
          <w:t>29</w:t>
        </w:r>
      </w:hyperlink>
      <w:r>
        <w:rPr>
          <w:rtl w:val="true"/>
        </w:rPr>
        <w:t xml:space="preserve"> </w:t>
      </w:r>
      <w:r>
        <w:rPr>
          <w:rtl w:val="true"/>
        </w:rPr>
        <w:t>לחוק</w:t>
      </w:r>
      <w:r>
        <w:rPr>
          <w:rtl w:val="true"/>
        </w:rPr>
        <w:t xml:space="preserve">. </w:t>
      </w:r>
      <w:r>
        <w:rPr>
          <w:rtl w:val="true"/>
        </w:rPr>
        <w:t>בעניינו של המערער קבע בית המשפט קמא כי אף הוא ביצע את העבירות הנ</w:t>
      </w:r>
      <w:r>
        <w:rPr>
          <w:rtl w:val="true"/>
        </w:rPr>
        <w:t>"</w:t>
      </w:r>
      <w:r>
        <w:rPr>
          <w:rtl w:val="true"/>
        </w:rPr>
        <w:t>ל</w:t>
      </w:r>
      <w:r>
        <w:rPr>
          <w:rtl w:val="true"/>
        </w:rPr>
        <w:t xml:space="preserve">, </w:t>
      </w:r>
      <w:r>
        <w:rPr>
          <w:rtl w:val="true"/>
        </w:rPr>
        <w:t>אך בשל העובדה שבעת ביצוען היה קטין</w:t>
      </w:r>
      <w:r>
        <w:rPr>
          <w:rtl w:val="true"/>
        </w:rPr>
        <w:t xml:space="preserve">, </w:t>
      </w:r>
      <w:r>
        <w:rPr>
          <w:rtl w:val="true"/>
        </w:rPr>
        <w:t xml:space="preserve">שאלת הרשעתו בעבירות נדחתה עד לקבלת תסקיר של שירות המבחן לנוער בעניינו וזאת בהתאם </w:t>
      </w:r>
      <w:hyperlink r:id="rId19">
        <w:r>
          <w:rPr>
            <w:rStyle w:val="Hyperlink"/>
            <w:color w:val="0000FF"/>
            <w:u w:val="single"/>
            <w:rtl w:val="true"/>
          </w:rPr>
          <w:t>לסעיף</w:t>
        </w:r>
        <w:r>
          <w:rPr>
            <w:rStyle w:val="Hyperlink"/>
            <w:color w:val="0000FF"/>
            <w:u w:val="single"/>
            <w:rtl w:val="true"/>
          </w:rPr>
          <w:t xml:space="preserve"> </w:t>
        </w:r>
        <w:r>
          <w:rPr>
            <w:rStyle w:val="Hyperlink"/>
            <w:color w:val="0000FF"/>
            <w:u w:val="single"/>
          </w:rPr>
          <w:t>22</w:t>
        </w:r>
      </w:hyperlink>
      <w:r>
        <w:rPr>
          <w:rtl w:val="true"/>
        </w:rPr>
        <w:t xml:space="preserve"> </w:t>
      </w:r>
      <w:r>
        <w:rPr>
          <w:rtl w:val="true"/>
        </w:rPr>
        <w:t>ל</w:t>
      </w:r>
      <w:hyperlink r:id="rId2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הנוער</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שפיטה</w:t>
        </w:r>
        <w:r>
          <w:rPr>
            <w:rStyle w:val="Hyperlink"/>
            <w:color w:val="0000FF"/>
            <w:u w:val="single"/>
            <w:rtl w:val="true"/>
          </w:rPr>
          <w:t xml:space="preserve">, </w:t>
        </w:r>
        <w:r>
          <w:rPr>
            <w:rStyle w:val="Hyperlink"/>
            <w:color w:val="0000FF"/>
            <w:u w:val="single"/>
            <w:rtl w:val="true"/>
          </w:rPr>
          <w:t>ענישה</w:t>
        </w:r>
        <w:r>
          <w:rPr>
            <w:rStyle w:val="Hyperlink"/>
            <w:color w:val="0000FF"/>
            <w:u w:val="single"/>
            <w:rtl w:val="true"/>
          </w:rPr>
          <w:t xml:space="preserve"> </w:t>
        </w:r>
        <w:r>
          <w:rPr>
            <w:rStyle w:val="Hyperlink"/>
            <w:color w:val="0000FF"/>
            <w:u w:val="single"/>
            <w:rtl w:val="true"/>
          </w:rPr>
          <w:t>ודרכי</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w:t>
        </w:r>
      </w:hyperlink>
      <w:r>
        <w:rPr>
          <w:rtl w:val="true"/>
        </w:rPr>
        <w:t xml:space="preserve">, </w:t>
      </w:r>
      <w:r>
        <w:rPr>
          <w:rtl w:val="true"/>
        </w:rPr>
        <w:t>ה</w:t>
      </w:r>
      <w:r>
        <w:rPr>
          <w:rtl w:val="true"/>
        </w:rPr>
        <w:t>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הנוער</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ביום </w:t>
      </w:r>
      <w:r>
        <w:rPr/>
        <w:t>10.9.2017</w:t>
      </w:r>
      <w:r>
        <w:rPr>
          <w:rtl w:val="true"/>
        </w:rPr>
        <w:t xml:space="preserve"> </w:t>
      </w:r>
      <w:r>
        <w:rPr>
          <w:rtl w:val="true"/>
        </w:rPr>
        <w:t>הוגש התסקיר ובו תוארו נסיבות חייו המורכבות של המערער וצוין כי כבר בגיל צעיר הוא אובחן כסובל מ</w:t>
      </w:r>
      <w:r>
        <w:rPr>
          <w:rtl w:val="true"/>
        </w:rPr>
        <w:t>-</w:t>
      </w:r>
      <w:r>
        <w:rPr>
          <w:rFonts w:cs="Century" w:ascii="Century" w:hAnsi="Century"/>
          <w:sz w:val="22"/>
        </w:rPr>
        <w:t>ADHD</w:t>
      </w:r>
      <w:r>
        <w:rPr/>
        <w:t xml:space="preserve"> (</w:t>
      </w:r>
      <w:r>
        <w:rPr>
          <w:rFonts w:cs="Century" w:ascii="Century" w:hAnsi="Century"/>
          <w:sz w:val="22"/>
          <w:lang w:val="en"/>
        </w:rPr>
        <w:t>Attention Deficit Hyperactivity Disorder</w:t>
      </w:r>
      <w:r>
        <w:rPr/>
        <w:t>)</w:t>
      </w:r>
      <w:r>
        <w:rPr>
          <w:rtl w:val="true"/>
        </w:rPr>
        <w:t xml:space="preserve"> </w:t>
      </w:r>
      <w:r>
        <w:rPr>
          <w:rtl w:val="true"/>
        </w:rPr>
        <w:t>ומתסמונת טורט</w:t>
      </w:r>
      <w:r>
        <w:rPr>
          <w:rtl w:val="true"/>
        </w:rPr>
        <w:t xml:space="preserve">. </w:t>
      </w:r>
      <w:r>
        <w:rPr>
          <w:rtl w:val="true"/>
        </w:rPr>
        <w:t>על רקע זה ובשל התנהגויות תוקפניות שובץ ואושפז המערער במסגרות טיפוליות שונות והיה במעקב פסיכיאטרי הכולל טיפול תרופתי</w:t>
      </w:r>
      <w:r>
        <w:rPr>
          <w:rtl w:val="true"/>
        </w:rPr>
        <w:t xml:space="preserve">. </w:t>
      </w:r>
      <w:r>
        <w:rPr>
          <w:rtl w:val="true"/>
        </w:rPr>
        <w:t>עוד צוין בתסקיר כי מאבחונים שנערכו עלה שלמערער יכולת אינטלקטואלית ברמה נמוכה עד גבולית</w:t>
      </w:r>
      <w:r>
        <w:rPr>
          <w:rtl w:val="true"/>
        </w:rPr>
        <w:t xml:space="preserve">. </w:t>
      </w:r>
      <w:r>
        <w:rPr>
          <w:rtl w:val="true"/>
        </w:rPr>
        <w:t>גורמי הטיפול השונים התרשמו כי המערער מתקשה בהבנת סיטואציות חברתיות וההשלכות של מעשיו</w:t>
      </w:r>
      <w:r>
        <w:rPr>
          <w:rtl w:val="true"/>
        </w:rPr>
        <w:t xml:space="preserve">. </w:t>
      </w:r>
      <w:r>
        <w:rPr>
          <w:rtl w:val="true"/>
        </w:rPr>
        <w:t>כמו כן צוין כי למערער נטייה להתפרצויות זעם במצבי משבר ושקיים סיכון כי הוא ינוצל על</w:t>
      </w:r>
      <w:r>
        <w:rPr>
          <w:rtl w:val="true"/>
        </w:rPr>
        <w:t>-</w:t>
      </w:r>
      <w:r>
        <w:rPr>
          <w:rtl w:val="true"/>
        </w:rPr>
        <w:t>ידי גורמים דומיננטיים וחזקים ממנו</w:t>
      </w:r>
      <w:r>
        <w:rPr>
          <w:rtl w:val="true"/>
        </w:rPr>
        <w:t xml:space="preserve">. </w:t>
      </w:r>
      <w:r>
        <w:rPr>
          <w:rtl w:val="true"/>
        </w:rPr>
        <w:t>עוד ציין שירות המבחן כי המערער נעצר בעבר פעמים רבות בשל ביצוע עבירות שונות וכי נוכח סירובו להירתם לאפיק טיפולי כלשהו הוא אף נדון לעונש מאסר בפועל</w:t>
      </w:r>
      <w:r>
        <w:rPr>
          <w:rtl w:val="true"/>
        </w:rPr>
        <w:t xml:space="preserve">. </w:t>
      </w:r>
      <w:r>
        <w:rPr>
          <w:rtl w:val="true"/>
        </w:rPr>
        <w:t xml:space="preserve">עוד צוין כי ביום </w:t>
      </w:r>
      <w:r>
        <w:rPr/>
        <w:t>4.11.2016</w:t>
      </w:r>
      <w:r>
        <w:rPr>
          <w:rtl w:val="true"/>
        </w:rPr>
        <w:t xml:space="preserve"> </w:t>
      </w:r>
      <w:r>
        <w:rPr>
          <w:rtl w:val="true"/>
        </w:rPr>
        <w:t>הוא נעצר שוב בשל עבירות שוד ושני מעשים מגונים</w:t>
      </w:r>
      <w:r>
        <w:rPr>
          <w:rtl w:val="true"/>
        </w:rPr>
        <w:t xml:space="preserve">. </w:t>
      </w:r>
      <w:r>
        <w:rPr>
          <w:rtl w:val="true"/>
        </w:rPr>
        <w:t>לבסוף צוין כי המערער מוחזק באגף הפרדה ולהערכת שירות המבחן קיים סיכון גבוה מאד לביצוע עבירות נוספות על</w:t>
      </w:r>
      <w:r>
        <w:rPr>
          <w:rtl w:val="true"/>
        </w:rPr>
        <w:t>-</w:t>
      </w:r>
      <w:r>
        <w:rPr>
          <w:rtl w:val="true"/>
        </w:rPr>
        <w:t>ידו</w:t>
      </w:r>
      <w:r>
        <w:rPr>
          <w:rtl w:val="true"/>
        </w:rPr>
        <w:t xml:space="preserve">, </w:t>
      </w:r>
      <w:r>
        <w:rPr>
          <w:rtl w:val="true"/>
        </w:rPr>
        <w:t>בין היתר</w:t>
      </w:r>
      <w:r>
        <w:rPr>
          <w:rtl w:val="true"/>
        </w:rPr>
        <w:t xml:space="preserve">, </w:t>
      </w:r>
      <w:r>
        <w:rPr>
          <w:rtl w:val="true"/>
        </w:rPr>
        <w:t>לנוכח עברו ועל רקע סירובו התמידי להשתתף במסגרות טיפוליות</w:t>
      </w:r>
      <w:r>
        <w:rPr>
          <w:rtl w:val="true"/>
        </w:rPr>
        <w:t xml:space="preserve">. </w:t>
      </w:r>
      <w:r>
        <w:rPr>
          <w:rtl w:val="true"/>
        </w:rPr>
        <w:t>על כן</w:t>
      </w:r>
      <w:r>
        <w:rPr>
          <w:rtl w:val="true"/>
        </w:rPr>
        <w:t xml:space="preserve">, </w:t>
      </w:r>
      <w:r>
        <w:rPr>
          <w:rtl w:val="true"/>
        </w:rPr>
        <w:t>ובשים לב לחומרת העבירות שיוחסו למערער וכן לנוכח ביצוע עבירות נוספות גם במהלך שהותו בכלא</w:t>
      </w:r>
      <w:r>
        <w:rPr>
          <w:rtl w:val="true"/>
        </w:rPr>
        <w:t xml:space="preserve">, </w:t>
      </w:r>
      <w:r>
        <w:rPr>
          <w:rtl w:val="true"/>
        </w:rPr>
        <w:t>ציין שירות המבחן כי אין באפשרותו לבוא בהמלצה טיפולית בעניינו</w:t>
      </w:r>
      <w:r>
        <w:rPr>
          <w:rtl w:val="true"/>
        </w:rPr>
        <w:t>.</w:t>
      </w:r>
    </w:p>
    <w:p>
      <w:pPr>
        <w:pStyle w:val="Ruller43"/>
        <w:numPr>
          <w:ilvl w:val="0"/>
          <w:numId w:val="0"/>
        </w:numPr>
        <w:ind w:hanging="0" w:start="0" w:end="0"/>
        <w:jc w:val="both"/>
        <w:rPr/>
      </w:pPr>
      <w:r>
        <w:rPr>
          <w:rtl w:val="true"/>
        </w:rPr>
      </w:r>
    </w:p>
    <w:p>
      <w:pPr>
        <w:pStyle w:val="Ruller43"/>
        <w:numPr>
          <w:ilvl w:val="0"/>
          <w:numId w:val="1"/>
        </w:numPr>
        <w:ind w:hanging="0" w:start="0" w:end="0"/>
        <w:jc w:val="both"/>
        <w:rPr/>
      </w:pPr>
      <w:r>
        <w:rPr>
          <w:rtl w:val="true"/>
        </w:rPr>
        <w:t xml:space="preserve">ביום </w:t>
      </w:r>
      <w:r>
        <w:rPr/>
        <w:t>19.9.2017</w:t>
      </w:r>
      <w:r>
        <w:rPr>
          <w:rtl w:val="true"/>
        </w:rPr>
        <w:t xml:space="preserve"> </w:t>
      </w:r>
      <w:r>
        <w:rPr>
          <w:rtl w:val="true"/>
        </w:rPr>
        <w:t>הורה בית המשפט קמא</w:t>
      </w:r>
      <w:r>
        <w:rPr>
          <w:rtl w:val="true"/>
        </w:rPr>
        <w:t xml:space="preserve">, </w:t>
      </w:r>
      <w:r>
        <w:rPr>
          <w:rtl w:val="true"/>
        </w:rPr>
        <w:t xml:space="preserve">בהתאם </w:t>
      </w:r>
      <w:hyperlink r:id="rId21">
        <w:r>
          <w:rPr>
            <w:rStyle w:val="Hyperlink"/>
            <w:color w:val="0000FF"/>
            <w:u w:val="single"/>
            <w:rtl w:val="true"/>
          </w:rPr>
          <w:t>לסעיף</w:t>
        </w:r>
        <w:r>
          <w:rPr>
            <w:rStyle w:val="Hyperlink"/>
            <w:color w:val="0000FF"/>
            <w:u w:val="single"/>
            <w:rtl w:val="true"/>
          </w:rPr>
          <w:t xml:space="preserve"> </w:t>
        </w:r>
        <w:r>
          <w:rPr>
            <w:rStyle w:val="Hyperlink"/>
            <w:color w:val="0000FF"/>
            <w:u w:val="single"/>
          </w:rPr>
          <w:t>24</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r>
        <w:rPr>
          <w:rtl w:val="true"/>
        </w:rPr>
        <w:t>חוק הנוער</w:t>
      </w:r>
      <w:r>
        <w:rPr>
          <w:rtl w:val="true"/>
        </w:rPr>
        <w:t xml:space="preserve">, </w:t>
      </w:r>
      <w:r>
        <w:rPr>
          <w:rtl w:val="true"/>
        </w:rPr>
        <w:t>על הרשעתו של המערער בעבירות שבהן הואשם</w:t>
      </w:r>
      <w:r>
        <w:rPr>
          <w:rtl w:val="true"/>
        </w:rPr>
        <w:t xml:space="preserve">. </w:t>
      </w:r>
      <w:r>
        <w:rPr>
          <w:rtl w:val="true"/>
        </w:rPr>
        <w:t>כמו כן הרשיע בית המשפט קמא את המערער</w:t>
      </w:r>
      <w:r>
        <w:rPr>
          <w:rtl w:val="true"/>
        </w:rPr>
        <w:t xml:space="preserve">, </w:t>
      </w:r>
      <w:r>
        <w:rPr>
          <w:rtl w:val="true"/>
        </w:rPr>
        <w:t>על</w:t>
      </w:r>
      <w:r>
        <w:rPr>
          <w:rtl w:val="true"/>
        </w:rPr>
        <w:t>-</w:t>
      </w:r>
      <w:r>
        <w:rPr>
          <w:rtl w:val="true"/>
        </w:rPr>
        <w:t>פי הודאתו</w:t>
      </w:r>
      <w:r>
        <w:rPr>
          <w:rtl w:val="true"/>
        </w:rPr>
        <w:t xml:space="preserve">, </w:t>
      </w:r>
      <w:r>
        <w:rPr>
          <w:rtl w:val="true"/>
        </w:rPr>
        <w:t>בעבירות תקיפת עובד ציבור ואיומים שיוחסו לו בשלושה תיקים פליליים אשר צורפו להליך זה על</w:t>
      </w:r>
      <w:r>
        <w:rPr>
          <w:rtl w:val="true"/>
        </w:rPr>
        <w:t>-</w:t>
      </w:r>
      <w:r>
        <w:rPr>
          <w:rtl w:val="true"/>
        </w:rPr>
        <w:t>פי בקשת המערער</w:t>
      </w:r>
      <w:r>
        <w:rPr>
          <w:rtl w:val="true"/>
        </w:rPr>
        <w:t xml:space="preserve">. </w:t>
      </w:r>
      <w:r>
        <w:rPr>
          <w:rtl w:val="true"/>
        </w:rPr>
        <w:t xml:space="preserve">בית המשפט קמא גזר על המערער </w:t>
      </w:r>
      <w:r>
        <w:rPr/>
        <w:t>6</w:t>
      </w:r>
      <w:r>
        <w:rPr>
          <w:rtl w:val="true"/>
        </w:rPr>
        <w:t xml:space="preserve"> </w:t>
      </w:r>
      <w:r>
        <w:rPr>
          <w:rtl w:val="true"/>
        </w:rPr>
        <w:t>שנות מאסר לריצוי בפועל בגין התיק העיקרי ו</w:t>
      </w:r>
      <w:r>
        <w:rPr>
          <w:rtl w:val="true"/>
        </w:rPr>
        <w:t>-</w:t>
      </w:r>
      <w:r>
        <w:rPr/>
        <w:t>6</w:t>
      </w:r>
      <w:r>
        <w:rPr>
          <w:rtl w:val="true"/>
        </w:rPr>
        <w:t xml:space="preserve"> </w:t>
      </w:r>
      <w:r>
        <w:rPr>
          <w:rtl w:val="true"/>
        </w:rPr>
        <w:t>חודשי מאסר לריצוי בפועל בגין התיקים שצירף</w:t>
      </w:r>
      <w:r>
        <w:rPr>
          <w:rtl w:val="true"/>
        </w:rPr>
        <w:t xml:space="preserve">. </w:t>
      </w:r>
      <w:r>
        <w:rPr>
          <w:rtl w:val="true"/>
        </w:rPr>
        <w:t xml:space="preserve">כמו כן נקבע כי יש להפעיל שלושה מאסרים מותנים לתקופה כוללת של </w:t>
      </w:r>
      <w:r>
        <w:rPr/>
        <w:t>16</w:t>
      </w:r>
      <w:r>
        <w:rPr>
          <w:rtl w:val="true"/>
        </w:rPr>
        <w:t xml:space="preserve"> </w:t>
      </w:r>
      <w:r>
        <w:rPr>
          <w:rtl w:val="true"/>
        </w:rPr>
        <w:t>חודשים</w:t>
      </w:r>
      <w:r>
        <w:rPr>
          <w:rtl w:val="true"/>
        </w:rPr>
        <w:t xml:space="preserve">, </w:t>
      </w:r>
      <w:r>
        <w:rPr>
          <w:rtl w:val="true"/>
        </w:rPr>
        <w:t>שעמדו לחובתו של המערער</w:t>
      </w:r>
      <w:r>
        <w:rPr>
          <w:rtl w:val="true"/>
        </w:rPr>
        <w:t xml:space="preserve">, </w:t>
      </w:r>
      <w:r>
        <w:rPr>
          <w:rtl w:val="true"/>
        </w:rPr>
        <w:t xml:space="preserve">אך הורה על חפיפה חלקית של רכיבי המאסר כך שהמערער ירצה </w:t>
      </w:r>
      <w:r>
        <w:rPr/>
        <w:t>6</w:t>
      </w:r>
      <w:r>
        <w:rPr>
          <w:rtl w:val="true"/>
        </w:rPr>
        <w:t xml:space="preserve"> </w:t>
      </w:r>
      <w:r>
        <w:rPr>
          <w:rtl w:val="true"/>
        </w:rPr>
        <w:t>שנים ו</w:t>
      </w:r>
      <w:r>
        <w:rPr>
          <w:rtl w:val="true"/>
        </w:rPr>
        <w:t>-</w:t>
      </w:r>
      <w:r>
        <w:rPr/>
        <w:t>10</w:t>
      </w:r>
      <w:r>
        <w:rPr>
          <w:rtl w:val="true"/>
        </w:rPr>
        <w:t xml:space="preserve"> </w:t>
      </w:r>
      <w:r>
        <w:rPr>
          <w:rtl w:val="true"/>
        </w:rPr>
        <w:t xml:space="preserve">חודשים בפועל </w:t>
      </w:r>
      <w:r>
        <w:rPr>
          <w:rtl w:val="true"/>
        </w:rPr>
        <w:t>(</w:t>
      </w:r>
      <w:r>
        <w:rPr>
          <w:rtl w:val="true"/>
        </w:rPr>
        <w:t>בניכוי ימי מעצרו בתיק זה</w:t>
      </w:r>
      <w:r>
        <w:rPr>
          <w:rtl w:val="true"/>
        </w:rPr>
        <w:t xml:space="preserve">). </w:t>
      </w:r>
      <w:r>
        <w:rPr>
          <w:rtl w:val="true"/>
        </w:rPr>
        <w:t xml:space="preserve">כמו כן נגזרו על המערער </w:t>
      </w:r>
      <w:r>
        <w:rPr/>
        <w:t>10</w:t>
      </w:r>
      <w:r>
        <w:rPr>
          <w:rtl w:val="true"/>
        </w:rPr>
        <w:t xml:space="preserve"> </w:t>
      </w:r>
      <w:r>
        <w:rPr>
          <w:rtl w:val="true"/>
        </w:rPr>
        <w:t xml:space="preserve">חודשי מאסר על תנאי למשך </w:t>
      </w:r>
      <w:r>
        <w:rPr/>
        <w:t>3</w:t>
      </w:r>
      <w:r>
        <w:rPr>
          <w:rtl w:val="true"/>
        </w:rPr>
        <w:t xml:space="preserve"> </w:t>
      </w:r>
      <w:r>
        <w:rPr>
          <w:rtl w:val="true"/>
        </w:rPr>
        <w:t>שנים שלא יעבור עבירת אלימות או רכוש מסוג פשע</w:t>
      </w:r>
      <w:r>
        <w:rPr>
          <w:rtl w:val="true"/>
        </w:rPr>
        <w:t xml:space="preserve">, </w:t>
      </w:r>
      <w:r>
        <w:rPr/>
        <w:t>4</w:t>
      </w:r>
      <w:r>
        <w:rPr>
          <w:rtl w:val="true"/>
        </w:rPr>
        <w:t xml:space="preserve"> </w:t>
      </w:r>
      <w:r>
        <w:rPr>
          <w:rtl w:val="true"/>
        </w:rPr>
        <w:t xml:space="preserve">חודשי מאסר על תנאי למשך שנתיים שלא יעבור עבירת אלימות או רכוש מסוג עוון וכן פיצוי למתלוננת בסכום של </w:t>
      </w:r>
      <w:r>
        <w:rPr/>
        <w:t>10,000</w:t>
      </w:r>
      <w:r>
        <w:rPr>
          <w:rtl w:val="true"/>
        </w:rPr>
        <w:t xml:space="preserve"> </w:t>
      </w:r>
      <w:r>
        <w:rPr>
          <w:rtl w:val="true"/>
        </w:rPr>
        <w:t>ש</w:t>
      </w:r>
      <w:r>
        <w:rPr>
          <w:rtl w:val="true"/>
        </w:rPr>
        <w:t>"</w:t>
      </w:r>
      <w:r>
        <w:rPr>
          <w:rtl w:val="true"/>
        </w:rPr>
        <w:t>ח</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בגזר דינו עמד בית המשפט קמא על הערכים המוגנים שנפגעו כתוצאה מהעבירות שביצע המערער והדגיש את הצורך בהגנה על שלמות הגוף והביטחון האישי של הציבור וכן את הצורך בשמירה על רכושו</w:t>
      </w:r>
      <w:r>
        <w:rPr>
          <w:rtl w:val="true"/>
        </w:rPr>
        <w:t xml:space="preserve">. </w:t>
      </w:r>
      <w:r>
        <w:rPr>
          <w:rtl w:val="true"/>
        </w:rPr>
        <w:t>פגיעת המערער בערכים אלה</w:t>
      </w:r>
      <w:r>
        <w:rPr>
          <w:rtl w:val="true"/>
        </w:rPr>
        <w:t xml:space="preserve">, </w:t>
      </w:r>
      <w:r>
        <w:rPr>
          <w:rtl w:val="true"/>
        </w:rPr>
        <w:t>כך נקבע</w:t>
      </w:r>
      <w:r>
        <w:rPr>
          <w:rtl w:val="true"/>
        </w:rPr>
        <w:t xml:space="preserve">, </w:t>
      </w:r>
      <w:r>
        <w:rPr>
          <w:rtl w:val="true"/>
        </w:rPr>
        <w:t>מצויה ברף גבוה של חומרה בשל ביצוע המעשים בצוותא עם אחר</w:t>
      </w:r>
      <w:r>
        <w:rPr>
          <w:rtl w:val="true"/>
        </w:rPr>
        <w:t xml:space="preserve">, </w:t>
      </w:r>
      <w:r>
        <w:rPr>
          <w:rtl w:val="true"/>
        </w:rPr>
        <w:t xml:space="preserve">לאחר תכנון מוקדם ובחירה מכוונת בקורבן חלש </w:t>
      </w:r>
      <w:r>
        <w:rPr>
          <w:rtl w:val="true"/>
        </w:rPr>
        <w:t>–</w:t>
      </w:r>
      <w:r>
        <w:rPr>
          <w:rtl w:val="true"/>
        </w:rPr>
        <w:t xml:space="preserve"> קשישה בת </w:t>
      </w:r>
      <w:r>
        <w:rPr/>
        <w:t>87</w:t>
      </w:r>
      <w:r>
        <w:rPr>
          <w:rtl w:val="true"/>
        </w:rPr>
        <w:t xml:space="preserve"> </w:t>
      </w:r>
      <w:r>
        <w:rPr>
          <w:rtl w:val="true"/>
        </w:rPr>
        <w:t>המתגוררת בגפה</w:t>
      </w:r>
      <w:r>
        <w:rPr>
          <w:rtl w:val="true"/>
        </w:rPr>
        <w:t xml:space="preserve">. </w:t>
      </w:r>
      <w:r>
        <w:rPr>
          <w:rtl w:val="true"/>
        </w:rPr>
        <w:t>עוד צוינה לחומרה ההתנפלות האכזרית של השניים על המתלוננת עת פנתה להביא להם מים והודגשה מידת האלימות שהפעיל כלפיה המערער</w:t>
      </w:r>
      <w:r>
        <w:rPr>
          <w:rtl w:val="true"/>
        </w:rPr>
        <w:t xml:space="preserve">, </w:t>
      </w:r>
      <w:r>
        <w:rPr>
          <w:rtl w:val="true"/>
        </w:rPr>
        <w:t>אדם כבד גוף</w:t>
      </w:r>
      <w:r>
        <w:rPr>
          <w:rtl w:val="true"/>
        </w:rPr>
        <w:t xml:space="preserve">, </w:t>
      </w:r>
      <w:r>
        <w:rPr>
          <w:rtl w:val="true"/>
        </w:rPr>
        <w:t>שעה שריתק אותה לרצפה וסתם את פיה ואפה במגבת למשך כ</w:t>
      </w:r>
      <w:r>
        <w:rPr>
          <w:rtl w:val="true"/>
        </w:rPr>
        <w:t>-</w:t>
      </w:r>
      <w:r>
        <w:rPr/>
        <w:t>20</w:t>
      </w:r>
      <w:r>
        <w:rPr>
          <w:rtl w:val="true"/>
        </w:rPr>
        <w:t xml:space="preserve"> </w:t>
      </w:r>
      <w:r>
        <w:rPr>
          <w:rtl w:val="true"/>
        </w:rPr>
        <w:t>דקות</w:t>
      </w:r>
      <w:r>
        <w:rPr>
          <w:rtl w:val="true"/>
        </w:rPr>
        <w:t xml:space="preserve">. </w:t>
      </w:r>
      <w:r>
        <w:rPr>
          <w:rtl w:val="true"/>
        </w:rPr>
        <w:t xml:space="preserve">בית המשפט קמא ציין כי </w:t>
      </w:r>
      <w:r>
        <w:rPr>
          <w:rFonts w:cs="Miriam" w:ascii="Century" w:hAnsi="Century"/>
          <w:b/>
          <w:spacing w:val="0"/>
          <w:szCs w:val="24"/>
          <w:rtl w:val="true"/>
        </w:rPr>
        <w:t>"</w:t>
      </w:r>
      <w:r>
        <w:rPr>
          <w:rFonts w:ascii="Century" w:hAnsi="Century" w:cs="Miriam"/>
          <w:b/>
          <w:b/>
          <w:spacing w:val="0"/>
          <w:szCs w:val="24"/>
          <w:rtl w:val="true"/>
        </w:rPr>
        <w:t>הפסול</w:t>
      </w:r>
      <w:r>
        <w:rPr>
          <w:rFonts w:ascii="Century" w:hAnsi="Century" w:eastAsia="Century" w:cs="Century"/>
          <w:b/>
          <w:b/>
          <w:spacing w:val="0"/>
          <w:szCs w:val="24"/>
          <w:rtl w:val="true"/>
        </w:rPr>
        <w:t xml:space="preserve"> </w:t>
      </w:r>
      <w:r>
        <w:rPr>
          <w:rFonts w:ascii="Century" w:hAnsi="Century" w:cs="Miriam"/>
          <w:b/>
          <w:b/>
          <w:spacing w:val="0"/>
          <w:szCs w:val="24"/>
          <w:rtl w:val="true"/>
        </w:rPr>
        <w:t>המוסרי</w:t>
      </w:r>
      <w:r>
        <w:rPr>
          <w:rFonts w:ascii="Century" w:hAnsi="Century" w:eastAsia="Century" w:cs="Century"/>
          <w:b/>
          <w:b/>
          <w:spacing w:val="0"/>
          <w:szCs w:val="24"/>
          <w:rtl w:val="true"/>
        </w:rPr>
        <w:t xml:space="preserve"> </w:t>
      </w:r>
      <w:r>
        <w:rPr>
          <w:rFonts w:ascii="Century" w:hAnsi="Century" w:cs="Miriam"/>
          <w:b/>
          <w:b/>
          <w:spacing w:val="0"/>
          <w:szCs w:val="24"/>
          <w:rtl w:val="true"/>
        </w:rPr>
        <w:t>והכיעור</w:t>
      </w:r>
      <w:r>
        <w:rPr>
          <w:rFonts w:ascii="Century" w:hAnsi="Century" w:eastAsia="Century" w:cs="Century"/>
          <w:b/>
          <w:b/>
          <w:spacing w:val="0"/>
          <w:szCs w:val="24"/>
          <w:rtl w:val="true"/>
        </w:rPr>
        <w:t xml:space="preserve"> </w:t>
      </w:r>
      <w:r>
        <w:rPr>
          <w:rFonts w:ascii="Century" w:hAnsi="Century" w:cs="Miriam"/>
          <w:b/>
          <w:b/>
          <w:spacing w:val="0"/>
          <w:szCs w:val="24"/>
          <w:rtl w:val="true"/>
        </w:rPr>
        <w:t>שבמעשה</w:t>
      </w:r>
      <w:r>
        <w:rPr>
          <w:rFonts w:ascii="Century" w:hAnsi="Century" w:eastAsia="Century" w:cs="Century"/>
          <w:b/>
          <w:b/>
          <w:spacing w:val="0"/>
          <w:szCs w:val="24"/>
          <w:rtl w:val="true"/>
        </w:rPr>
        <w:t xml:space="preserve"> </w:t>
      </w:r>
      <w:r>
        <w:rPr>
          <w:rFonts w:ascii="Century" w:hAnsi="Century" w:cs="Miriam"/>
          <w:b/>
          <w:b/>
          <w:spacing w:val="0"/>
          <w:szCs w:val="24"/>
          <w:rtl w:val="true"/>
        </w:rPr>
        <w:t>זועקים</w:t>
      </w:r>
      <w:r>
        <w:rPr>
          <w:rFonts w:ascii="Century" w:hAnsi="Century" w:eastAsia="Century" w:cs="Century"/>
          <w:b/>
          <w:b/>
          <w:spacing w:val="0"/>
          <w:szCs w:val="24"/>
          <w:rtl w:val="true"/>
        </w:rPr>
        <w:t xml:space="preserve"> </w:t>
      </w:r>
      <w:r>
        <w:rPr>
          <w:rFonts w:ascii="Century" w:hAnsi="Century" w:cs="Miriam"/>
          <w:b/>
          <w:b/>
          <w:spacing w:val="0"/>
          <w:szCs w:val="24"/>
          <w:rtl w:val="true"/>
        </w:rPr>
        <w:t>לשמיים</w:t>
      </w:r>
      <w:r>
        <w:rPr>
          <w:rFonts w:cs="Miriam" w:ascii="Century" w:hAnsi="Century"/>
          <w:b/>
          <w:spacing w:val="0"/>
          <w:szCs w:val="24"/>
          <w:rtl w:val="true"/>
        </w:rPr>
        <w:t>"</w:t>
      </w:r>
      <w:r>
        <w:rPr>
          <w:rtl w:val="true"/>
        </w:rPr>
        <w:t xml:space="preserve"> (</w:t>
      </w:r>
      <w:r>
        <w:rPr>
          <w:rtl w:val="true"/>
        </w:rPr>
        <w:t xml:space="preserve">פסקה </w:t>
      </w:r>
      <w:r>
        <w:rPr/>
        <w:t>21</w:t>
      </w:r>
      <w:r>
        <w:rPr>
          <w:rtl w:val="true"/>
        </w:rPr>
        <w:t xml:space="preserve"> </w:t>
      </w:r>
      <w:r>
        <w:rPr>
          <w:rtl w:val="true"/>
        </w:rPr>
        <w:t>לגזר הדין</w:t>
      </w:r>
      <w:r>
        <w:rPr>
          <w:rtl w:val="true"/>
        </w:rPr>
        <w:t xml:space="preserve">). </w:t>
      </w:r>
      <w:r>
        <w:rPr>
          <w:rtl w:val="true"/>
        </w:rPr>
        <w:t>עם זאת ציין בית המשפט קמא לקולה כי במהלך השוד לא נעשה שימוש בנשק קר וכי מידת האלימות הישירה לא היתה כשלעצמה ברף הגבוה</w:t>
      </w:r>
      <w:r>
        <w:rPr>
          <w:rtl w:val="true"/>
        </w:rPr>
        <w:t xml:space="preserve">. </w:t>
      </w:r>
      <w:r>
        <w:rPr>
          <w:rtl w:val="true"/>
        </w:rPr>
        <w:t>בית המשפט קמא הוסיף וסקר את הפסיקה הרלבנטית המדגישה את החומרה שבשוד קשישים ואוכלוסיות חלשות ואת ההכרח בהשתת ענישה ממשית ומרתיעה במקרים אלה הכוללת רכיב משמעותי של מאסר מאחורי סורג ובריח</w:t>
      </w:r>
      <w:r>
        <w:rPr>
          <w:rtl w:val="true"/>
        </w:rPr>
        <w:t>.</w:t>
      </w:r>
    </w:p>
    <w:p>
      <w:pPr>
        <w:pStyle w:val="Ruller43"/>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בהבניית</w:t>
      </w:r>
      <w:r>
        <w:rPr>
          <w:rFonts w:eastAsia="Arial TUR;Arial" w:cs="Arial TUR;Arial"/>
          <w:rtl w:val="true"/>
        </w:rPr>
        <w:t xml:space="preserve"> </w:t>
      </w:r>
      <w:r>
        <w:rPr>
          <w:rtl w:val="true"/>
        </w:rPr>
        <w:t>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כקטין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לשיקול</w:t>
      </w:r>
      <w:r>
        <w:rPr>
          <w:rFonts w:eastAsia="Arial TUR;Arial" w:cs="Arial TUR;Arial"/>
          <w:rtl w:val="true"/>
        </w:rPr>
        <w:t xml:space="preserve"> </w:t>
      </w:r>
      <w:r>
        <w:rPr>
          <w:rtl w:val="true"/>
        </w:rPr>
        <w:t>השיקום</w:t>
      </w:r>
      <w:r>
        <w:rPr>
          <w:rtl w:val="true"/>
        </w:rPr>
        <w:t xml:space="preserve">. </w:t>
      </w:r>
      <w:r>
        <w:rPr>
          <w:rtl w:val="true"/>
        </w:rPr>
        <w:t>עם</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קטינות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חסינות</w:t>
      </w:r>
      <w:r>
        <w:rPr>
          <w:rFonts w:eastAsia="Arial TUR;Arial" w:cs="Arial TUR;Arial"/>
          <w:rtl w:val="true"/>
        </w:rPr>
        <w:t xml:space="preserve"> </w:t>
      </w:r>
      <w:r>
        <w:rPr>
          <w:rtl w:val="true"/>
        </w:rPr>
        <w:t>מענישה</w:t>
      </w:r>
      <w:r>
        <w:rPr>
          <w:rFonts w:eastAsia="Arial TUR;Arial" w:cs="Arial TUR;Arial"/>
          <w:rtl w:val="true"/>
        </w:rPr>
        <w:t xml:space="preserve"> </w:t>
      </w:r>
      <w:r>
        <w:rPr>
          <w:rtl w:val="true"/>
        </w:rPr>
        <w:t>בפרט</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דנן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המכביד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הרשעות</w:t>
      </w:r>
      <w:r>
        <w:rPr>
          <w:rFonts w:eastAsia="Arial TUR;Arial" w:cs="Arial TUR;Arial"/>
          <w:rtl w:val="true"/>
        </w:rPr>
        <w:t xml:space="preserve"> </w:t>
      </w:r>
      <w:r>
        <w:rPr>
          <w:rtl w:val="true"/>
        </w:rPr>
        <w:t>במגוון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w:t>
      </w:r>
      <w:r>
        <w:rPr>
          <w:rtl w:val="true"/>
        </w:rPr>
        <w:t>מין</w:t>
      </w:r>
      <w:r>
        <w:rPr>
          <w:rtl w:val="true"/>
        </w:rPr>
        <w:t xml:space="preserve">, </w:t>
      </w:r>
      <w:r>
        <w:rPr>
          <w:rtl w:val="true"/>
        </w:rPr>
        <w:t>אלימות</w:t>
      </w:r>
      <w:r>
        <w:rPr>
          <w:rtl w:val="true"/>
        </w:rPr>
        <w:t xml:space="preserve">, </w:t>
      </w:r>
      <w:r>
        <w:rPr>
          <w:rtl w:val="true"/>
        </w:rPr>
        <w:t>רכוש</w:t>
      </w:r>
      <w:r>
        <w:rPr>
          <w:rtl w:val="true"/>
        </w:rPr>
        <w:t xml:space="preserve">, </w:t>
      </w:r>
      <w:r>
        <w:rPr>
          <w:rtl w:val="true"/>
        </w:rPr>
        <w:t>החזקת</w:t>
      </w:r>
      <w:r>
        <w:rPr>
          <w:rFonts w:eastAsia="Arial TUR;Arial" w:cs="Arial TUR;Arial"/>
          <w:rtl w:val="true"/>
        </w:rPr>
        <w:t xml:space="preserve"> </w:t>
      </w:r>
      <w:r>
        <w:rPr>
          <w:rtl w:val="true"/>
        </w:rPr>
        <w:t>סכין</w:t>
      </w:r>
      <w:r>
        <w:rPr>
          <w:rtl w:val="true"/>
        </w:rPr>
        <w:t xml:space="preserve">, </w:t>
      </w:r>
      <w:r>
        <w:rPr>
          <w:rtl w:val="true"/>
        </w:rPr>
        <w:t>איומים</w:t>
      </w:r>
      <w:r>
        <w:rPr>
          <w:rFonts w:eastAsia="Arial TUR;Arial" w:cs="Arial TUR;Arial"/>
          <w:rtl w:val="true"/>
        </w:rPr>
        <w:t xml:space="preserve"> </w:t>
      </w:r>
      <w:r>
        <w:rPr>
          <w:rtl w:val="true"/>
        </w:rPr>
        <w:t>וסדר</w:t>
      </w:r>
      <w:r>
        <w:rPr>
          <w:rFonts w:eastAsia="Arial TUR;Arial" w:cs="Arial TUR;Arial"/>
          <w:rtl w:val="true"/>
        </w:rPr>
        <w:t xml:space="preserve"> </w:t>
      </w:r>
      <w:r>
        <w:rPr>
          <w:rtl w:val="true"/>
        </w:rPr>
        <w:t>ציבורי</w:t>
      </w:r>
      <w:r>
        <w:rPr>
          <w:rtl w:val="true"/>
        </w:rPr>
        <w:t xml:space="preserve">) </w:t>
      </w:r>
      <w:r>
        <w:rPr>
          <w:rtl w:val="true"/>
        </w:rPr>
        <w:t>בגינן</w:t>
      </w:r>
      <w:r>
        <w:rPr>
          <w:rFonts w:eastAsia="Arial TUR;Arial" w:cs="Arial TUR;Arial"/>
          <w:rtl w:val="true"/>
        </w:rPr>
        <w:t xml:space="preserve"> </w:t>
      </w:r>
      <w:r>
        <w:rPr>
          <w:rtl w:val="true"/>
        </w:rPr>
        <w:t>ריצה</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תקופות</w:t>
      </w:r>
      <w:r>
        <w:rPr>
          <w:rFonts w:eastAsia="Arial TUR;Arial" w:cs="Arial TUR;Arial"/>
          <w:rtl w:val="true"/>
        </w:rPr>
        <w:t xml:space="preserve"> </w:t>
      </w:r>
      <w:r>
        <w:rPr>
          <w:rtl w:val="true"/>
        </w:rPr>
        <w:t>מאסר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שהעונשים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שהוטלו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השנים</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מרתיעים</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והדגיש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שהותו</w:t>
      </w:r>
      <w:r>
        <w:rPr>
          <w:rFonts w:eastAsia="Arial TUR;Arial" w:cs="Arial TUR;Arial"/>
          <w:rtl w:val="true"/>
        </w:rPr>
        <w:t xml:space="preserve"> </w:t>
      </w:r>
      <w:r>
        <w:rPr>
          <w:rtl w:val="true"/>
        </w:rPr>
        <w:t>מחוץ</w:t>
      </w:r>
      <w:r>
        <w:rPr>
          <w:rFonts w:eastAsia="Arial TUR;Arial" w:cs="Arial TUR;Arial"/>
          <w:rtl w:val="true"/>
        </w:rPr>
        <w:t xml:space="preserve"> </w:t>
      </w:r>
      <w:r>
        <w:rPr>
          <w:rtl w:val="true"/>
        </w:rPr>
        <w:t>לכותלי</w:t>
      </w:r>
      <w:r>
        <w:rPr>
          <w:rFonts w:eastAsia="Arial TUR;Arial" w:cs="Arial TUR;Arial"/>
          <w:rtl w:val="true"/>
        </w:rPr>
        <w:t xml:space="preserve"> </w:t>
      </w:r>
      <w:r>
        <w:rPr>
          <w:rtl w:val="true"/>
        </w:rPr>
        <w:t>הכלא</w:t>
      </w:r>
      <w:r>
        <w:rPr>
          <w:rFonts w:eastAsia="Arial TUR;Arial" w:cs="Arial TUR;Arial"/>
          <w:rtl w:val="true"/>
        </w:rPr>
        <w:t xml:space="preserve"> </w:t>
      </w:r>
      <w:r>
        <w:rPr>
          <w:rtl w:val="true"/>
        </w:rPr>
        <w:t>מעמידה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בסכנה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בהינתן</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מעשיו</w:t>
      </w:r>
      <w:r>
        <w:rPr>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והיותו</w:t>
      </w:r>
      <w:r>
        <w:rPr>
          <w:rFonts w:eastAsia="Arial TUR;Arial" w:cs="Arial TUR;Arial"/>
          <w:rtl w:val="true"/>
        </w:rPr>
        <w:t xml:space="preserve"> </w:t>
      </w:r>
      <w:r>
        <w:rPr>
          <w:rtl w:val="true"/>
        </w:rPr>
        <w:t>קרוב</w:t>
      </w:r>
      <w:r>
        <w:rPr>
          <w:rFonts w:eastAsia="Arial TUR;Arial" w:cs="Arial TUR;Arial"/>
          <w:rtl w:val="true"/>
        </w:rPr>
        <w:t xml:space="preserve"> </w:t>
      </w:r>
      <w:r>
        <w:rPr>
          <w:rtl w:val="true"/>
        </w:rPr>
        <w:t>לגיל</w:t>
      </w:r>
      <w:r>
        <w:rPr>
          <w:rFonts w:eastAsia="Arial TUR;Arial" w:cs="Arial TUR;Arial"/>
          <w:rtl w:val="true"/>
        </w:rPr>
        <w:t xml:space="preserve"> </w:t>
      </w:r>
      <w:r>
        <w:rPr>
          <w:rtl w:val="true"/>
        </w:rPr>
        <w:t>הבגירות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המעשים</w:t>
      </w:r>
      <w:r>
        <w:rPr>
          <w:rtl w:val="true"/>
        </w:rPr>
        <w:t xml:space="preserve">, </w:t>
      </w:r>
      <w:r>
        <w:rPr>
          <w:rtl w:val="true"/>
        </w:rPr>
        <w:t>סבר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בהיותו</w:t>
      </w:r>
      <w:r>
        <w:rPr>
          <w:rFonts w:eastAsia="Arial TUR;Arial" w:cs="Arial TUR;Arial"/>
          <w:rtl w:val="true"/>
        </w:rPr>
        <w:t xml:space="preserve"> </w:t>
      </w:r>
      <w:r>
        <w:rPr>
          <w:rtl w:val="true"/>
        </w:rPr>
        <w:t>קטין</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מצדיקה</w:t>
      </w:r>
      <w:r>
        <w:rPr>
          <w:rFonts w:eastAsia="Arial TUR;Arial" w:cs="Arial TUR;Arial"/>
          <w:rtl w:val="true"/>
        </w:rPr>
        <w:t xml:space="preserve"> </w:t>
      </w:r>
      <w:r>
        <w:rPr>
          <w:rtl w:val="true"/>
        </w:rPr>
        <w:t>הקלה</w:t>
      </w:r>
      <w:r>
        <w:rPr>
          <w:rFonts w:eastAsia="Arial TUR;Arial" w:cs="Arial TUR;Arial"/>
          <w:rtl w:val="true"/>
        </w:rPr>
        <w:t xml:space="preserve"> </w:t>
      </w:r>
      <w:r>
        <w:rPr>
          <w:rtl w:val="true"/>
        </w:rPr>
        <w:t>משמעותית</w:t>
      </w:r>
      <w:r>
        <w:rPr>
          <w:rFonts w:eastAsia="Arial TUR;Arial" w:cs="Arial TUR;Arial"/>
          <w:rtl w:val="true"/>
        </w:rPr>
        <w:t xml:space="preserve"> </w:t>
      </w:r>
      <w:r>
        <w:rPr>
          <w:rtl w:val="true"/>
        </w:rPr>
        <w:t>בעונשו</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ער</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שמאפייניו</w:t>
      </w:r>
      <w:r>
        <w:rPr>
          <w:rFonts w:eastAsia="Arial TUR;Arial" w:cs="Arial TUR;Arial"/>
          <w:rtl w:val="true"/>
        </w:rPr>
        <w:t xml:space="preserve"> </w:t>
      </w:r>
      <w:r>
        <w:rPr>
          <w:rtl w:val="true"/>
        </w:rPr>
        <w:t>האישיים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עשויים</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לקשיים</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מאסרו</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הביע</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תקווה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בתי</w:t>
      </w:r>
      <w:r>
        <w:rPr>
          <w:rFonts w:eastAsia="Arial TUR;Arial" w:cs="Arial TUR;Arial"/>
          <w:rtl w:val="true"/>
        </w:rPr>
        <w:t xml:space="preserve"> </w:t>
      </w:r>
      <w:r>
        <w:rPr>
          <w:rtl w:val="true"/>
        </w:rPr>
        <w:t>הסוהר</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מסגרת</w:t>
      </w:r>
      <w:r>
        <w:rPr>
          <w:rFonts w:eastAsia="Arial TUR;Arial" w:cs="Arial TUR;Arial"/>
          <w:rtl w:val="true"/>
        </w:rPr>
        <w:t xml:space="preserve"> </w:t>
      </w:r>
      <w:r>
        <w:rPr>
          <w:rtl w:val="true"/>
        </w:rPr>
        <w:t>טיפולית</w:t>
      </w:r>
      <w:r>
        <w:rPr>
          <w:rtl w:val="true"/>
        </w:rPr>
        <w:t>-</w:t>
      </w:r>
      <w:r>
        <w:rPr>
          <w:rtl w:val="true"/>
        </w:rPr>
        <w:t>שיקומית</w:t>
      </w:r>
      <w:r>
        <w:rPr>
          <w:rFonts w:eastAsia="Arial TUR;Arial" w:cs="Arial TUR;Arial"/>
          <w:rtl w:val="true"/>
        </w:rPr>
        <w:t xml:space="preserve"> </w:t>
      </w:r>
      <w:r>
        <w:rPr>
          <w:rtl w:val="true"/>
        </w:rPr>
        <w:t>שתענה</w:t>
      </w:r>
      <w:r>
        <w:rPr>
          <w:rFonts w:eastAsia="Arial TUR;Arial" w:cs="Arial TUR;Arial"/>
          <w:rtl w:val="true"/>
        </w:rPr>
        <w:t xml:space="preserve"> </w:t>
      </w:r>
      <w:r>
        <w:rPr>
          <w:rtl w:val="true"/>
        </w:rPr>
        <w:t>לצרכיו</w:t>
      </w:r>
      <w:r>
        <w:rPr>
          <w:rtl w:val="true"/>
        </w:rPr>
        <w:t xml:space="preserve">. </w:t>
      </w:r>
      <w:r>
        <w:rPr>
          <w:rtl w:val="true"/>
        </w:rPr>
        <w:t>בהתייחסו</w:t>
      </w:r>
      <w:r>
        <w:rPr>
          <w:rFonts w:eastAsia="Arial TUR;Arial" w:cs="Arial TUR;Arial"/>
          <w:rtl w:val="true"/>
        </w:rPr>
        <w:t xml:space="preserve"> </w:t>
      </w:r>
      <w:r>
        <w:rPr>
          <w:rtl w:val="true"/>
        </w:rPr>
        <w:t>לשלושת</w:t>
      </w:r>
      <w:r>
        <w:rPr>
          <w:rFonts w:eastAsia="Arial TUR;Arial" w:cs="Arial TUR;Arial"/>
          <w:rtl w:val="true"/>
        </w:rPr>
        <w:t xml:space="preserve"> </w:t>
      </w:r>
      <w:r>
        <w:rPr>
          <w:rtl w:val="true"/>
        </w:rPr>
        <w:t>התיקים</w:t>
      </w:r>
      <w:r>
        <w:rPr>
          <w:rFonts w:eastAsia="Arial TUR;Arial" w:cs="Arial TUR;Arial"/>
          <w:rtl w:val="true"/>
        </w:rPr>
        <w:t xml:space="preserve"> </w:t>
      </w:r>
      <w:r>
        <w:rPr>
          <w:rtl w:val="true"/>
        </w:rPr>
        <w:t>שצורפו</w:t>
      </w:r>
      <w:r>
        <w:rPr>
          <w:rFonts w:eastAsia="Arial TUR;Arial" w:cs="Arial TUR;Arial"/>
          <w:rtl w:val="true"/>
        </w:rPr>
        <w:t xml:space="preserve"> </w:t>
      </w:r>
      <w:r>
        <w:rPr>
          <w:rtl w:val="true"/>
        </w:rPr>
        <w:t>כאמור</w:t>
      </w:r>
      <w:r>
        <w:rPr>
          <w:rtl w:val="true"/>
        </w:rPr>
        <w:t xml:space="preserve">, </w:t>
      </w:r>
      <w:r>
        <w:rPr>
          <w:rtl w:val="true"/>
        </w:rPr>
        <w:t>הדגיש</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שהתנהגות</w:t>
      </w:r>
      <w:r>
        <w:rPr>
          <w:rFonts w:eastAsia="Arial TUR;Arial" w:cs="Arial TUR;Arial"/>
          <w:rtl w:val="true"/>
        </w:rPr>
        <w:t xml:space="preserve"> </w:t>
      </w:r>
      <w:r>
        <w:rPr>
          <w:rtl w:val="true"/>
        </w:rPr>
        <w:t>אלימה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הסגל</w:t>
      </w:r>
      <w:r>
        <w:rPr>
          <w:rFonts w:eastAsia="Arial TUR;Arial" w:cs="Arial TUR;Arial"/>
          <w:rtl w:val="true"/>
        </w:rPr>
        <w:t xml:space="preserve"> </w:t>
      </w:r>
      <w:r>
        <w:rPr>
          <w:rtl w:val="true"/>
        </w:rPr>
        <w:t>בכלא</w:t>
      </w:r>
      <w:r>
        <w:rPr>
          <w:rFonts w:eastAsia="Arial TUR;Arial" w:cs="Arial TUR;Arial"/>
          <w:rtl w:val="true"/>
        </w:rPr>
        <w:t xml:space="preserve"> </w:t>
      </w:r>
      <w:r>
        <w:rPr>
          <w:rtl w:val="true"/>
        </w:rPr>
        <w:t>כרוכה</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w:t>
      </w:r>
    </w:p>
    <w:p>
      <w:pPr>
        <w:pStyle w:val="Ruller42"/>
        <w:ind w:end="0"/>
        <w:jc w:val="both"/>
        <w:rPr/>
      </w:pPr>
      <w:r>
        <w:rPr>
          <w:rtl w:val="true"/>
        </w:rPr>
      </w:r>
    </w:p>
    <w:p>
      <w:pPr>
        <w:pStyle w:val="Ruller42"/>
        <w:ind w:end="0"/>
        <w:jc w:val="both"/>
        <w:rPr/>
      </w:pPr>
      <w:r>
        <w:rPr>
          <w:rtl w:val="true"/>
        </w:rPr>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הערעור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הערעור דנן מופנה כלפי חומרת העונש</w:t>
      </w:r>
      <w:r>
        <w:rPr>
          <w:rtl w:val="true"/>
        </w:rPr>
        <w:t xml:space="preserve">. </w:t>
      </w:r>
      <w:r>
        <w:rPr>
          <w:rtl w:val="true"/>
        </w:rPr>
        <w:t>למען שלמות התמונה יצוין כי ערעור נפרד שהגיש האחר על גזר דינו</w:t>
      </w:r>
      <w:r>
        <w:rPr>
          <w:rtl w:val="true"/>
        </w:rPr>
        <w:t xml:space="preserve">, </w:t>
      </w:r>
      <w:r>
        <w:rPr>
          <w:rtl w:val="true"/>
        </w:rPr>
        <w:t xml:space="preserve">נדחה ביום </w:t>
      </w:r>
      <w:r>
        <w:rPr/>
        <w:t>24.10.2018</w:t>
      </w:r>
      <w:r>
        <w:rPr>
          <w:rtl w:val="true"/>
        </w:rPr>
        <w:t xml:space="preserve"> </w:t>
      </w:r>
      <w:r>
        <w:rPr>
          <w:rtl w:val="true"/>
        </w:rPr>
        <w:t>ב</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8515/17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w:t>
      </w:r>
      <w:r>
        <w:rPr>
          <w:rtl w:val="true"/>
        </w:rPr>
        <w:t>.</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המערער טוען כי בית המשפט קמא טעה משלא נתן משקל ראוי לנסיבותיו האישיות</w:t>
      </w:r>
      <w:r>
        <w:rPr>
          <w:rtl w:val="true"/>
        </w:rPr>
        <w:t xml:space="preserve">, </w:t>
      </w:r>
      <w:r>
        <w:rPr>
          <w:rtl w:val="true"/>
        </w:rPr>
        <w:t>ובפרט לקשייו הקוגניטיביי</w:t>
      </w:r>
      <w:r>
        <w:rPr>
          <w:rtl w:val="true"/>
        </w:rPr>
        <w:t>ם</w:t>
      </w:r>
      <w:r>
        <w:rPr>
          <w:rtl w:val="true"/>
        </w:rPr>
        <w:t xml:space="preserve">, </w:t>
      </w:r>
      <w:r>
        <w:rPr>
          <w:rtl w:val="true"/>
        </w:rPr>
        <w:t>הרגשיים וההתנהגותיים</w:t>
      </w:r>
      <w:r>
        <w:rPr>
          <w:rtl w:val="true"/>
        </w:rPr>
        <w:t xml:space="preserve">, </w:t>
      </w:r>
      <w:r>
        <w:rPr>
          <w:rtl w:val="true"/>
        </w:rPr>
        <w:t>לעובדה שביצע את העבירות כשהיה קטין וכן לכך שבסופו של דבר הביע חרטה ולקח אחריות מלאה על מעשיו</w:t>
      </w:r>
      <w:r>
        <w:rPr>
          <w:rtl w:val="true"/>
        </w:rPr>
        <w:t xml:space="preserve">. </w:t>
      </w:r>
      <w:r>
        <w:rPr>
          <w:rtl w:val="true"/>
        </w:rPr>
        <w:t>לטענת המערער</w:t>
      </w:r>
      <w:r>
        <w:rPr>
          <w:rtl w:val="true"/>
        </w:rPr>
        <w:t xml:space="preserve">, </w:t>
      </w:r>
      <w:r>
        <w:rPr>
          <w:rtl w:val="true"/>
        </w:rPr>
        <w:t>סירובן של מסגרות טיפול רבות לקלוט אותו הביא לכך שנוצל על</w:t>
      </w:r>
      <w:r>
        <w:rPr>
          <w:rtl w:val="true"/>
        </w:rPr>
        <w:t>-</w:t>
      </w:r>
      <w:r>
        <w:rPr>
          <w:rtl w:val="true"/>
        </w:rPr>
        <w:t>ידי גורמים שליליים שלקחו אותו תחת חסותם ובהם האחר</w:t>
      </w:r>
      <w:r>
        <w:rPr>
          <w:rtl w:val="true"/>
        </w:rPr>
        <w:t xml:space="preserve">. </w:t>
      </w:r>
      <w:r>
        <w:rPr>
          <w:rtl w:val="true"/>
        </w:rPr>
        <w:t>המערער סבור כי היעדר מסגרת טיפול המותאמת לקטינים בעלי מאפיינים כשלו</w:t>
      </w:r>
      <w:r>
        <w:rPr>
          <w:rtl w:val="true"/>
        </w:rPr>
        <w:t xml:space="preserve">, </w:t>
      </w:r>
      <w:r>
        <w:rPr>
          <w:rtl w:val="true"/>
        </w:rPr>
        <w:t>שלל ממנו את היכולת להשתקם ואף הוליך להחמרה בעונשו</w:t>
      </w:r>
      <w:r>
        <w:rPr>
          <w:rtl w:val="true"/>
        </w:rPr>
        <w:t xml:space="preserve">. </w:t>
      </w:r>
      <w:r>
        <w:rPr>
          <w:rtl w:val="true"/>
        </w:rPr>
        <w:t>כמו כן נטען כי בית המשפט קמא התעלם מבקשתו שלא לזמן את המתלוננת לעדות ומכך שביצע את השוד תוך פגיעה מינימלית בה</w:t>
      </w:r>
      <w:r>
        <w:rPr>
          <w:rtl w:val="true"/>
        </w:rPr>
        <w:t xml:space="preserve">. </w:t>
      </w:r>
      <w:r>
        <w:rPr>
          <w:rtl w:val="true"/>
        </w:rPr>
        <w:t>המערער מוסיף ומלין על כך שלמרות שבית המשפט קמא ציין שגורם ההרתעה אינו חל בעניינו וכי ריצוי מאסר בתנאי בידוד קשה מנשוא עבורו</w:t>
      </w:r>
      <w:r>
        <w:rPr>
          <w:rtl w:val="true"/>
        </w:rPr>
        <w:t xml:space="preserve">, </w:t>
      </w:r>
      <w:r>
        <w:rPr>
          <w:rtl w:val="true"/>
        </w:rPr>
        <w:t>הוא גזר עליו עונש חמור ביותר אשר חורג ממדיניות הענישה הנוהגת במקרים דומים</w:t>
      </w:r>
      <w:r>
        <w:rPr>
          <w:rtl w:val="true"/>
        </w:rPr>
        <w:t xml:space="preserve">, </w:t>
      </w:r>
      <w:r>
        <w:rPr>
          <w:rtl w:val="true"/>
        </w:rPr>
        <w:t>בייחוד כאשר מדובר באדם שקשייו הקוגניטיביי</w:t>
      </w:r>
      <w:r>
        <w:rPr>
          <w:rtl w:val="true"/>
        </w:rPr>
        <w:t>ם</w:t>
      </w:r>
      <w:r>
        <w:rPr>
          <w:rtl w:val="true"/>
        </w:rPr>
        <w:t xml:space="preserve"> מעיבים על כושרו השיפוטי</w:t>
      </w:r>
      <w:r>
        <w:rPr>
          <w:rtl w:val="true"/>
        </w:rPr>
        <w:t xml:space="preserve">. </w:t>
      </w:r>
      <w:r>
        <w:rPr>
          <w:rtl w:val="true"/>
        </w:rPr>
        <w:t>עוד טוען המערער כי חרף בקשתו להגיע לכלא טיפולי על</w:t>
      </w:r>
      <w:r>
        <w:rPr>
          <w:rtl w:val="true"/>
        </w:rPr>
        <w:t>-</w:t>
      </w:r>
      <w:r>
        <w:rPr>
          <w:rtl w:val="true"/>
        </w:rPr>
        <w:t>מנת לעבור תהליך שיקומי</w:t>
      </w:r>
      <w:r>
        <w:rPr>
          <w:rtl w:val="true"/>
        </w:rPr>
        <w:t xml:space="preserve">, </w:t>
      </w:r>
      <w:r>
        <w:rPr>
          <w:rtl w:val="true"/>
        </w:rPr>
        <w:t>לא נעשה כל ניסיון ממשי למצוא עבורו מסגרת טיפולית</w:t>
      </w:r>
      <w:r>
        <w:rPr>
          <w:rtl w:val="true"/>
        </w:rPr>
        <w:t xml:space="preserve">. </w:t>
      </w:r>
      <w:r>
        <w:rPr>
          <w:rtl w:val="true"/>
        </w:rPr>
        <w:t>מצב דברים זה</w:t>
      </w:r>
      <w:r>
        <w:rPr>
          <w:rtl w:val="true"/>
        </w:rPr>
        <w:t xml:space="preserve">, </w:t>
      </w:r>
      <w:r>
        <w:rPr>
          <w:rtl w:val="true"/>
        </w:rPr>
        <w:t>כך טוען המערער</w:t>
      </w:r>
      <w:r>
        <w:rPr>
          <w:rtl w:val="true"/>
        </w:rPr>
        <w:t xml:space="preserve">, </w:t>
      </w:r>
      <w:r>
        <w:rPr>
          <w:rtl w:val="true"/>
        </w:rPr>
        <w:t>עלול לגרום לכך שיסיים את תקופת המאסר כשהוא מעורער נפשית ובלא יכולת לשוב ולהשתלב בחברה</w:t>
      </w:r>
      <w:r>
        <w:rPr>
          <w:rtl w:val="true"/>
        </w:rPr>
        <w:t xml:space="preserve">. </w:t>
      </w:r>
      <w:r>
        <w:rPr>
          <w:rtl w:val="true"/>
        </w:rPr>
        <w:t>לבסוף טוען המערער כי האירועים שתוארו בתיקים שצירף מעידים כי הוא נתון במסגרת שאינה מתאימה לו ומכל מקום</w:t>
      </w:r>
      <w:r>
        <w:rPr>
          <w:rtl w:val="true"/>
        </w:rPr>
        <w:t xml:space="preserve">, </w:t>
      </w:r>
      <w:r>
        <w:rPr>
          <w:rtl w:val="true"/>
        </w:rPr>
        <w:t>כך נטען</w:t>
      </w:r>
      <w:r>
        <w:rPr>
          <w:rtl w:val="true"/>
        </w:rPr>
        <w:t xml:space="preserve">, </w:t>
      </w:r>
      <w:r>
        <w:rPr>
          <w:rtl w:val="true"/>
        </w:rPr>
        <w:t>הוא כבר נענש בגין אירועים אלה במסגרת הכלא ולא היתה הצדקה לענישה נוספת בגינם</w:t>
      </w:r>
      <w:r>
        <w:rPr>
          <w:rtl w:val="true"/>
        </w:rPr>
        <w:t xml:space="preserve">. </w:t>
      </w:r>
      <w:r>
        <w:rPr>
          <w:rtl w:val="true"/>
        </w:rPr>
        <w:t>בשל כל האמור לעיל</w:t>
      </w:r>
      <w:r>
        <w:rPr>
          <w:rtl w:val="true"/>
        </w:rPr>
        <w:t xml:space="preserve">, </w:t>
      </w:r>
      <w:r>
        <w:rPr>
          <w:rtl w:val="true"/>
        </w:rPr>
        <w:t>טוען המערער כי יש לקצר את עונש המאסר שהוטל עליו</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לקראת הדיון הראשון שנקבע בערעור ליום </w:t>
      </w:r>
      <w:r>
        <w:rPr/>
        <w:t>8.10.2018</w:t>
      </w:r>
      <w:r>
        <w:rPr>
          <w:rtl w:val="true"/>
        </w:rPr>
        <w:t xml:space="preserve">, </w:t>
      </w:r>
      <w:r>
        <w:rPr>
          <w:rtl w:val="true"/>
        </w:rPr>
        <w:t>הוגש מטעם שירות המבחן לנוער תסקיר משלים ובו צוין כי בשל התנהגות תוקפנית כלפי צוות בית הסוהר שוהה המערער באגף הפרדה</w:t>
      </w:r>
      <w:r>
        <w:rPr>
          <w:rtl w:val="true"/>
        </w:rPr>
        <w:t xml:space="preserve">. </w:t>
      </w:r>
      <w:r>
        <w:rPr>
          <w:rtl w:val="true"/>
        </w:rPr>
        <w:t>עוד נכתב בתסקיר כי המערער טוען שהתאסלם והוא מתנגד לקשר טיפולי שהוצע לו במסגרת הכלא וכן סירב לשתף פעולה עם טיפול פסיכיאטרי שלו הוא זקוק</w:t>
      </w:r>
      <w:r>
        <w:rPr>
          <w:rtl w:val="true"/>
        </w:rPr>
        <w:t xml:space="preserve">. </w:t>
      </w:r>
      <w:r>
        <w:rPr>
          <w:rtl w:val="true"/>
        </w:rPr>
        <w:t>שירות המבחן התרשם כי המערער אינו פנוי מבחינה רגשית והתנהגותית לשילוב בהליך טיפולי או חינוכי וצוין כי בשל החזקתו בהפרדה האפשרות לשלבו בהליך כאמור אף אינה עומדת על הפרק</w:t>
      </w:r>
      <w:r>
        <w:rPr>
          <w:rtl w:val="true"/>
        </w:rPr>
        <w:t xml:space="preserve">. </w:t>
      </w:r>
      <w:r>
        <w:rPr>
          <w:rtl w:val="true"/>
        </w:rPr>
        <w:t>על רקע זה לא מצא שירות המבחן גורמי סיכוי כלשהם בקשר למערער ולעומת זאת התרשם מקיומם של גורמי סיכון רבים העולים ממצבו ובהם</w:t>
      </w:r>
      <w:r>
        <w:rPr>
          <w:rtl w:val="true"/>
        </w:rPr>
        <w:t xml:space="preserve">, </w:t>
      </w:r>
      <w:r>
        <w:rPr>
          <w:rtl w:val="true"/>
        </w:rPr>
        <w:t>בין היתר</w:t>
      </w:r>
      <w:r>
        <w:rPr>
          <w:rtl w:val="true"/>
        </w:rPr>
        <w:t xml:space="preserve">, </w:t>
      </w:r>
      <w:r>
        <w:rPr>
          <w:rtl w:val="true"/>
        </w:rPr>
        <w:t>סירובו להשתלב בתכנית טיפול</w:t>
      </w:r>
      <w:r>
        <w:rPr>
          <w:rtl w:val="true"/>
        </w:rPr>
        <w:t xml:space="preserve">; </w:t>
      </w:r>
      <w:r>
        <w:rPr>
          <w:rtl w:val="true"/>
        </w:rPr>
        <w:t>התנהגות תוקפנית כלפי סגל הכלא</w:t>
      </w:r>
      <w:r>
        <w:rPr>
          <w:rtl w:val="true"/>
        </w:rPr>
        <w:t xml:space="preserve">; </w:t>
      </w:r>
      <w:r>
        <w:rPr>
          <w:rtl w:val="true"/>
        </w:rPr>
        <w:t>היעדר חרטה ואמפתיה כלפי המתלוננת</w:t>
      </w:r>
      <w:r>
        <w:rPr>
          <w:rtl w:val="true"/>
        </w:rPr>
        <w:t xml:space="preserve">; </w:t>
      </w:r>
      <w:r>
        <w:rPr>
          <w:rtl w:val="true"/>
        </w:rPr>
        <w:t>וחוסר נכונותו להכיר בהתנהגותו הפוגענית בתיקים שצירף</w:t>
      </w:r>
      <w:r>
        <w:rPr>
          <w:rtl w:val="true"/>
        </w:rPr>
        <w:t xml:space="preserve">. </w:t>
      </w:r>
      <w:r>
        <w:rPr>
          <w:rtl w:val="true"/>
        </w:rPr>
        <w:t>על כן שב שירות המבחן וציין גם בתסקיר המשלים כי אין בידו לבוא בהמלצה כלשהי בעניינו של המערער</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במהלך הדיון שהתקיים בערעור ביום </w:t>
      </w:r>
      <w:r>
        <w:rPr/>
        <w:t>8.10.2018</w:t>
      </w:r>
      <w:r>
        <w:rPr>
          <w:rtl w:val="true"/>
        </w:rPr>
        <w:t xml:space="preserve">, </w:t>
      </w:r>
      <w:r>
        <w:rPr>
          <w:rtl w:val="true"/>
        </w:rPr>
        <w:t xml:space="preserve">השתולל המערער באולם בית המשפט והיכה את איש יחידת הליווי </w:t>
      </w:r>
      <w:r>
        <w:rPr>
          <w:rtl w:val="true"/>
        </w:rPr>
        <w:t>"</w:t>
      </w:r>
      <w:r>
        <w:rPr>
          <w:rtl w:val="true"/>
        </w:rPr>
        <w:t>נחשון</w:t>
      </w:r>
      <w:r>
        <w:rPr>
          <w:rtl w:val="true"/>
        </w:rPr>
        <w:t xml:space="preserve">" </w:t>
      </w:r>
      <w:r>
        <w:rPr>
          <w:rtl w:val="true"/>
        </w:rPr>
        <w:t>שישב לצדו</w:t>
      </w:r>
      <w:r>
        <w:rPr>
          <w:rtl w:val="true"/>
        </w:rPr>
        <w:t xml:space="preserve">. </w:t>
      </w:r>
      <w:r>
        <w:rPr>
          <w:rtl w:val="true"/>
        </w:rPr>
        <w:t>המערער ואיש יחידת הליווי פונו לקבלת טיפול רפואי והמשך הדיון בערעור נדחה למועד אחר</w:t>
      </w:r>
      <w:r>
        <w:rPr>
          <w:rtl w:val="true"/>
        </w:rPr>
        <w:t xml:space="preserve">. </w:t>
      </w:r>
      <w:r>
        <w:rPr>
          <w:rtl w:val="true"/>
        </w:rPr>
        <w:t>בשים לב לחומר שבתיק ולהשתוללות המערער באולם בית המשפט</w:t>
      </w:r>
      <w:r>
        <w:rPr>
          <w:rtl w:val="true"/>
        </w:rPr>
        <w:t xml:space="preserve">, </w:t>
      </w:r>
      <w:r>
        <w:rPr>
          <w:rtl w:val="true"/>
        </w:rPr>
        <w:t>נקבע בתום הדיון האמור כי גורמי הטיפול יערכו בהקדם האפשרי אבחון לגבי מצבו הנפשי ויעניקו לו טיפול מתאים</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לקראת דיון ההמשך בערעור שהתקיים ביום </w:t>
      </w:r>
      <w:r>
        <w:rPr/>
        <w:t>21.1.2019</w:t>
      </w:r>
      <w:r>
        <w:rPr>
          <w:rtl w:val="true"/>
        </w:rPr>
        <w:t xml:space="preserve">, </w:t>
      </w:r>
      <w:r>
        <w:rPr>
          <w:rtl w:val="true"/>
        </w:rPr>
        <w:t>הוגש תסקיר משלים נוסף מטעם שירות המבחן לנוער ובו צוין כי המערער שוהה באגף סגור</w:t>
      </w:r>
      <w:r>
        <w:rPr>
          <w:rtl w:val="true"/>
        </w:rPr>
        <w:t xml:space="preserve">. </w:t>
      </w:r>
      <w:r>
        <w:rPr>
          <w:rtl w:val="true"/>
        </w:rPr>
        <w:t>עוד נמסר כי לאורך מאסרו וגם מאז הדיון בערעור ביצע המערער עבירות משמעת רבות</w:t>
      </w:r>
      <w:r>
        <w:rPr>
          <w:rtl w:val="true"/>
        </w:rPr>
        <w:t xml:space="preserve">, </w:t>
      </w:r>
      <w:r>
        <w:rPr>
          <w:rtl w:val="true"/>
        </w:rPr>
        <w:t>ובהן גם עבירות בתחום האלימות כלפי אסירים וסוהרים</w:t>
      </w:r>
      <w:r>
        <w:rPr>
          <w:rtl w:val="true"/>
        </w:rPr>
        <w:t xml:space="preserve">. </w:t>
      </w:r>
      <w:r>
        <w:rPr>
          <w:rtl w:val="true"/>
        </w:rPr>
        <w:t>שירות המבחן הדגיש כי המערער ממשיך להתנגד לטיפול ומרבה להאשים גורמים שונים במצבו</w:t>
      </w:r>
      <w:r>
        <w:rPr>
          <w:rtl w:val="true"/>
        </w:rPr>
        <w:t xml:space="preserve">. </w:t>
      </w:r>
      <w:r>
        <w:rPr>
          <w:rtl w:val="true"/>
        </w:rPr>
        <w:t xml:space="preserve">כמו כן צוין כי בבדיקה פסיכיאטרית שנערכה למערער במהלך אוקטובר </w:t>
      </w:r>
      <w:r>
        <w:rPr/>
        <w:t>2018</w:t>
      </w:r>
      <w:r>
        <w:rPr>
          <w:rtl w:val="true"/>
        </w:rPr>
        <w:t xml:space="preserve"> </w:t>
      </w:r>
      <w:r>
        <w:rPr>
          <w:rtl w:val="true"/>
        </w:rPr>
        <w:t>עלה כי הוא אינו נתון במצב פסיכוטי פעיל או אפקטיבי פעיל</w:t>
      </w:r>
      <w:r>
        <w:rPr>
          <w:rtl w:val="true"/>
        </w:rPr>
        <w:t xml:space="preserve">, </w:t>
      </w:r>
      <w:r>
        <w:rPr>
          <w:rtl w:val="true"/>
        </w:rPr>
        <w:t>וכי לא קיימת עדות למסוכנות פיזית מיידית מצדו</w:t>
      </w:r>
      <w:r>
        <w:rPr>
          <w:rtl w:val="true"/>
        </w:rPr>
        <w:t xml:space="preserve">. </w:t>
      </w:r>
      <w:r>
        <w:rPr>
          <w:rtl w:val="true"/>
        </w:rPr>
        <w:t>הרושם שנוצר באותה בדיקה הוא שלמערער הפרעת אישיות אנטי</w:t>
      </w:r>
      <w:r>
        <w:rPr>
          <w:rtl w:val="true"/>
        </w:rPr>
        <w:t>-</w:t>
      </w:r>
      <w:r>
        <w:rPr>
          <w:rtl w:val="true"/>
        </w:rPr>
        <w:t>סוציאלית והומלץ על התחלת טיפול תרופתי ומעקב</w:t>
      </w:r>
      <w:r>
        <w:rPr>
          <w:rtl w:val="true"/>
        </w:rPr>
        <w:t xml:space="preserve">, </w:t>
      </w:r>
      <w:r>
        <w:rPr>
          <w:rtl w:val="true"/>
        </w:rPr>
        <w:t>ללא צורך בהשגחה פסיכיאטרית</w:t>
      </w:r>
      <w:r>
        <w:rPr>
          <w:rtl w:val="true"/>
        </w:rPr>
        <w:t xml:space="preserve">. </w:t>
      </w:r>
      <w:r>
        <w:rPr>
          <w:rtl w:val="true"/>
        </w:rPr>
        <w:t>עם זאת נמסר בתסקיר כי המערער מסרב לטיפול התרופתי וכי הוא ממשיך להתקשות בהפקת תובנות ממעשיו כלפי המתלוננת</w:t>
      </w:r>
      <w:r>
        <w:rPr>
          <w:rtl w:val="true"/>
        </w:rPr>
        <w:t xml:space="preserve">. </w:t>
      </w:r>
      <w:r>
        <w:rPr>
          <w:rtl w:val="true"/>
        </w:rPr>
        <w:t>לאור האמור התרשם שירות המבחן כי גם מאז הדיון הקודם בערעור מתקיימים גורמי סיכון רבים אצל המערער וצוין כי קיים חשד לכך שביצע עבירות חדשות במהלך התקופה האחרונה</w:t>
      </w:r>
      <w:r>
        <w:rPr>
          <w:rtl w:val="true"/>
        </w:rPr>
        <w:t xml:space="preserve">. </w:t>
      </w:r>
      <w:r>
        <w:rPr>
          <w:rtl w:val="true"/>
        </w:rPr>
        <w:t>שירות המבחן סיכם על כן כי אין לו המלצה גם בשלב הערעור</w:t>
      </w:r>
      <w:r>
        <w:rPr>
          <w:rtl w:val="true"/>
        </w:rPr>
        <w:t>.</w:t>
      </w:r>
    </w:p>
    <w:p>
      <w:pPr>
        <w:pStyle w:val="Ruller42"/>
        <w:ind w:end="0"/>
        <w:jc w:val="both"/>
        <w:rPr/>
      </w:pPr>
      <w:r>
        <w:rPr>
          <w:rtl w:val="true"/>
        </w:rPr>
      </w:r>
    </w:p>
    <w:p>
      <w:pPr>
        <w:pStyle w:val="Ruller43"/>
        <w:numPr>
          <w:ilvl w:val="0"/>
          <w:numId w:val="1"/>
        </w:numPr>
        <w:ind w:hanging="0" w:start="0" w:end="0"/>
        <w:jc w:val="both"/>
        <w:rPr/>
      </w:pPr>
      <w:r>
        <w:rPr>
          <w:rtl w:val="true"/>
        </w:rPr>
        <w:t xml:space="preserve">בדיון שהתקיים בערעור ביום </w:t>
      </w:r>
      <w:r>
        <w:rPr/>
        <w:t>21.1.2019</w:t>
      </w:r>
      <w:r>
        <w:rPr>
          <w:rtl w:val="true"/>
        </w:rPr>
        <w:t xml:space="preserve"> </w:t>
      </w:r>
      <w:r>
        <w:rPr>
          <w:rtl w:val="true"/>
        </w:rPr>
        <w:t>שבה באת כוח המערער על טיעוני הערעור והשיגה על משך הזמן שבו מוחזק המערער בתנאי הפרדה</w:t>
      </w:r>
      <w:r>
        <w:rPr>
          <w:rtl w:val="true"/>
        </w:rPr>
        <w:t xml:space="preserve">. </w:t>
      </w:r>
      <w:r>
        <w:rPr>
          <w:rtl w:val="true"/>
        </w:rPr>
        <w:t>לטענתה</w:t>
      </w:r>
      <w:r>
        <w:rPr>
          <w:rtl w:val="true"/>
        </w:rPr>
        <w:t xml:space="preserve">, </w:t>
      </w:r>
      <w:r>
        <w:rPr>
          <w:rtl w:val="true"/>
        </w:rPr>
        <w:t>ההפרדה מונעת את שילובו במסגרת טיפולית המתאימה לצרכיו ואף מחמירה את מצבו</w:t>
      </w:r>
      <w:r>
        <w:rPr>
          <w:rtl w:val="true"/>
        </w:rPr>
        <w:t xml:space="preserve">. </w:t>
      </w:r>
      <w:r>
        <w:rPr>
          <w:rtl w:val="true"/>
        </w:rPr>
        <w:t>המדינה טענה כי אכן אין להתעלם מהקשיים שחווה המערער בשל החזקתו בהפרדה אך נטען כי ההצדקה לכך טמונה בהתנהגותו התוקפנית והאלימה כלפי אסירים וסגל הכלא</w:t>
      </w:r>
      <w:r>
        <w:rPr>
          <w:rtl w:val="true"/>
        </w:rPr>
        <w:t xml:space="preserve">. </w:t>
      </w:r>
      <w:r>
        <w:rPr>
          <w:rtl w:val="true"/>
        </w:rPr>
        <w:t>עוד טענה המדינה כי אין בסיס ראייתי לכך שהמערער נוצל על</w:t>
      </w:r>
      <w:r>
        <w:rPr>
          <w:rtl w:val="true"/>
        </w:rPr>
        <w:t>-</w:t>
      </w:r>
      <w:r>
        <w:rPr>
          <w:rtl w:val="true"/>
        </w:rPr>
        <w:t>ידי האחר בביצוע העבירות שבהן הורשע וכן כי יש לזקוף לחובתו את העובדה שהוא עדיין מסרב להשתלב בטיפול ולהכיר בנזקים שהסב למתלוננת</w:t>
      </w:r>
      <w:r>
        <w:rPr>
          <w:rtl w:val="true"/>
        </w:rPr>
        <w:t xml:space="preserve">. </w:t>
      </w:r>
      <w:r>
        <w:rPr>
          <w:rtl w:val="true"/>
        </w:rPr>
        <w:t>המדינה הוסיפה וטענה כי עברו הפלילי המכביד של המערער והמאסרים המותנים שעמדו לחובתו מעלים כי העונש שגזר עליו בית המשפט קמא אף נוטה לקולה וכי בשים לב לחומרת מעשיו אין להתערב בעונשים שנגזרו עליו</w:t>
      </w:r>
      <w:r>
        <w:rPr>
          <w:rtl w:val="true"/>
        </w:rPr>
        <w:t xml:space="preserve">. </w:t>
      </w:r>
    </w:p>
    <w:p>
      <w:pPr>
        <w:pStyle w:val="Ruller42"/>
        <w:ind w:end="0"/>
        <w:jc w:val="both"/>
        <w:rPr/>
      </w:pPr>
      <w:r>
        <w:rPr>
          <w:rtl w:val="true"/>
        </w:rPr>
      </w:r>
    </w:p>
    <w:p>
      <w:pPr>
        <w:pStyle w:val="Ruller43"/>
        <w:numPr>
          <w:ilvl w:val="0"/>
          <w:numId w:val="0"/>
        </w:numPr>
        <w:ind w:hanging="0" w:start="0" w:end="0"/>
        <w:jc w:val="both"/>
        <w:rPr/>
      </w:pPr>
      <w:r>
        <w:rPr>
          <w:rtl w:val="true"/>
        </w:rPr>
        <w:tab/>
      </w:r>
      <w:r>
        <w:rPr>
          <w:rtl w:val="true"/>
        </w:rPr>
        <w:t>נציגת שירות המבחן לנוער ציינה במהלך הדיון בערעור כי המערער עבר לכלא רמון וכי בעשרת הימים שקדמו לדיון הוא התנהג באופן תקין ונטל טיפול תרופתי</w:t>
      </w:r>
      <w:r>
        <w:rPr>
          <w:rtl w:val="true"/>
        </w:rPr>
        <w:t xml:space="preserve">. </w:t>
      </w:r>
      <w:r>
        <w:rPr>
          <w:rtl w:val="true"/>
        </w:rPr>
        <w:t>בהמשך לכך אפשרנו למערער לומר דברים אחדים לפי בקשתו</w:t>
      </w:r>
      <w:r>
        <w:rPr>
          <w:rtl w:val="true"/>
        </w:rPr>
        <w:t xml:space="preserve">, </w:t>
      </w:r>
      <w:r>
        <w:rPr>
          <w:rtl w:val="true"/>
        </w:rPr>
        <w:t>והוא ציין כי בכלא רמון טוב לו יותר וכי תנאי החזקתו השתפרו</w:t>
      </w:r>
      <w:r>
        <w:rPr>
          <w:rtl w:val="true"/>
        </w:rPr>
        <w:t xml:space="preserve">. </w:t>
      </w:r>
      <w:r>
        <w:rPr>
          <w:rtl w:val="true"/>
        </w:rPr>
        <w:t>שאלנו את המערער אם ברצונו לעבור להחזקה בהפרדה חלקית ועל</w:t>
      </w:r>
      <w:r>
        <w:rPr>
          <w:rtl w:val="true"/>
        </w:rPr>
        <w:t>-</w:t>
      </w:r>
      <w:r>
        <w:rPr>
          <w:rtl w:val="true"/>
        </w:rPr>
        <w:t>כך הוא השיב כי הוא היה שמח לשהות בחברת אסירים נוספים אך שיש לו בעיה שהוא לא מסתדר עם אנשים וכי לטעמו הדבר היחיד שיעזור לו הוא שחרורו ממאסר</w:t>
      </w:r>
      <w:r>
        <w:rPr>
          <w:rtl w:val="true"/>
        </w:rPr>
        <w:t xml:space="preserve">. </w:t>
      </w:r>
      <w:r>
        <w:rPr>
          <w:rtl w:val="true"/>
        </w:rPr>
        <w:t>עוד טען המערער כי הוא אינו נוטל את הטיפול התרופתי שרשם לו הפסיכיאטר משום שאינו זקוק לטיפול וכי הוא מפחד שהתרופות יזיקו לבריאותו</w:t>
      </w:r>
      <w:r>
        <w:rPr>
          <w:rtl w:val="true"/>
        </w:rPr>
        <w:t xml:space="preserve">. </w:t>
      </w:r>
    </w:p>
    <w:p>
      <w:pPr>
        <w:pStyle w:val="Ruller42"/>
        <w:ind w:end="0"/>
        <w:jc w:val="both"/>
        <w:rPr/>
      </w:pPr>
      <w:r>
        <w:rPr>
          <w:rtl w:val="true"/>
        </w:rPr>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1"/>
        </w:numPr>
        <w:ind w:hanging="0" w:start="0" w:end="0"/>
        <w:jc w:val="both"/>
        <w:rPr/>
      </w:pPr>
      <w:r>
        <w:rPr>
          <w:rtl w:val="true"/>
        </w:rPr>
        <w:t>לאחר שבחנו את טענות הצדדים בכתב ובעל</w:t>
      </w:r>
      <w:r>
        <w:rPr>
          <w:rtl w:val="true"/>
        </w:rPr>
        <w:t>-</w:t>
      </w:r>
      <w:r>
        <w:rPr>
          <w:rtl w:val="true"/>
        </w:rPr>
        <w:t>פה הגענו למסקנה כי דין הערער להידחות</w:t>
      </w:r>
      <w:r>
        <w:rPr>
          <w:rtl w:val="true"/>
        </w:rPr>
        <w:t xml:space="preserve">. </w:t>
      </w:r>
    </w:p>
    <w:p>
      <w:pPr>
        <w:pStyle w:val="Ruller42"/>
        <w:ind w:end="0"/>
        <w:jc w:val="both"/>
        <w:rPr/>
      </w:pPr>
      <w:r>
        <w:rPr>
          <w:rtl w:val="true"/>
        </w:rPr>
      </w:r>
    </w:p>
    <w:p>
      <w:pPr>
        <w:pStyle w:val="Ruller43"/>
        <w:numPr>
          <w:ilvl w:val="0"/>
          <w:numId w:val="0"/>
        </w:numPr>
        <w:ind w:hanging="0" w:start="0" w:end="0"/>
        <w:jc w:val="both"/>
        <w:rPr>
          <w:rFonts w:ascii="Century" w:hAnsi="Century" w:cs="Century"/>
          <w:sz w:val="22"/>
        </w:rPr>
      </w:pPr>
      <w:r>
        <w:rPr>
          <w:rtl w:val="true"/>
        </w:rPr>
        <w:tab/>
      </w:r>
      <w:r>
        <w:rPr>
          <w:rtl w:val="true"/>
        </w:rPr>
        <w:t>כידוע</w:t>
      </w:r>
      <w:r>
        <w:rPr>
          <w:rtl w:val="true"/>
        </w:rPr>
        <w:t xml:space="preserve">, </w:t>
      </w:r>
      <w:r>
        <w:rPr>
          <w:rtl w:val="true"/>
        </w:rPr>
        <w:t>ערכאת הערעור אינה מתערבת ככלל בעונש שנקבע על</w:t>
      </w:r>
      <w:r>
        <w:rPr>
          <w:rtl w:val="true"/>
        </w:rPr>
        <w:t>-</w:t>
      </w:r>
      <w:r>
        <w:rPr>
          <w:rtl w:val="true"/>
        </w:rPr>
        <w:t xml:space="preserve">ידי הערכאה הדיונית אלא במקרים חריגים שבהם נפלה טעות מהותית בגזר הדין או כאשר העונש שנגזר על המערער חורג במידה משמעותית מרמת הענישה הנוהגת או הראויה במקרים דומים </w:t>
      </w:r>
      <w:r>
        <w:rPr>
          <w:rtl w:val="true"/>
        </w:rPr>
        <w:t>(</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3619/18</w:t>
        </w:r>
      </w:hyperlink>
      <w:r>
        <w:rPr>
          <w:rtl w:val="true"/>
        </w:rPr>
        <w:t xml:space="preserve"> </w:t>
      </w:r>
      <w:r>
        <w:rPr>
          <w:rFonts w:ascii="Century" w:hAnsi="Century" w:cs="Miriam"/>
          <w:b/>
          <w:b/>
          <w:spacing w:val="0"/>
          <w:sz w:val="22"/>
          <w:sz w:val="22"/>
          <w:szCs w:val="24"/>
          <w:rtl w:val="true"/>
        </w:rPr>
        <w:t>סביץ</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5</w:t>
      </w:r>
      <w:r>
        <w:rPr>
          <w:rtl w:val="true"/>
        </w:rPr>
        <w:t xml:space="preserve"> (</w:t>
      </w:r>
      <w:r>
        <w:rPr/>
        <w:t>9.1.2019</w:t>
      </w:r>
      <w:r>
        <w:rPr>
          <w:rtl w:val="true"/>
        </w:rPr>
        <w:t xml:space="preserve">)). </w:t>
      </w:r>
      <w:r>
        <w:rPr>
          <w:rtl w:val="true"/>
        </w:rPr>
        <w:t>המקרה דנן אינו נמנה עם אותם מקרים חריגים המצדיקים התערבות</w:t>
      </w:r>
      <w:r>
        <w:rPr>
          <w:rtl w:val="true"/>
        </w:rPr>
        <w:t xml:space="preserve">. </w:t>
      </w:r>
      <w:r>
        <w:rPr>
          <w:rtl w:val="true"/>
        </w:rPr>
        <w:t>בית משפט זה עמד פעמים רבות על חומרתן הרבה של עבירות דוגמת אלה שבהן הורשע המערער</w:t>
      </w:r>
      <w:r>
        <w:rPr>
          <w:rtl w:val="true"/>
        </w:rPr>
        <w:t xml:space="preserve">, </w:t>
      </w:r>
      <w:r>
        <w:rPr>
          <w:rtl w:val="true"/>
        </w:rPr>
        <w:t>על הערכים החברתיים הנפגעים כתוצאה מביצוען</w:t>
      </w:r>
      <w:r>
        <w:rPr>
          <w:rtl w:val="true"/>
        </w:rPr>
        <w:t xml:space="preserve">, </w:t>
      </w:r>
      <w:r>
        <w:rPr>
          <w:rtl w:val="true"/>
        </w:rPr>
        <w:t>ועל הצורך לנקוט לגביהן מדיניות של ענישה מחמירה ומרתיעה הכוללת רכיב משמעותי של מאסר בפועל</w:t>
      </w:r>
      <w:r>
        <w:rPr>
          <w:rtl w:val="true"/>
        </w:rPr>
        <w:t xml:space="preserve">. </w:t>
      </w:r>
      <w:r>
        <w:rPr>
          <w:rtl w:val="true"/>
        </w:rPr>
        <w:t>אכן</w:t>
      </w:r>
      <w:r>
        <w:rPr>
          <w:rtl w:val="true"/>
        </w:rPr>
        <w:t>, "</w:t>
      </w:r>
      <w:r>
        <w:rPr>
          <w:rtl w:val="true"/>
        </w:rPr>
        <w:t>יש להשית עונשים מרתיעים על שודדים הבוחרים להם לקורבנות את המבוגרים והקשישים שבחברה</w:t>
      </w:r>
      <w:r>
        <w:rPr>
          <w:rtl w:val="true"/>
        </w:rPr>
        <w:t>"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6202/10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ישראילוב</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15</w:t>
      </w:r>
      <w:r>
        <w:rPr>
          <w:rtl w:val="true"/>
        </w:rPr>
        <w:t xml:space="preserve"> (</w:t>
      </w:r>
      <w:r>
        <w:rPr/>
        <w:t>15.3.2011</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ישראילוב</w:t>
      </w:r>
      <w:r>
        <w:rPr>
          <w:rtl w:val="true"/>
        </w:rPr>
        <w:t xml:space="preserve">); </w:t>
      </w:r>
      <w:r>
        <w:rPr>
          <w:rtl w:val="true"/>
        </w:rPr>
        <w:t>ראו עוד</w:t>
      </w:r>
      <w:r>
        <w:rPr>
          <w:rtl w:val="true"/>
        </w:rPr>
        <w:t xml:space="preserve">: </w:t>
      </w:r>
      <w:hyperlink r:id="rId2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2163/05</w:t>
        </w:r>
      </w:hyperlink>
      <w:r>
        <w:rPr>
          <w:rFonts w:cs="Century" w:ascii="Century" w:hAnsi="Century"/>
          <w:rtl w:val="true"/>
        </w:rPr>
        <w:t xml:space="preserve"> </w:t>
      </w:r>
      <w:r>
        <w:rPr>
          <w:rFonts w:ascii="Century" w:hAnsi="Century" w:cs="Miriam"/>
          <w:b/>
          <w:b/>
          <w:spacing w:val="0"/>
          <w:sz w:val="22"/>
          <w:sz w:val="22"/>
          <w:szCs w:val="24"/>
          <w:rtl w:val="true"/>
        </w:rPr>
        <w:t>אלייב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פסקה ו</w:t>
      </w:r>
      <w:r>
        <w:rPr>
          <w:rFonts w:cs="Century" w:ascii="Century" w:hAnsi="Century"/>
          <w:rtl w:val="true"/>
        </w:rPr>
        <w:t>(</w:t>
      </w:r>
      <w:r>
        <w:rPr>
          <w:rFonts w:cs="Century" w:ascii="Century" w:hAnsi="Century"/>
        </w:rPr>
        <w:t>1</w:t>
      </w:r>
      <w:r>
        <w:rPr>
          <w:rFonts w:cs="Century" w:ascii="Century" w:hAnsi="Century"/>
          <w:rtl w:val="true"/>
        </w:rPr>
        <w:t>) (</w:t>
      </w:r>
      <w:r>
        <w:rPr>
          <w:rFonts w:cs="Century" w:ascii="Century" w:hAnsi="Century"/>
        </w:rPr>
        <w:t>12.12.2005</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אלייב</w:t>
      </w:r>
      <w:r>
        <w:rPr>
          <w:rFonts w:cs="Century" w:ascii="Century" w:hAnsi="Century"/>
          <w:rtl w:val="true"/>
        </w:rPr>
        <w:t xml:space="preserve">); </w:t>
      </w:r>
      <w:hyperlink r:id="rId2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8788/08</w:t>
        </w:r>
      </w:hyperlink>
      <w:r>
        <w:rPr>
          <w:rFonts w:cs="Century" w:ascii="Century" w:hAnsi="Century"/>
          <w:rtl w:val="true"/>
        </w:rPr>
        <w:t xml:space="preserve"> </w:t>
      </w:r>
      <w:r>
        <w:rPr>
          <w:rFonts w:ascii="Century" w:hAnsi="Century" w:cs="Miriam"/>
          <w:b/>
          <w:b/>
          <w:spacing w:val="0"/>
          <w:sz w:val="22"/>
          <w:sz w:val="22"/>
          <w:szCs w:val="24"/>
          <w:rtl w:val="true"/>
        </w:rPr>
        <w:t>זיאד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8</w:t>
      </w:r>
      <w:r>
        <w:rPr>
          <w:rFonts w:cs="Century" w:ascii="Century" w:hAnsi="Century"/>
          <w:rtl w:val="true"/>
        </w:rPr>
        <w:t xml:space="preserve"> (</w:t>
      </w:r>
      <w:r>
        <w:rPr>
          <w:rFonts w:cs="Century" w:ascii="Century" w:hAnsi="Century"/>
        </w:rPr>
        <w:t>7.4.2011</w:t>
      </w:r>
      <w:r>
        <w:rPr>
          <w:rFonts w:cs="Century" w:ascii="Century" w:hAnsi="Century"/>
          <w:rtl w:val="true"/>
        </w:rPr>
        <w:t xml:space="preserve">); </w:t>
      </w:r>
      <w:hyperlink r:id="rId2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3523/12</w:t>
        </w:r>
      </w:hyperlink>
      <w:r>
        <w:rPr>
          <w:rFonts w:cs="Century" w:ascii="Century" w:hAnsi="Century"/>
          <w:sz w:val="22"/>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w:t>
      </w:r>
      <w:r>
        <w:rPr>
          <w:rFonts w:cs="Miriam" w:ascii="Century" w:hAnsi="Century"/>
          <w:b/>
          <w:spacing w:val="0"/>
          <w:sz w:val="22"/>
          <w:szCs w:val="24"/>
          <w:rtl w:val="true"/>
        </w:rPr>
        <w:t>'</w:t>
      </w:r>
      <w:r>
        <w:rPr>
          <w:rFonts w:ascii="Century" w:hAnsi="Century" w:cs="Miriam"/>
          <w:b/>
          <w:b/>
          <w:spacing w:val="0"/>
          <w:sz w:val="22"/>
          <w:sz w:val="22"/>
          <w:szCs w:val="24"/>
          <w:rtl w:val="true"/>
        </w:rPr>
        <w:t>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9</w:t>
      </w:r>
      <w:r>
        <w:rPr>
          <w:rFonts w:cs="Century" w:ascii="Century" w:hAnsi="Century"/>
          <w:sz w:val="22"/>
          <w:rtl w:val="true"/>
        </w:rPr>
        <w:t xml:space="preserve"> (</w:t>
      </w:r>
      <w:r>
        <w:rPr>
          <w:rFonts w:cs="Century" w:ascii="Century" w:hAnsi="Century"/>
          <w:sz w:val="22"/>
        </w:rPr>
        <w:t>12.6.2013</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w:t>
      </w:r>
      <w:r>
        <w:rPr>
          <w:rFonts w:cs="Miriam" w:ascii="Century" w:hAnsi="Century"/>
          <w:b/>
          <w:spacing w:val="0"/>
          <w:sz w:val="22"/>
          <w:szCs w:val="24"/>
          <w:rtl w:val="true"/>
        </w:rPr>
        <w:t>'</w:t>
      </w:r>
      <w:r>
        <w:rPr>
          <w:rFonts w:ascii="Century" w:hAnsi="Century" w:cs="Miriam"/>
          <w:b/>
          <w:b/>
          <w:spacing w:val="0"/>
          <w:sz w:val="22"/>
          <w:sz w:val="22"/>
          <w:szCs w:val="24"/>
          <w:rtl w:val="true"/>
        </w:rPr>
        <w:t>יד</w:t>
      </w:r>
      <w:r>
        <w:rPr>
          <w:rFonts w:cs="Century" w:ascii="Century" w:hAnsi="Century"/>
          <w:sz w:val="22"/>
          <w:rtl w:val="true"/>
        </w:rPr>
        <w:t xml:space="preserve">); </w:t>
      </w:r>
      <w:hyperlink r:id="rId28">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5931/11</w:t>
        </w:r>
      </w:hyperlink>
      <w:r>
        <w:rPr>
          <w:rFonts w:cs="Century" w:ascii="Century" w:hAnsi="Century"/>
          <w:sz w:val="22"/>
          <w:rtl w:val="true"/>
        </w:rPr>
        <w:t xml:space="preserve"> </w:t>
      </w:r>
      <w:r>
        <w:rPr>
          <w:rFonts w:ascii="Century" w:hAnsi="Century" w:cs="Miriam"/>
          <w:b/>
          <w:b/>
          <w:spacing w:val="0"/>
          <w:sz w:val="22"/>
          <w:sz w:val="22"/>
          <w:szCs w:val="24"/>
          <w:rtl w:val="true"/>
        </w:rPr>
        <w:t>עבדולייב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17</w:t>
      </w:r>
      <w:r>
        <w:rPr>
          <w:rFonts w:cs="Century" w:ascii="Century" w:hAnsi="Century"/>
          <w:sz w:val="22"/>
          <w:rtl w:val="true"/>
        </w:rPr>
        <w:t xml:space="preserve"> (</w:t>
      </w:r>
      <w:r>
        <w:rPr>
          <w:rFonts w:cs="Century" w:ascii="Century" w:hAnsi="Century"/>
          <w:sz w:val="22"/>
        </w:rPr>
        <w:t>22.10.2013</w:t>
      </w:r>
      <w:r>
        <w:rPr>
          <w:rFonts w:cs="Century" w:ascii="Century" w:hAnsi="Century"/>
          <w:sz w:val="22"/>
          <w:rtl w:val="true"/>
        </w:rPr>
        <w:t>)</w:t>
      </w:r>
      <w:r>
        <w:rPr>
          <w:rFonts w:cs="Century" w:ascii="Century" w:hAnsi="Century"/>
          <w:sz w:val="22"/>
          <w:rtl w:val="true"/>
        </w:rPr>
        <w:t xml:space="preserve">; </w:t>
      </w:r>
      <w:hyperlink r:id="rId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1041/14</w:t>
        </w:r>
      </w:hyperlink>
      <w:r>
        <w:rPr>
          <w:rFonts w:cs="Century" w:ascii="Century" w:hAnsi="Century"/>
          <w:rtl w:val="true"/>
        </w:rPr>
        <w:t xml:space="preserve"> </w:t>
      </w:r>
      <w:r>
        <w:rPr>
          <w:rFonts w:ascii="Century" w:hAnsi="Century" w:cs="Miriam"/>
          <w:b/>
          <w:b/>
          <w:spacing w:val="0"/>
          <w:sz w:val="22"/>
          <w:sz w:val="22"/>
          <w:szCs w:val="24"/>
          <w:rtl w:val="true"/>
        </w:rPr>
        <w:t>קרקי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18</w:t>
      </w:r>
      <w:r>
        <w:rPr>
          <w:rFonts w:cs="Century" w:ascii="Century" w:hAnsi="Century"/>
          <w:rtl w:val="true"/>
        </w:rPr>
        <w:t xml:space="preserve"> (</w:t>
      </w:r>
      <w:r>
        <w:rPr>
          <w:rFonts w:cs="Century" w:ascii="Century" w:hAnsi="Century"/>
        </w:rPr>
        <w:t>5.10.2014</w:t>
      </w:r>
      <w:r>
        <w:rPr>
          <w:rFonts w:cs="Century" w:ascii="Century" w:hAnsi="Century"/>
          <w:rtl w:val="true"/>
        </w:rPr>
        <w:t>)</w:t>
      </w:r>
      <w:r>
        <w:rPr>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1"/>
        </w:numPr>
        <w:ind w:hanging="0" w:start="0" w:end="0"/>
        <w:jc w:val="both"/>
        <w:rPr/>
      </w:pPr>
      <w:r>
        <w:rPr>
          <w:rtl w:val="true"/>
        </w:rPr>
        <w:t>בענייננו</w:t>
      </w:r>
      <w:r>
        <w:rPr>
          <w:rtl w:val="true"/>
        </w:rPr>
        <w:t xml:space="preserve">, </w:t>
      </w:r>
      <w:r>
        <w:rPr>
          <w:rtl w:val="true"/>
        </w:rPr>
        <w:t>כאמור</w:t>
      </w:r>
      <w:r>
        <w:rPr>
          <w:rtl w:val="true"/>
        </w:rPr>
        <w:t xml:space="preserve">, </w:t>
      </w:r>
      <w:r>
        <w:rPr>
          <w:rtl w:val="true"/>
        </w:rPr>
        <w:t>המערער הורשע בביצוע עבירות של שוד בנסיבות מחמירות ותקיפת זקן</w:t>
      </w:r>
      <w:r>
        <w:rPr>
          <w:rtl w:val="true"/>
        </w:rPr>
        <w:t xml:space="preserve">. </w:t>
      </w:r>
      <w:r>
        <w:rPr>
          <w:rtl w:val="true"/>
        </w:rPr>
        <w:t>פוטנציאל הנזק של העבירות הללו גדול והן בוצעו בנסיבות מחמירות</w:t>
      </w:r>
      <w:r>
        <w:rPr>
          <w:rtl w:val="true"/>
        </w:rPr>
        <w:t xml:space="preserve">. </w:t>
      </w:r>
      <w:r>
        <w:rPr>
          <w:rtl w:val="true"/>
        </w:rPr>
        <w:t>המערער והאחר בחרו במודע לשדוד אישה קשישה</w:t>
      </w:r>
      <w:r>
        <w:rPr>
          <w:rtl w:val="true"/>
        </w:rPr>
        <w:t xml:space="preserve">, </w:t>
      </w:r>
      <w:r>
        <w:rPr>
          <w:rtl w:val="true"/>
        </w:rPr>
        <w:t>כבת שמונים ושבע שנים</w:t>
      </w:r>
      <w:r>
        <w:rPr>
          <w:rtl w:val="true"/>
        </w:rPr>
        <w:t xml:space="preserve">, </w:t>
      </w:r>
      <w:r>
        <w:rPr>
          <w:rtl w:val="true"/>
        </w:rPr>
        <w:t xml:space="preserve">שהייתה עבורם </w:t>
      </w:r>
      <w:r>
        <w:rPr>
          <w:rtl w:val="true"/>
        </w:rPr>
        <w:t>"</w:t>
      </w:r>
      <w:r>
        <w:rPr>
          <w:rtl w:val="true"/>
        </w:rPr>
        <w:t>טרף קל</w:t>
      </w:r>
      <w:r>
        <w:rPr>
          <w:rtl w:val="true"/>
        </w:rPr>
        <w:t xml:space="preserve">". </w:t>
      </w:r>
      <w:r>
        <w:rPr>
          <w:rtl w:val="true"/>
        </w:rPr>
        <w:t>הם אף ניצלו את טוב לבה והתנפלו עליה בביתה לאחר שנאותה לתת להם מים</w:t>
      </w:r>
      <w:r>
        <w:rPr>
          <w:rtl w:val="true"/>
        </w:rPr>
        <w:t xml:space="preserve">. </w:t>
      </w:r>
      <w:r>
        <w:rPr>
          <w:rtl w:val="true"/>
        </w:rPr>
        <w:t>במשך כעשרים דקות</w:t>
      </w:r>
      <w:r>
        <w:rPr>
          <w:rtl w:val="true"/>
        </w:rPr>
        <w:t xml:space="preserve">, </w:t>
      </w:r>
      <w:r>
        <w:rPr>
          <w:rtl w:val="true"/>
        </w:rPr>
        <w:t>אשר בוודאי נדמו למתלוננת כנצח</w:t>
      </w:r>
      <w:r>
        <w:rPr>
          <w:rtl w:val="true"/>
        </w:rPr>
        <w:t xml:space="preserve">, </w:t>
      </w:r>
      <w:r>
        <w:rPr>
          <w:rtl w:val="true"/>
        </w:rPr>
        <w:t>ריתק המערער את המתלוננת לרצפה וחסם את פתחי נשימתה במגבת בעוד האחר זורע הרס בדירה על מנת לאתר כסף ודברי ערך</w:t>
      </w:r>
      <w:r>
        <w:rPr>
          <w:rtl w:val="true"/>
        </w:rPr>
        <w:t xml:space="preserve">. </w:t>
      </w:r>
      <w:r>
        <w:rPr>
          <w:rtl w:val="true"/>
        </w:rPr>
        <w:t>משנמצא השלל נמלטו השניים מן הדירה כשהם מותירים את המתלוננת על הרצפה חבולה ואחוזת אימה</w:t>
      </w:r>
      <w:r>
        <w:rPr>
          <w:rtl w:val="true"/>
        </w:rPr>
        <w:t xml:space="preserve">. </w:t>
      </w:r>
      <w:r>
        <w:rPr>
          <w:rtl w:val="true"/>
        </w:rPr>
        <w:t>מעשים קשים ואכזריים אלה ראויים לגמול עונשי ממשי</w:t>
      </w:r>
      <w:r>
        <w:rPr>
          <w:rtl w:val="true"/>
        </w:rPr>
        <w:t xml:space="preserve">, </w:t>
      </w:r>
      <w:r>
        <w:rPr>
          <w:rtl w:val="true"/>
        </w:rPr>
        <w:t>כפי שקבע בצדק בית המשפט קמא</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טענת המערער כי בית המשפט קמא שגה בשקילת הנסיבות הרלבנטיות לגזירת עונשו </w:t>
      </w:r>
      <w:r>
        <w:rPr>
          <w:rtl w:val="true"/>
        </w:rPr>
        <w:t>–</w:t>
      </w:r>
      <w:r>
        <w:rPr>
          <w:rtl w:val="true"/>
        </w:rPr>
        <w:t xml:space="preserve"> דינה להידחות</w:t>
      </w:r>
      <w:r>
        <w:rPr>
          <w:rtl w:val="true"/>
        </w:rPr>
        <w:t xml:space="preserve">. </w:t>
      </w:r>
      <w:r>
        <w:rPr>
          <w:rtl w:val="true"/>
        </w:rPr>
        <w:t>עיון בגזר הדין המפורט והמנומק של בית המשפט המחוזי מלמד כי הוא התייחס למכלול הנסיבות לקולה ולחומרה</w:t>
      </w:r>
      <w:r>
        <w:rPr>
          <w:rtl w:val="true"/>
        </w:rPr>
        <w:t xml:space="preserve">, </w:t>
      </w:r>
      <w:r>
        <w:rPr>
          <w:rtl w:val="true"/>
        </w:rPr>
        <w:t>נתן להן משקל ראוי והגיע לתוצאה אשר אף שאינה מן הקלות</w:t>
      </w:r>
      <w:r>
        <w:rPr>
          <w:rtl w:val="true"/>
        </w:rPr>
        <w:t xml:space="preserve">, </w:t>
      </w:r>
      <w:r>
        <w:rPr>
          <w:rtl w:val="true"/>
        </w:rPr>
        <w:t xml:space="preserve">אינה חורגת מרף הענישה הנוהג והראוי בנסיבות העניין במידה המצדיקה התערבות </w:t>
      </w:r>
      <w:r>
        <w:rPr>
          <w:rtl w:val="true"/>
        </w:rPr>
        <w:t>(</w:t>
      </w:r>
      <w:r>
        <w:rPr>
          <w:rtl w:val="true"/>
        </w:rPr>
        <w:t>ראו והשוו</w:t>
      </w:r>
      <w:r>
        <w:rPr>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ישראילוב</w:t>
      </w:r>
      <w:r>
        <w:rPr>
          <w:rtl w:val="true"/>
        </w:rPr>
        <w:t xml:space="preserve">, </w:t>
      </w:r>
      <w:r>
        <w:rPr>
          <w:rtl w:val="true"/>
        </w:rPr>
        <w:t xml:space="preserve">פסקה </w:t>
      </w:r>
      <w:r>
        <w:rPr/>
        <w:t>26</w:t>
      </w:r>
      <w:r>
        <w:rPr>
          <w:rFonts w:cs="Century" w:ascii="Century" w:hAnsi="Century"/>
          <w:sz w:val="22"/>
          <w:rtl w:val="true"/>
        </w:rPr>
        <w:t xml:space="preserve">; </w:t>
      </w:r>
      <w:r>
        <w:rPr>
          <w:rFonts w:ascii="Century" w:hAnsi="Century" w:cs="Century"/>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אלייב</w:t>
      </w:r>
      <w:r>
        <w:rPr>
          <w:rFonts w:cs="Century" w:ascii="Century" w:hAnsi="Century"/>
          <w:sz w:val="22"/>
          <w:rtl w:val="true"/>
        </w:rPr>
        <w:t xml:space="preserve">, </w:t>
      </w:r>
      <w:r>
        <w:rPr>
          <w:rFonts w:ascii="Century" w:hAnsi="Century" w:cs="Century"/>
          <w:sz w:val="22"/>
          <w:sz w:val="22"/>
          <w:rtl w:val="true"/>
        </w:rPr>
        <w:t>פסקה ו</w:t>
      </w:r>
      <w:r>
        <w:rPr>
          <w:rFonts w:cs="Century" w:ascii="Century" w:hAnsi="Century"/>
          <w:sz w:val="22"/>
          <w:rtl w:val="true"/>
        </w:rPr>
        <w:t>(</w:t>
      </w:r>
      <w:r>
        <w:rPr>
          <w:rFonts w:cs="Century" w:ascii="Century" w:hAnsi="Century"/>
          <w:sz w:val="22"/>
        </w:rPr>
        <w:t>2</w:t>
      </w:r>
      <w:r>
        <w:rPr>
          <w:rFonts w:cs="Century" w:ascii="Century" w:hAnsi="Century"/>
          <w:sz w:val="22"/>
          <w:rtl w:val="true"/>
        </w:rPr>
        <w:t>);</w:t>
      </w:r>
      <w:r>
        <w:rPr>
          <w:rtl w:val="true"/>
        </w:rPr>
        <w:t xml:space="preserve"> </w:t>
      </w:r>
      <w:hyperlink r:id="rId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9430/06</w:t>
        </w:r>
      </w:hyperlink>
      <w:r>
        <w:rPr>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דהן</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w:t>
      </w:r>
      <w:r>
        <w:rPr/>
        <w:t>18.6.2007</w:t>
      </w:r>
      <w:r>
        <w:rPr>
          <w:rtl w:val="true"/>
        </w:rPr>
        <w:t>);</w:t>
      </w:r>
      <w:r>
        <w:rPr>
          <w:rFonts w:cs="Century" w:ascii="Century" w:hAnsi="Century"/>
          <w:sz w:val="22"/>
          <w:rtl w:val="true"/>
        </w:rPr>
        <w:t xml:space="preserve"> </w:t>
      </w:r>
      <w:r>
        <w:rPr>
          <w:rFonts w:ascii="Century" w:hAnsi="Century" w:cs="Century"/>
          <w:sz w:val="22"/>
          <w:sz w:val="22"/>
          <w:rtl w:val="true"/>
        </w:rPr>
        <w:t>עניין</w:t>
      </w:r>
      <w:r>
        <w:rPr>
          <w:rFonts w:ascii="Century" w:hAnsi="Century" w:cs="Century"/>
          <w:sz w:val="22"/>
          <w:sz w:val="22"/>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w:t>
      </w:r>
      <w:r>
        <w:rPr>
          <w:rFonts w:cs="Miriam" w:ascii="Century" w:hAnsi="Century"/>
          <w:b/>
          <w:spacing w:val="0"/>
          <w:sz w:val="22"/>
          <w:szCs w:val="24"/>
          <w:rtl w:val="true"/>
        </w:rPr>
        <w:t>'</w:t>
      </w:r>
      <w:r>
        <w:rPr>
          <w:rFonts w:ascii="Century" w:hAnsi="Century" w:cs="Miriam"/>
          <w:b/>
          <w:b/>
          <w:spacing w:val="0"/>
          <w:sz w:val="22"/>
          <w:sz w:val="22"/>
          <w:szCs w:val="24"/>
          <w:rtl w:val="true"/>
        </w:rPr>
        <w:t>יד</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8</w:t>
      </w:r>
      <w:r>
        <w:rPr>
          <w:rFonts w:cs="Century" w:ascii="Century" w:hAnsi="Century"/>
          <w:sz w:val="22"/>
          <w:rtl w:val="true"/>
        </w:rPr>
        <w:t>;</w:t>
      </w:r>
      <w:r>
        <w:rPr>
          <w:rtl w:val="true"/>
        </w:rPr>
        <w:t xml:space="preserve"> </w:t>
      </w:r>
      <w:hyperlink r:id="rId3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4921/11</w:t>
        </w:r>
      </w:hyperlink>
      <w:r>
        <w:rPr>
          <w:rFonts w:cs="Century" w:ascii="Century" w:hAnsi="Century"/>
          <w:rtl w:val="true"/>
        </w:rPr>
        <w:t xml:space="preserve"> </w:t>
      </w:r>
      <w:r>
        <w:rPr>
          <w:rFonts w:ascii="Century" w:hAnsi="Century" w:cs="Miriam"/>
          <w:b/>
          <w:b/>
          <w:spacing w:val="0"/>
          <w:sz w:val="22"/>
          <w:sz w:val="22"/>
          <w:szCs w:val="24"/>
          <w:rtl w:val="true"/>
        </w:rPr>
        <w:t>דלאשה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פסקאות </w:t>
      </w:r>
      <w:r>
        <w:rPr>
          <w:rFonts w:cs="Century" w:ascii="Century" w:hAnsi="Century"/>
        </w:rPr>
        <w:t>22-20</w:t>
      </w:r>
      <w:r>
        <w:rPr>
          <w:rFonts w:cs="Century" w:ascii="Century" w:hAnsi="Century"/>
          <w:rtl w:val="true"/>
        </w:rPr>
        <w:t xml:space="preserve"> (</w:t>
      </w:r>
      <w:r>
        <w:rPr>
          <w:rFonts w:cs="Century" w:ascii="Century" w:hAnsi="Century"/>
        </w:rPr>
        <w:t>9.7.2012</w:t>
      </w:r>
      <w:r>
        <w:rPr>
          <w:rFonts w:cs="Century" w:ascii="Century" w:hAnsi="Century"/>
          <w:rtl w:val="true"/>
        </w:rPr>
        <w:t xml:space="preserve">); </w:t>
      </w:r>
      <w:hyperlink r:id="rId3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8785/12</w:t>
        </w:r>
      </w:hyperlink>
      <w:r>
        <w:rPr>
          <w:rFonts w:cs="Century" w:ascii="Century" w:hAnsi="Century"/>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rtl w:val="true"/>
        </w:rPr>
        <w:t>(</w:t>
      </w:r>
      <w:r>
        <w:rPr>
          <w:rFonts w:cs="Century" w:ascii="Century" w:hAnsi="Century"/>
        </w:rPr>
        <w:t>21.3.2013</w:t>
      </w:r>
      <w:r>
        <w:rPr>
          <w:rFonts w:cs="Century" w:ascii="Century" w:hAnsi="Century"/>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5881/14</w:t>
        </w:r>
      </w:hyperlink>
      <w:r>
        <w:rPr>
          <w:rtl w:val="true"/>
        </w:rPr>
        <w:t xml:space="preserve"> </w:t>
      </w:r>
      <w:r>
        <w:rPr>
          <w:rFonts w:ascii="Century" w:hAnsi="Century" w:cs="Miriam"/>
          <w:b/>
          <w:b/>
          <w:spacing w:val="0"/>
          <w:sz w:val="22"/>
          <w:sz w:val="22"/>
          <w:szCs w:val="24"/>
          <w:rtl w:val="true"/>
        </w:rPr>
        <w:t>ביארי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13</w:t>
      </w:r>
      <w:r>
        <w:rPr>
          <w:rtl w:val="true"/>
        </w:rPr>
        <w:t xml:space="preserve"> (</w:t>
      </w:r>
      <w:r>
        <w:rPr/>
        <w:t>26.7.2015</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5611/14</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עוואד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 xml:space="preserve">פסקה </w:t>
      </w:r>
      <w:r>
        <w:rPr>
          <w:rFonts w:cs="Century" w:ascii="Century" w:hAnsi="Century"/>
        </w:rPr>
        <w:t>8-6</w:t>
      </w:r>
      <w:r>
        <w:rPr>
          <w:rFonts w:cs="Century" w:ascii="Century" w:hAnsi="Century"/>
          <w:rtl w:val="true"/>
        </w:rPr>
        <w:t xml:space="preserve"> (</w:t>
      </w:r>
      <w:r>
        <w:rPr>
          <w:rFonts w:cs="Century" w:ascii="Century" w:hAnsi="Century"/>
        </w:rPr>
        <w:t>8.5.2016</w:t>
      </w:r>
      <w:r>
        <w:rPr>
          <w:rFonts w:cs="Century" w:ascii="Century" w:hAnsi="Century"/>
          <w:rtl w:val="true"/>
        </w:rPr>
        <w:t>)</w:t>
      </w:r>
      <w:r>
        <w:rPr>
          <w:rtl w:val="true"/>
        </w:rPr>
        <w:t xml:space="preserve">). </w:t>
      </w:r>
      <w:r>
        <w:rPr>
          <w:rtl w:val="true"/>
        </w:rPr>
        <w:t>בניגוד לטענת המערער בית המשפט קמא שקל</w:t>
      </w:r>
      <w:r>
        <w:rPr>
          <w:rtl w:val="true"/>
        </w:rPr>
        <w:t xml:space="preserve">, </w:t>
      </w:r>
      <w:r>
        <w:rPr>
          <w:rtl w:val="true"/>
        </w:rPr>
        <w:t>בין היתר</w:t>
      </w:r>
      <w:r>
        <w:rPr>
          <w:rtl w:val="true"/>
        </w:rPr>
        <w:t xml:space="preserve">, </w:t>
      </w:r>
      <w:r>
        <w:rPr>
          <w:rtl w:val="true"/>
        </w:rPr>
        <w:t>את היותו של המערער קטין בעת ביצוע העבירות</w:t>
      </w:r>
      <w:r>
        <w:rPr>
          <w:rtl w:val="true"/>
        </w:rPr>
        <w:t xml:space="preserve">, </w:t>
      </w:r>
      <w:r>
        <w:rPr>
          <w:rtl w:val="true"/>
        </w:rPr>
        <w:t>את יכולותיו האינטלקטואליות הנמוכות וכן את העובדה שמידת האלימות הישירה שהופעלה כלפי המתלוננת לא הייתה ברף הגבוה משלא נעשה שימוש בנשק קר או חם</w:t>
      </w:r>
      <w:r>
        <w:rPr>
          <w:rtl w:val="true"/>
        </w:rPr>
        <w:t xml:space="preserve">. </w:t>
      </w:r>
      <w:r>
        <w:rPr>
          <w:rtl w:val="true"/>
        </w:rPr>
        <w:t>לא מצאתי ממש גם בטענת המערער לפיה בעיותיו הפסיכיאטריות פגעו ביכולת השיפוט שלו</w:t>
      </w:r>
      <w:r>
        <w:rPr>
          <w:rtl w:val="true"/>
        </w:rPr>
        <w:t xml:space="preserve">. </w:t>
      </w:r>
      <w:r>
        <w:rPr>
          <w:rtl w:val="true"/>
        </w:rPr>
        <w:t xml:space="preserve">ההערכה הפסיכיאטרית שנערכה למערער במהלך אוקטובר </w:t>
      </w:r>
      <w:r>
        <w:rPr/>
        <w:t>2018</w:t>
      </w:r>
      <w:r>
        <w:rPr>
          <w:rtl w:val="true"/>
        </w:rPr>
        <w:t xml:space="preserve"> </w:t>
      </w:r>
      <w:r>
        <w:rPr>
          <w:rtl w:val="true"/>
        </w:rPr>
        <w:t>הצביעה</w:t>
      </w:r>
      <w:r>
        <w:rPr>
          <w:rtl w:val="true"/>
        </w:rPr>
        <w:t xml:space="preserve">, </w:t>
      </w:r>
      <w:r>
        <w:rPr>
          <w:rtl w:val="true"/>
        </w:rPr>
        <w:t>כאמור</w:t>
      </w:r>
      <w:r>
        <w:rPr>
          <w:rtl w:val="true"/>
        </w:rPr>
        <w:t xml:space="preserve">, </w:t>
      </w:r>
      <w:r>
        <w:rPr>
          <w:rtl w:val="true"/>
        </w:rPr>
        <w:t>על כך שהוא אינו סובל מהפרעה נפשית חמורה אלא מהפרעת אישיות אנטי</w:t>
      </w:r>
      <w:r>
        <w:rPr>
          <w:rtl w:val="true"/>
        </w:rPr>
        <w:t>-</w:t>
      </w:r>
      <w:r>
        <w:rPr>
          <w:rtl w:val="true"/>
        </w:rPr>
        <w:t>סוציאלית</w:t>
      </w:r>
      <w:r>
        <w:rPr>
          <w:rtl w:val="true"/>
        </w:rPr>
        <w:t xml:space="preserve">. </w:t>
      </w:r>
      <w:r>
        <w:rPr>
          <w:rtl w:val="true"/>
        </w:rPr>
        <w:t>כפי שנקבע בפסיקה</w:t>
      </w:r>
      <w:r>
        <w:rPr>
          <w:rtl w:val="true"/>
        </w:rPr>
        <w:t xml:space="preserve">, </w:t>
      </w:r>
      <w:r>
        <w:rPr>
          <w:rtl w:val="true"/>
        </w:rPr>
        <w:t xml:space="preserve">הפרעה זו </w:t>
      </w:r>
      <w:r>
        <w:rPr>
          <w:rtl w:val="true"/>
        </w:rPr>
        <w:t>"</w:t>
      </w:r>
      <w:r>
        <w:rPr>
          <w:rtl w:val="true"/>
        </w:rPr>
        <w:t>היא הפרעה שכיחה</w:t>
      </w:r>
      <w:r>
        <w:rPr>
          <w:rtl w:val="true"/>
        </w:rPr>
        <w:t xml:space="preserve">, </w:t>
      </w:r>
      <w:r>
        <w:rPr>
          <w:rtl w:val="true"/>
        </w:rPr>
        <w:t>אם לא השכיחה ביותר</w:t>
      </w:r>
      <w:r>
        <w:rPr>
          <w:rtl w:val="true"/>
        </w:rPr>
        <w:t xml:space="preserve">, </w:t>
      </w:r>
      <w:r>
        <w:rPr>
          <w:rtl w:val="true"/>
        </w:rPr>
        <w:t>בקרב אוכלוסיית האסירים</w:t>
      </w:r>
      <w:r>
        <w:rPr>
          <w:rtl w:val="true"/>
        </w:rPr>
        <w:t xml:space="preserve">" </w:t>
      </w:r>
      <w:r>
        <w:rPr>
          <w:rtl w:val="true"/>
        </w:rPr>
        <w:t xml:space="preserve">וגם לאדם הסובל ממנה </w:t>
      </w:r>
      <w:r>
        <w:rPr>
          <w:rtl w:val="true"/>
        </w:rPr>
        <w:t>"'</w:t>
      </w:r>
      <w:r>
        <w:rPr>
          <w:rtl w:val="true"/>
        </w:rPr>
        <w:t>הרשות נתונה</w:t>
      </w:r>
      <w:r>
        <w:rPr>
          <w:rtl w:val="true"/>
        </w:rPr>
        <w:t xml:space="preserve">' </w:t>
      </w:r>
      <w:r>
        <w:rPr>
          <w:rtl w:val="true"/>
        </w:rPr>
        <w:t>מבחינת יכולת להימנע מעשיית המעשה והבנת הפסול שבמעשה</w:t>
      </w:r>
      <w:r>
        <w:rPr>
          <w:rtl w:val="true"/>
        </w:rPr>
        <w:t>"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5417/07</w:t>
        </w:r>
      </w:hyperlink>
      <w:r>
        <w:rPr>
          <w:rtl w:val="true"/>
        </w:rPr>
        <w:t xml:space="preserve"> </w:t>
      </w:r>
      <w:r>
        <w:rPr>
          <w:rFonts w:ascii="Century" w:hAnsi="Century" w:cs="Miriam"/>
          <w:b/>
          <w:b/>
          <w:spacing w:val="0"/>
          <w:sz w:val="22"/>
          <w:sz w:val="22"/>
          <w:szCs w:val="24"/>
          <w:rtl w:val="true"/>
        </w:rPr>
        <w:t>בונר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 xml:space="preserve">פסקה </w:t>
      </w:r>
      <w:r>
        <w:rPr/>
        <w:t>25</w:t>
      </w:r>
      <w:r>
        <w:rPr>
          <w:rtl w:val="true"/>
        </w:rPr>
        <w:t xml:space="preserve"> (</w:t>
      </w:r>
      <w:r>
        <w:rPr/>
        <w:t>30.5.2013</w:t>
      </w:r>
      <w:r>
        <w:rPr>
          <w:rtl w:val="true"/>
        </w:rPr>
        <w:t xml:space="preserve">)). </w:t>
      </w:r>
      <w:r>
        <w:rPr>
          <w:rtl w:val="true"/>
        </w:rPr>
        <w:t>על</w:t>
      </w:r>
      <w:r>
        <w:rPr>
          <w:rtl w:val="true"/>
        </w:rPr>
        <w:t>-</w:t>
      </w:r>
      <w:r>
        <w:rPr>
          <w:rtl w:val="true"/>
        </w:rPr>
        <w:t>כן מבנה אישיותו של המערער אינו יכול לשמש בנסיבות המקרה דנן עילה להקלה בעונשו מעבר להקלה שכבר הקל עמו בית המשפט קמא בשל כך</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 xml:space="preserve">אין חולק כי שיקומו של המערער </w:t>
      </w:r>
      <w:r>
        <w:rPr>
          <w:rtl w:val="true"/>
        </w:rPr>
        <w:t>–</w:t>
      </w:r>
      <w:r>
        <w:rPr>
          <w:rtl w:val="true"/>
        </w:rPr>
        <w:t xml:space="preserve"> שעבר את העבירות בהיותו קטין </w:t>
      </w:r>
      <w:r>
        <w:rPr>
          <w:rtl w:val="true"/>
        </w:rPr>
        <w:t>–</w:t>
      </w:r>
      <w:r>
        <w:rPr>
          <w:rtl w:val="true"/>
        </w:rPr>
        <w:t xml:space="preserve"> והצורך לאפשר לו לשוב ולהשתלב בחברה מן הראוי שיעמדו לנגד עיני בית המשפט בעת גזירת העונש</w:t>
      </w:r>
      <w:r>
        <w:rPr>
          <w:rtl w:val="true"/>
        </w:rPr>
        <w:t xml:space="preserve">. </w:t>
      </w:r>
      <w:r>
        <w:rPr>
          <w:rtl w:val="true"/>
        </w:rPr>
        <w:t xml:space="preserve">כך מורה אותנו </w:t>
      </w:r>
      <w:hyperlink r:id="rId36">
        <w:r>
          <w:rPr>
            <w:rStyle w:val="Hyperlink"/>
            <w:color w:val="0000FF"/>
            <w:u w:val="single"/>
            <w:rtl w:val="true"/>
          </w:rPr>
          <w:t>סעיף</w:t>
        </w:r>
        <w:r>
          <w:rPr>
            <w:rStyle w:val="Hyperlink"/>
            <w:color w:val="0000FF"/>
            <w:u w:val="single"/>
            <w:rtl w:val="true"/>
          </w:rPr>
          <w:t xml:space="preserve"> </w:t>
        </w:r>
        <w:r>
          <w:rPr>
            <w:rStyle w:val="Hyperlink"/>
            <w:color w:val="0000FF"/>
            <w:u w:val="single"/>
          </w:rPr>
          <w:t>1</w:t>
        </w:r>
        <w:r>
          <w:rPr>
            <w:rStyle w:val="Hyperlink"/>
            <w:color w:val="0000FF"/>
            <w:u w:val="single"/>
            <w:rtl w:val="true"/>
          </w:rPr>
          <w:t>א</w:t>
        </w:r>
      </w:hyperlink>
      <w:r>
        <w:rPr>
          <w:rtl w:val="true"/>
        </w:rPr>
        <w:t xml:space="preserve"> לחוק הנוער</w:t>
      </w:r>
      <w:r>
        <w:rPr>
          <w:rtl w:val="true"/>
        </w:rPr>
        <w:t xml:space="preserve">, </w:t>
      </w:r>
      <w:r>
        <w:rPr>
          <w:rtl w:val="true"/>
        </w:rPr>
        <w:t xml:space="preserve">הקובע כי נקיטת הליכים כלפי קטין תעשה בין השאר תוך </w:t>
      </w:r>
      <w:r>
        <w:rPr>
          <w:rFonts w:cs="Miriam" w:ascii="Century" w:hAnsi="Century"/>
          <w:b/>
          <w:spacing w:val="0"/>
          <w:sz w:val="22"/>
          <w:szCs w:val="24"/>
          <w:rtl w:val="true"/>
        </w:rPr>
        <w:t>"</w:t>
      </w:r>
      <w:r>
        <w:rPr>
          <w:rStyle w:val="default"/>
          <w:rFonts w:ascii="Century" w:hAnsi="Century" w:cs="Miriam"/>
          <w:b/>
          <w:b/>
          <w:spacing w:val="0"/>
          <w:sz w:val="22"/>
          <w:sz w:val="22"/>
          <w:szCs w:val="24"/>
          <w:rtl w:val="true"/>
        </w:rPr>
        <w:t>מתן</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משקל</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ראוי</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לשיקולים</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של</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שיקומו</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הטיפול</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בו</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שילובו</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בחברה</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ותקנת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השבים</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וכן</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בהתחשב</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בגילו</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ובמידת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בגרותו</w:t>
      </w:r>
      <w:r>
        <w:rPr>
          <w:rStyle w:val="default"/>
          <w:rFonts w:cs="Miriam" w:ascii="Century" w:hAnsi="Century"/>
          <w:b/>
          <w:spacing w:val="0"/>
          <w:sz w:val="22"/>
          <w:szCs w:val="24"/>
          <w:rtl w:val="true"/>
        </w:rPr>
        <w:t>"</w:t>
      </w:r>
      <w:r>
        <w:rPr>
          <w:rStyle w:val="default"/>
          <w:rFonts w:cs="Century" w:ascii="Century" w:hAnsi="Century"/>
          <w:sz w:val="22"/>
          <w:rtl w:val="true"/>
        </w:rPr>
        <w:t xml:space="preserve">. </w:t>
      </w:r>
      <w:r>
        <w:rPr>
          <w:rtl w:val="true"/>
        </w:rPr>
        <w:t xml:space="preserve">אלא שבמקרה דנן סבר בית המשפט כי שיקולי השיקום נסוגים מפני שיקולי ענישה אחרים </w:t>
      </w:r>
      <w:r>
        <w:rPr>
          <w:rtl w:val="true"/>
        </w:rPr>
        <w:t>(</w:t>
      </w:r>
      <w:r>
        <w:rPr>
          <w:rFonts w:ascii="Century" w:hAnsi="Century" w:cs="Century"/>
          <w:rtl w:val="true"/>
        </w:rPr>
        <w:t xml:space="preserve">ראו </w:t>
      </w:r>
      <w:hyperlink r:id="rId3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21/14</w:t>
        </w:r>
      </w:hyperlink>
      <w:r>
        <w:rPr>
          <w:rFonts w:cs="Century" w:ascii="Century" w:hAnsi="Century"/>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cs="Century" w:ascii="Century" w:hAnsi="Century"/>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Century" w:hAnsi="Century" w:cs="Century"/>
          <w:rtl w:val="true"/>
        </w:rPr>
        <w:t>פסקה י</w:t>
      </w:r>
      <w:r>
        <w:rPr>
          <w:rFonts w:cs="Century" w:ascii="Century" w:hAnsi="Century"/>
          <w:rtl w:val="true"/>
        </w:rPr>
        <w:t>"</w:t>
      </w:r>
      <w:r>
        <w:rPr>
          <w:rFonts w:ascii="Century" w:hAnsi="Century" w:cs="Century"/>
          <w:rtl w:val="true"/>
        </w:rPr>
        <w:t xml:space="preserve">ג </w:t>
      </w:r>
      <w:r>
        <w:rPr>
          <w:rFonts w:cs="Century" w:ascii="Century" w:hAnsi="Century"/>
          <w:rtl w:val="true"/>
        </w:rPr>
        <w:t>(</w:t>
      </w:r>
      <w:r>
        <w:rPr>
          <w:rFonts w:cs="Century" w:ascii="Century" w:hAnsi="Century"/>
        </w:rPr>
        <w:t>2.6.2014</w:t>
      </w:r>
      <w:r>
        <w:rPr>
          <w:rFonts w:cs="Century" w:ascii="Century" w:hAnsi="Century"/>
          <w:rtl w:val="true"/>
        </w:rPr>
        <w:t>)</w:t>
      </w:r>
      <w:r>
        <w:rPr>
          <w:rtl w:val="true"/>
        </w:rPr>
        <w:t xml:space="preserve">). </w:t>
      </w:r>
      <w:r>
        <w:rPr>
          <w:rtl w:val="true"/>
        </w:rPr>
        <w:t>אכן</w:t>
      </w:r>
      <w:r>
        <w:rPr>
          <w:rtl w:val="true"/>
        </w:rPr>
        <w:t xml:space="preserve">, </w:t>
      </w:r>
      <w:r>
        <w:rPr>
          <w:rtl w:val="true"/>
        </w:rPr>
        <w:t>כפי שעולה מתסקירי שירות המבחן לנוער ומפסק דינו של בית המשפט קמא</w:t>
      </w:r>
      <w:r>
        <w:rPr>
          <w:rtl w:val="true"/>
        </w:rPr>
        <w:t xml:space="preserve">, </w:t>
      </w:r>
      <w:r>
        <w:rPr>
          <w:rtl w:val="true"/>
        </w:rPr>
        <w:t>המערער מסרב באופן עקבי להשתתף במסגרות שיקומיות ואף אינו מוכן ליטול אחריות על מעשיו ולהכיר באופן מלא בפסול שבהם</w:t>
      </w:r>
      <w:r>
        <w:rPr>
          <w:rtl w:val="true"/>
        </w:rPr>
        <w:t xml:space="preserve">. </w:t>
      </w:r>
      <w:r>
        <w:rPr>
          <w:rtl w:val="true"/>
        </w:rPr>
        <w:t>בהינתן עברו הפלילי המכביד</w:t>
      </w:r>
      <w:r>
        <w:rPr>
          <w:rtl w:val="true"/>
        </w:rPr>
        <w:t xml:space="preserve">, </w:t>
      </w:r>
      <w:r>
        <w:rPr>
          <w:rtl w:val="true"/>
        </w:rPr>
        <w:t>אף ציין שירות המבחן לנוער כי קיים סיכון גבוה לביצוע עבירות נוספות על ידי המערער</w:t>
      </w:r>
      <w:r>
        <w:rPr>
          <w:rtl w:val="true"/>
        </w:rPr>
        <w:t xml:space="preserve">. </w:t>
      </w:r>
      <w:r>
        <w:rPr>
          <w:rtl w:val="true"/>
        </w:rPr>
        <w:t>האלימות והתוקפנות שהפעיל המערער כלפי האסירים וסגל הכלא מחזקים הערכה זו למרבה הצער</w:t>
      </w:r>
      <w:r>
        <w:rPr>
          <w:rtl w:val="true"/>
        </w:rPr>
        <w:t xml:space="preserve">. </w:t>
      </w:r>
      <w:r>
        <w:rPr>
          <w:rtl w:val="true"/>
        </w:rPr>
        <w:t>המערער אף לא היסס לתקוף את איש יחידת הליווי באולם בית המשפט לעינינו ממש בלא כל סיבה נראית לעין</w:t>
      </w:r>
      <w:r>
        <w:rPr>
          <w:rtl w:val="true"/>
        </w:rPr>
        <w:t xml:space="preserve">. </w:t>
      </w:r>
      <w:r>
        <w:rPr>
          <w:rtl w:val="true"/>
        </w:rPr>
        <w:t>נוכח התנהלותו הבעייתית של המערער לא נותר לנו אלא לקוות כי עתה משהועבר לכלא רמון</w:t>
      </w:r>
      <w:r>
        <w:rPr>
          <w:rtl w:val="true"/>
        </w:rPr>
        <w:t xml:space="preserve">, </w:t>
      </w:r>
      <w:r>
        <w:rPr>
          <w:rtl w:val="true"/>
        </w:rPr>
        <w:t>יתעשת המערער ויירתם סוף סוף להליך טיפולי</w:t>
      </w:r>
      <w:r>
        <w:rPr>
          <w:rtl w:val="true"/>
        </w:rPr>
        <w:t>-</w:t>
      </w:r>
      <w:r>
        <w:rPr>
          <w:rtl w:val="true"/>
        </w:rPr>
        <w:t>שיקומי וכי בעקבותיו אף תתאפשר הוצאתו ההדרגתית מתנאי ההפרדה שאינם קלים כלל ועיקר</w:t>
      </w:r>
      <w:r>
        <w:rPr>
          <w:rtl w:val="true"/>
        </w:rPr>
        <w:t xml:space="preserve">. </w:t>
      </w:r>
    </w:p>
    <w:p>
      <w:pPr>
        <w:pStyle w:val="Ruller42"/>
        <w:ind w:end="0"/>
        <w:jc w:val="both"/>
        <w:rPr/>
      </w:pPr>
      <w:r>
        <w:rPr>
          <w:rtl w:val="true"/>
        </w:rPr>
      </w:r>
    </w:p>
    <w:p>
      <w:pPr>
        <w:pStyle w:val="Ruller43"/>
        <w:numPr>
          <w:ilvl w:val="0"/>
          <w:numId w:val="1"/>
        </w:numPr>
        <w:ind w:hanging="0" w:start="0" w:end="0"/>
        <w:jc w:val="both"/>
        <w:rPr/>
      </w:pPr>
      <w:r>
        <w:rPr>
          <w:rtl w:val="true"/>
        </w:rPr>
        <w:t>מן הטעמים המפורטים לעיל</w:t>
      </w:r>
      <w:r>
        <w:rPr>
          <w:rtl w:val="true"/>
        </w:rPr>
        <w:t xml:space="preserve">, </w:t>
      </w:r>
      <w:r>
        <w:rPr>
          <w:rtl w:val="true"/>
        </w:rPr>
        <w:t>הערעור נדחה</w:t>
      </w:r>
      <w:r>
        <w:rPr>
          <w:rtl w:val="true"/>
        </w:rPr>
        <w:t xml:space="preserve">. </w:t>
      </w:r>
    </w:p>
    <w:p>
      <w:pPr>
        <w:pStyle w:val="Ruller42"/>
        <w:ind w:end="0"/>
        <w:jc w:val="both"/>
        <w:rPr/>
      </w:pPr>
      <w:r>
        <w:rPr>
          <w:rtl w:val="true"/>
        </w:rPr>
      </w:r>
    </w:p>
    <w:p>
      <w:pPr>
        <w:pStyle w:val="Ruller42"/>
        <w:ind w:end="0"/>
        <w:jc w:val="both"/>
        <w:rPr/>
      </w:pPr>
      <w:r>
        <w:rPr>
          <w:rtl w:val="true"/>
        </w:rPr>
      </w:r>
    </w:p>
    <w:p>
      <w:pPr>
        <w:pStyle w:val="Ruller42"/>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ו</w:t>
      </w:r>
      <w:r>
        <w:rPr>
          <w:rFonts w:eastAsia="Arial TUR;Arial" w:cs="Arial TUR;Arial"/>
          <w:rtl w:val="true"/>
        </w:rPr>
        <w:t xml:space="preserve"> </w:t>
      </w:r>
      <w:r>
        <w:rPr>
          <w:rtl w:val="true"/>
        </w:rPr>
        <w:t>באדר</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3.3.2019</w:t>
      </w:r>
      <w:r>
        <w:rPr>
          <w:rtl w:val="true"/>
        </w:rPr>
        <w:t xml:space="preserve">). </w:t>
      </w:r>
    </w:p>
    <w:p>
      <w:pPr>
        <w:pStyle w:val="Ruller42"/>
        <w:ind w:end="0"/>
        <w:jc w:val="both"/>
        <w:rPr/>
      </w:pPr>
      <w:r>
        <w:rPr>
          <w:rtl w:val="true"/>
        </w:rPr>
      </w:r>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3"/>
        <w:gridCol w:w="2797"/>
        <w:gridCol w:w="2783"/>
      </w:tblGrid>
      <w:tr>
        <w:trPr/>
        <w:tc>
          <w:tcPr>
            <w:tcW w:w="2783" w:type="dxa"/>
            <w:tcBorders/>
          </w:tcPr>
          <w:p>
            <w:pPr>
              <w:pStyle w:val="Ruller42"/>
              <w:ind w:end="0"/>
              <w:jc w:val="both"/>
              <w:rPr/>
            </w:pPr>
            <w:r>
              <w:rPr>
                <w:color w:val="FFFFFF"/>
                <w:sz w:val="2"/>
                <w:szCs w:val="2"/>
              </w:rPr>
              <w:t>54678313</w:t>
            </w:r>
            <w:r>
              <w:rPr>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797" w:type="dxa"/>
            <w:tcBorders/>
          </w:tcPr>
          <w:p>
            <w:pPr>
              <w:pStyle w:val="Ruller42"/>
              <w:ind w:end="0"/>
              <w:jc w:val="center"/>
              <w:rPr/>
            </w:pPr>
            <w:r>
              <w:rPr>
                <w:rtl w:val="true"/>
              </w:rPr>
              <w:t>המשנה</w:t>
            </w:r>
            <w:r>
              <w:rPr>
                <w:rFonts w:eastAsia="Arial TUR;Arial" w:cs="Arial TUR;Arial"/>
                <w:rtl w:val="true"/>
              </w:rPr>
              <w:t xml:space="preserve"> </w:t>
            </w:r>
            <w:r>
              <w:rPr>
                <w:rtl w:val="true"/>
              </w:rPr>
              <w:t>לנשיאה</w:t>
            </w:r>
          </w:p>
        </w:tc>
        <w:tc>
          <w:tcPr>
            <w:tcW w:w="2783" w:type="dxa"/>
            <w:tcBorders/>
          </w:tcPr>
          <w:p>
            <w:pPr>
              <w:pStyle w:val="Ruller42"/>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17086140</w:t>
      </w:r>
      <w:r>
        <w:rPr>
          <w:sz w:val="16"/>
          <w:rtl w:val="true"/>
        </w:rPr>
        <w:t>_</w:t>
      </w:r>
      <w:r>
        <w:rPr>
          <w:sz w:val="16"/>
        </w:rPr>
        <w:t>V04.docx</w:t>
      </w:r>
      <w:r>
        <w:rPr>
          <w:sz w:val="16"/>
          <w:rtl w:val="true"/>
        </w:rPr>
        <w:t xml:space="preserve">   </w:t>
      </w:r>
      <w:r>
        <w:rPr>
          <w:sz w:val="16"/>
          <w:sz w:val="16"/>
          <w:rtl w:val="true"/>
        </w:rPr>
        <w:t>גק</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38">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ד</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ברק ארז </w:t>
      </w:r>
      <w:r>
        <w:rPr>
          <w:rFonts w:cs="David;Times New Roman" w:ascii="David;Times New Roman" w:hAnsi="David;Times New Roman"/>
          <w:color w:val="000000"/>
          <w:szCs w:val="22"/>
        </w:rPr>
        <w:t>54678313-8614/17</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9">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0"/>
      <w:footerReference w:type="default" r:id="rId4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8614/17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character" w:styleId="Ruller41">
    <w:name w:val="Ruller 4 ממוספר תו"/>
    <w:qFormat/>
    <w:rPr>
      <w:rFonts w:ascii="Garamond" w:hAnsi="Garamond" w:cs="FrankRuehl"/>
      <w:spacing w:val="10"/>
      <w:sz w:val="24"/>
      <w:szCs w:val="28"/>
    </w:rPr>
  </w:style>
  <w:style w:type="character" w:styleId="default">
    <w:name w:val="default"/>
    <w:qFormat/>
    <w:rPr>
      <w:rFonts w:ascii="Times New Roman;Times New Roman" w:hAnsi="Times New Roman;Times New Roman" w:cs="Times New Roman;Times New Roman"/>
      <w:sz w:val="26"/>
      <w:szCs w:val="26"/>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2"/>
    <w:next w:val="Ruller42"/>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3163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368f.a" TargetMode="External"/><Relationship Id="rId6" Type="http://schemas.openxmlformats.org/officeDocument/2006/relationships/hyperlink" Target="http://www.nevo.co.il/law/70301/402.b" TargetMode="External"/><Relationship Id="rId7" Type="http://schemas.openxmlformats.org/officeDocument/2006/relationships/hyperlink" Target="http://www.nevo.co.il/law/70301/499.a.1" TargetMode="External"/><Relationship Id="rId8" Type="http://schemas.openxmlformats.org/officeDocument/2006/relationships/hyperlink" Target="http://www.nevo.co.il/law/70348" TargetMode="External"/><Relationship Id="rId9" Type="http://schemas.openxmlformats.org/officeDocument/2006/relationships/hyperlink" Target="http://www.nevo.co.il/law/70348/1a" TargetMode="External"/><Relationship Id="rId10" Type="http://schemas.openxmlformats.org/officeDocument/2006/relationships/hyperlink" Target="http://www.nevo.co.il/law/70348/22" TargetMode="External"/><Relationship Id="rId11" Type="http://schemas.openxmlformats.org/officeDocument/2006/relationships/hyperlink" Target="http://www.nevo.co.il/law/70348/24.1" TargetMode="External"/><Relationship Id="rId12" Type="http://schemas.openxmlformats.org/officeDocument/2006/relationships/hyperlink" Target="http://www.nevo.co.il/case/21731637" TargetMode="External"/><Relationship Id="rId13" Type="http://schemas.openxmlformats.org/officeDocument/2006/relationships/hyperlink" Target="http://www.nevo.co.il/law/70301/499.a.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402.b" TargetMode="External"/><Relationship Id="rId16" Type="http://schemas.openxmlformats.org/officeDocument/2006/relationships/hyperlink" Target="http://www.nevo.co.il/law/70301/29" TargetMode="External"/><Relationship Id="rId17" Type="http://schemas.openxmlformats.org/officeDocument/2006/relationships/hyperlink" Target="http://www.nevo.co.il/law/70301/368f.a" TargetMode="External"/><Relationship Id="rId18" Type="http://schemas.openxmlformats.org/officeDocument/2006/relationships/hyperlink" Target="http://www.nevo.co.il/law/70301/29" TargetMode="External"/><Relationship Id="rId19" Type="http://schemas.openxmlformats.org/officeDocument/2006/relationships/hyperlink" Target="http://www.nevo.co.il/law/70348/22" TargetMode="External"/><Relationship Id="rId20" Type="http://schemas.openxmlformats.org/officeDocument/2006/relationships/hyperlink" Target="http://www.nevo.co.il/law/70348" TargetMode="External"/><Relationship Id="rId21" Type="http://schemas.openxmlformats.org/officeDocument/2006/relationships/hyperlink" Target="http://www.nevo.co.il/law/70348/24.1" TargetMode="External"/><Relationship Id="rId22" Type="http://schemas.openxmlformats.org/officeDocument/2006/relationships/hyperlink" Target="http://www.nevo.co.il/case/23354506" TargetMode="External"/><Relationship Id="rId23" Type="http://schemas.openxmlformats.org/officeDocument/2006/relationships/hyperlink" Target="http://www.nevo.co.il/case/24156669" TargetMode="External"/><Relationship Id="rId24" Type="http://schemas.openxmlformats.org/officeDocument/2006/relationships/hyperlink" Target="http://www.nevo.co.il/case/6054321" TargetMode="External"/><Relationship Id="rId25" Type="http://schemas.openxmlformats.org/officeDocument/2006/relationships/hyperlink" Target="http://www.nevo.co.il/case/5815848" TargetMode="External"/><Relationship Id="rId26" Type="http://schemas.openxmlformats.org/officeDocument/2006/relationships/hyperlink" Target="http://www.nevo.co.il/case/5765615" TargetMode="External"/><Relationship Id="rId27" Type="http://schemas.openxmlformats.org/officeDocument/2006/relationships/hyperlink" Target="http://www.nevo.co.il/case/5583682" TargetMode="External"/><Relationship Id="rId28" Type="http://schemas.openxmlformats.org/officeDocument/2006/relationships/hyperlink" Target="http://www.nevo.co.il/case/6040836" TargetMode="External"/><Relationship Id="rId29" Type="http://schemas.openxmlformats.org/officeDocument/2006/relationships/hyperlink" Target="http://www.nevo.co.il/case/13083699" TargetMode="External"/><Relationship Id="rId30" Type="http://schemas.openxmlformats.org/officeDocument/2006/relationships/hyperlink" Target="http://www.nevo.co.il/case/6152665" TargetMode="External"/><Relationship Id="rId31" Type="http://schemas.openxmlformats.org/officeDocument/2006/relationships/hyperlink" Target="http://www.nevo.co.il/case/5593885" TargetMode="External"/><Relationship Id="rId32" Type="http://schemas.openxmlformats.org/officeDocument/2006/relationships/hyperlink" Target="http://www.nevo.co.il/case/6248655" TargetMode="External"/><Relationship Id="rId33" Type="http://schemas.openxmlformats.org/officeDocument/2006/relationships/hyperlink" Target="http://www.nevo.co.il/case/17948114" TargetMode="External"/><Relationship Id="rId34" Type="http://schemas.openxmlformats.org/officeDocument/2006/relationships/hyperlink" Target="http://www.nevo.co.il/case/17954283" TargetMode="External"/><Relationship Id="rId35" Type="http://schemas.openxmlformats.org/officeDocument/2006/relationships/hyperlink" Target="http://www.nevo.co.il/case/5840388" TargetMode="External"/><Relationship Id="rId36" Type="http://schemas.openxmlformats.org/officeDocument/2006/relationships/hyperlink" Target="http://www.nevo.co.il/law/70348/1a" TargetMode="External"/><Relationship Id="rId37" Type="http://schemas.openxmlformats.org/officeDocument/2006/relationships/hyperlink" Target="http://www.nevo.co.il/case/16975154" TargetMode="External"/><Relationship Id="rId38" Type="http://schemas.openxmlformats.org/officeDocument/2006/relationships/hyperlink" Target="http://supreme.court.gov.il/" TargetMode="External"/><Relationship Id="rId39" Type="http://schemas.openxmlformats.org/officeDocument/2006/relationships/hyperlink" Target="http://www.nevo.co.il/advertisements/nevo-100.doc" TargetMode="External"/><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2019-03-04T09:37:00Z</dcterms:created>
  <dc:creator>h3</dc:creator>
  <dc:description/>
  <cp:keywords/>
  <dc:language>en-IL</dc:language>
  <cp:lastModifiedBy>orly</cp:lastModifiedBy>
  <cp:lastPrinted>2019-03-03T11:49:00Z</cp:lastPrinted>
  <dcterms:modified xsi:type="dcterms:W3CDTF">2019-03-04T09:37:00Z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21731637:2;23354506;24156669;6054321;5815848;5765615;5583682;6040836;13083699;6152665;5593885;6248655;17948114;17954283;5840388;16975154</vt:lpwstr>
  </property>
  <property fmtid="{D5CDD505-2E9C-101B-9397-08002B2CF9AE}" pid="9" name="CITY">
    <vt:lpwstr/>
  </property>
  <property fmtid="{D5CDD505-2E9C-101B-9397-08002B2CF9AE}" pid="10" name="DATE">
    <vt:lpwstr>20190303</vt:lpwstr>
  </property>
  <property fmtid="{D5CDD505-2E9C-101B-9397-08002B2CF9AE}" pid="11" name="DELEMATA">
    <vt:lpwstr/>
  </property>
  <property fmtid="{D5CDD505-2E9C-101B-9397-08002B2CF9AE}" pid="12" name="ISABSTRACT">
    <vt:lpwstr>Y</vt:lpwstr>
  </property>
  <property fmtid="{D5CDD505-2E9C-101B-9397-08002B2CF9AE}" pid="13" name="JUDGE">
    <vt:lpwstr>ד' ברק ארז;א' חיות;ח' מלצר</vt:lpwstr>
  </property>
  <property fmtid="{D5CDD505-2E9C-101B-9397-08002B2CF9AE}" pid="14" name="LAWLISTTMP1">
    <vt:lpwstr>70301/499.a.1;402.b;029:2;368f.a</vt:lpwstr>
  </property>
  <property fmtid="{D5CDD505-2E9C-101B-9397-08002B2CF9AE}" pid="15" name="LAWLISTTMP2">
    <vt:lpwstr>70348/022;024.1;001a</vt:lpwstr>
  </property>
  <property fmtid="{D5CDD505-2E9C-101B-9397-08002B2CF9AE}" pid="16" name="LAWYER">
    <vt:lpwstr>טל אדיר כהן;טל סמואל;ענת חולי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עונשין</vt:lpwstr>
  </property>
  <property fmtid="{D5CDD505-2E9C-101B-9397-08002B2CF9AE}" pid="32" name="NOSE15">
    <vt:lpwstr>עונשין</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ענישה</vt:lpwstr>
  </property>
  <property fmtid="{D5CDD505-2E9C-101B-9397-08002B2CF9AE}" pid="43" name="NOSE25">
    <vt:lpwstr>ענישה</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1446;1446;1446;1446;1446</vt:lpwstr>
  </property>
  <property fmtid="{D5CDD505-2E9C-101B-9397-08002B2CF9AE}" pid="49" name="NOSE31">
    <vt:lpwstr>מדיניות ענישה: שוד</vt:lpwstr>
  </property>
  <property fmtid="{D5CDD505-2E9C-101B-9397-08002B2CF9AE}" pid="50" name="NOSE310">
    <vt:lpwstr/>
  </property>
  <property fmtid="{D5CDD505-2E9C-101B-9397-08002B2CF9AE}" pid="51" name="NOSE32">
    <vt:lpwstr>מדיניות ענישה: עבירות נגד קשישים</vt:lpwstr>
  </property>
  <property fmtid="{D5CDD505-2E9C-101B-9397-08002B2CF9AE}" pid="52" name="NOSE33">
    <vt:lpwstr>מדיניות ענישה: התערבות ערכאת ערעור</vt:lpwstr>
  </property>
  <property fmtid="{D5CDD505-2E9C-101B-9397-08002B2CF9AE}" pid="53" name="NOSE34">
    <vt:lpwstr>מדיניות ענישה: שיקולים</vt:lpwstr>
  </property>
  <property fmtid="{D5CDD505-2E9C-101B-9397-08002B2CF9AE}" pid="54" name="NOSE35">
    <vt:lpwstr>מדיניות ענישה: שיקום</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15019;14903;8982;8994;14346</vt:lpwstr>
  </property>
  <property fmtid="{D5CDD505-2E9C-101B-9397-08002B2CF9AE}" pid="60" name="PADIDATE">
    <vt:lpwstr>20190304</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8614</vt:lpwstr>
  </property>
  <property fmtid="{D5CDD505-2E9C-101B-9397-08002B2CF9AE}" pid="66" name="PROCYEAR">
    <vt:lpwstr>17</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410120190303</vt:lpwstr>
  </property>
  <property fmtid="{D5CDD505-2E9C-101B-9397-08002B2CF9AE}" pid="70" name="TYPE_N_DATE">
    <vt:lpwstr>41020190303</vt:lpwstr>
  </property>
  <property fmtid="{D5CDD505-2E9C-101B-9397-08002B2CF9AE}" pid="71" name="VOLUME">
    <vt:lpwstr/>
  </property>
  <property fmtid="{D5CDD505-2E9C-101B-9397-08002B2CF9AE}" pid="72" name="WORDNUMPAGES">
    <vt:lpwstr>11</vt:lpwstr>
  </property>
</Properties>
</file>