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8616/19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עבדיאן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בקשה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למחיקה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הסף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תשובה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לבקשה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למחיקת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הערעור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הסף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16.2.2020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הודעה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המערער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8.3.2020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הודעה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המשיבה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8.3.2020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תאריך הדיון</w:t>
      </w:r>
      <w:r>
        <w:rPr>
          <w:rFonts w:cs="David" w:ascii="David" w:hAnsi="David"/>
          <w:rtl w:val="true"/>
        </w:rPr>
        <w:t xml:space="preserve">: </w:t>
        <w:tab/>
        <w:t>‏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באדר התש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ף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4.3.2020</w:t>
      </w:r>
      <w:r>
        <w:rPr>
          <w:rFonts w:cs="David" w:ascii="David" w:hAnsi="David"/>
          <w:rtl w:val="true"/>
        </w:rPr>
        <w:t>).</w:t>
      </w:r>
    </w:p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בשם המערער</w:t>
      </w:r>
      <w:r>
        <w:rPr>
          <w:rFonts w:cs="David" w:ascii="David" w:hAnsi="David"/>
          <w:rtl w:val="true"/>
        </w:rPr>
        <w:t xml:space="preserve">: </w:t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דוד פורר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אמיר אבני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שחר קפושה</w:t>
      </w:r>
    </w:p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BodyRuller1"/>
        <w:ind w:end="0"/>
        <w:jc w:val="start"/>
        <w:rPr>
          <w:rFonts w:ascii="David" w:hAnsi="David" w:cs="David"/>
        </w:rPr>
      </w:pPr>
      <w:bookmarkStart w:id="3" w:name="FirstLawyer"/>
      <w:r>
        <w:rPr>
          <w:rFonts w:ascii="David" w:hAnsi="David"/>
          <w:rtl w:val="true"/>
        </w:rPr>
        <w:t>בשם המשיב</w:t>
      </w:r>
      <w:bookmarkEnd w:id="3"/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: </w:t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עודד ציון</w:t>
      </w:r>
    </w:p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80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415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423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425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</w:rPr>
          <w:t>213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4" w:name="LawTable_End"/>
      <w:bookmarkStart w:id="5" w:name="LawTable_End"/>
      <w:bookmarkEnd w:id="5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זוכה בפסק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מעבירות שיוחסו לו בכתב אישום שהוגש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כבר נפסק כי נאשם שזוכה בדין אינו רשאי להגיש ערעור על פסק דין מזכה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בסמכות רשם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להורות על מחיקה על הסף של ערעור שהוגש על זיכוי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כאילו לא התקבל למרשם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ההליך נמחק על הסף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זיכוי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זכות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זכות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סמכות – רשם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 המערער הוגש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כתב אישום שייחס לו ביצוע עבירות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בפסק דינו זיכה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את המערער מכל האישומים שיוחסו לו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הגיש ערעור על פסק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הערעור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 עתר לזיכוי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מוחלט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מהעבירות שיוחסו לו 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 הגישה בקשה למחיקת הערעור על הסף בטענה כי המערער אינו רשאי להגיש ערעור על פסק דין מזכה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הרשמת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עבדיאן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מחק את ההליך שבכותרת על הסף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יש לאפשר לו לערער על פסק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וזאת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השאר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המשמעות שיכולה להיות לטעמי הזיכוי על תביעת פיצויים עתידית שבדעתו להגיש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לא ניתנה הלכה בהרכב של שלושה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מהחלטה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דן יחיד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המורה כי לא ניתן להגיש ערעור על פסק דין המורה על זיכויו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להגיש ערעור על פסק דין המורה על זיכוי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כי נאשם שזוכה בדין אינו רשאי לערער על טיב 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משום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משמעותו של זיכוי מחמת הספק זהה למשמעותו של זיכוי מוחלט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בפסיקה הובהר כי אין בסוגיה של פסיקת הוצאותיו של נאשם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כדי להקנות זכות ערעור על פסק הדין המזכה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משום שטיב הזיכוי הוא רק שיקול אחד מבין רבים שיש לשקול בגדרי בקשה זו ובהתחשב בכך שעל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בעניין הוצאות ניתן לערער כאמור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אינו רשאי להגיש ערעור על פסק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המורה על זיכויו מן האישומים שיוחסו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לשאלת קיומה של סמכות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ובפרט לרשמיו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להורות על מחיקה על הסף של ערעור שהוגש על זיכוי נוכח הוראות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213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הפסיקה לא עומדת לנאשם מלכתחילה האפשרות להגיש ערעור על זיכוי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שהליך שכזה כלל לא היה צריך להתקבל למרשם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שיש בידי רשמ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/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סמכות להורות על מחיקת ההליך כאילו לא התקבל למרשם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Writer_Name"/>
      <w:bookmarkStart w:id="13" w:name="Writer_Name"/>
      <w:bookmarkEnd w:id="13"/>
    </w:p>
    <w:p>
      <w:pPr>
        <w:pStyle w:val="Ruller4"/>
        <w:ind w:end="0"/>
        <w:jc w:val="both"/>
        <w:rPr/>
      </w:pPr>
      <w:bookmarkStart w:id="14" w:name="Start_Write"/>
      <w:bookmarkEnd w:id="14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11.11.2019</w:t>
      </w:r>
      <w:r>
        <w:rPr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".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מוחלט</w:t>
      </w:r>
      <w:r>
        <w:rPr>
          <w:rtl w:val="true"/>
        </w:rPr>
        <w:t xml:space="preserve">"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")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4.3.2020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8.3.2020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1568/99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25.5.1999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נםקא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הזיכויים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אוריאל</w:t>
      </w:r>
      <w:r>
        <w:rPr>
          <w:rtl w:val="true"/>
        </w:rPr>
        <w:t xml:space="preserve">)).   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דחייה</w:t>
      </w:r>
      <w:r>
        <w:rPr>
          <w:rtl w:val="true"/>
        </w:rPr>
        <w:t xml:space="preserve">. </w:t>
      </w:r>
      <w:r>
        <w:rPr>
          <w:rtl w:val="true"/>
        </w:rPr>
        <w:t>ובלשונה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והשוו</w:t>
      </w:r>
      <w:r>
        <w:rPr>
          <w:rFonts w:cs="Century" w:ascii="Century" w:hAnsi="Century"/>
          <w:rtl w:val="true"/>
        </w:rPr>
        <w:t xml:space="preserve">: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6034/07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אוריאל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8.11.2007</w:t>
      </w:r>
      <w:r>
        <w:rPr>
          <w:rFonts w:cs="Century" w:ascii="Century" w:hAnsi="Century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1568/99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גלעד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25.5.1999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עיריית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18.7.2012</w:t>
      </w:r>
      <w:r>
        <w:rPr>
          <w:rtl w:val="true"/>
        </w:rPr>
        <w:t>) [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-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>.])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hyperlink r:id="rId2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89/89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8.8.1989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3226/00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7.5.2000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4178/07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16.5.2007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פיסקה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23.1.2020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אוריאל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בפיסקה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חככתי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לרשמיו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למרשם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2567/19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14.4.2019</w:t>
      </w:r>
      <w:r>
        <w:rPr>
          <w:rtl w:val="true"/>
        </w:rPr>
        <w:t xml:space="preserve">),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11.6.2019</w:t>
      </w:r>
      <w:r>
        <w:rPr>
          <w:rtl w:val="true"/>
        </w:rPr>
        <w:t xml:space="preserve">)),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5.5.2019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1.4.2020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15.3.2020</w:t>
      </w:r>
      <w:r>
        <w:rPr>
          <w:rtl w:val="true"/>
        </w:rPr>
        <w:t xml:space="preserve">). </w:t>
      </w:r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2782"/>
        <w:gridCol w:w="2798"/>
      </w:tblGrid>
      <w:tr>
        <w:trPr/>
        <w:tc>
          <w:tcPr>
            <w:tcW w:w="2783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שרית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עבדיאן</w:t>
            </w:r>
          </w:p>
        </w:tc>
      </w:tr>
      <w:tr>
        <w:trPr/>
        <w:tc>
          <w:tcPr>
            <w:tcW w:w="2783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19086160</w:t>
      </w:r>
      <w:r>
        <w:rPr>
          <w:sz w:val="16"/>
          <w:rtl w:val="true"/>
        </w:rPr>
        <w:t>_</w:t>
      </w:r>
      <w:r>
        <w:rPr>
          <w:sz w:val="16"/>
        </w:rPr>
        <w:t>D06.docx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כש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 xml:space="preserve">שרית עבדיאן </w:t>
      </w:r>
      <w:r>
        <w:rPr>
          <w:rFonts w:cs="David" w:ascii="David" w:hAnsi="David"/>
          <w:color w:val="000000"/>
          <w:szCs w:val="22"/>
        </w:rPr>
        <w:t>54678313-8616/19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8616/19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משה חברוני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0" TargetMode="External"/><Relationship Id="rId4" Type="http://schemas.openxmlformats.org/officeDocument/2006/relationships/hyperlink" Target="http://www.nevo.co.il/law/70301/80.c" TargetMode="External"/><Relationship Id="rId5" Type="http://schemas.openxmlformats.org/officeDocument/2006/relationships/hyperlink" Target="http://www.nevo.co.il/law/70301/415" TargetMode="External"/><Relationship Id="rId6" Type="http://schemas.openxmlformats.org/officeDocument/2006/relationships/hyperlink" Target="http://www.nevo.co.il/law/70301/423" TargetMode="External"/><Relationship Id="rId7" Type="http://schemas.openxmlformats.org/officeDocument/2006/relationships/hyperlink" Target="http://www.nevo.co.il/law/70301/425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213" TargetMode="External"/><Relationship Id="rId10" Type="http://schemas.openxmlformats.org/officeDocument/2006/relationships/hyperlink" Target="http://www.nevo.co.il/law/70301/41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23" TargetMode="External"/><Relationship Id="rId13" Type="http://schemas.openxmlformats.org/officeDocument/2006/relationships/hyperlink" Target="http://www.nevo.co.il/law/70301/425" TargetMode="External"/><Relationship Id="rId14" Type="http://schemas.openxmlformats.org/officeDocument/2006/relationships/hyperlink" Target="http://www.nevo.co.il/law/70301/8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777461" TargetMode="External"/><Relationship Id="rId17" Type="http://schemas.openxmlformats.org/officeDocument/2006/relationships/hyperlink" Target="http://www.nevo.co.il/case/6045779" TargetMode="External"/><Relationship Id="rId18" Type="http://schemas.openxmlformats.org/officeDocument/2006/relationships/hyperlink" Target="http://www.nevo.co.il/case/6045779" TargetMode="External"/><Relationship Id="rId19" Type="http://schemas.openxmlformats.org/officeDocument/2006/relationships/hyperlink" Target="http://www.nevo.co.il/case/5777461" TargetMode="External"/><Relationship Id="rId20" Type="http://schemas.openxmlformats.org/officeDocument/2006/relationships/hyperlink" Target="http://www.nevo.co.il/case/5584981" TargetMode="External"/><Relationship Id="rId21" Type="http://schemas.openxmlformats.org/officeDocument/2006/relationships/hyperlink" Target="http://www.nevo.co.il/case/17944755" TargetMode="External"/><Relationship Id="rId22" Type="http://schemas.openxmlformats.org/officeDocument/2006/relationships/hyperlink" Target="http://www.nevo.co.il/case/5883168" TargetMode="External"/><Relationship Id="rId23" Type="http://schemas.openxmlformats.org/officeDocument/2006/relationships/hyperlink" Target="http://www.nevo.co.il/case/5942339" TargetMode="External"/><Relationship Id="rId24" Type="http://schemas.openxmlformats.org/officeDocument/2006/relationships/hyperlink" Target="http://www.nevo.co.il/case/26383390" TargetMode="External"/><Relationship Id="rId25" Type="http://schemas.openxmlformats.org/officeDocument/2006/relationships/hyperlink" Target="http://www.nevo.co.il/law/70301/8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80.c" TargetMode="External"/><Relationship Id="rId28" Type="http://schemas.openxmlformats.org/officeDocument/2006/relationships/hyperlink" Target="http://www.nevo.co.il/law/74903/213" TargetMode="External"/><Relationship Id="rId29" Type="http://schemas.openxmlformats.org/officeDocument/2006/relationships/hyperlink" Target="http://www.nevo.co.il/law/74903" TargetMode="External"/><Relationship Id="rId30" Type="http://schemas.openxmlformats.org/officeDocument/2006/relationships/hyperlink" Target="http://www.nevo.co.il/case/25612985" TargetMode="External"/><Relationship Id="rId31" Type="http://schemas.openxmlformats.org/officeDocument/2006/relationships/hyperlink" Target="http://www.nevo.co.il/case/25662776" TargetMode="External"/><Relationship Id="rId32" Type="http://schemas.openxmlformats.org/officeDocument/2006/relationships/hyperlink" Target="http://www.nevo.co.il/case/24975739" TargetMode="External"/><Relationship Id="rId33" Type="http://schemas.openxmlformats.org/officeDocument/2006/relationships/hyperlink" Target="http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2020-03-18T08:51:00Z</dcterms:created>
  <dc:creator>h4</dc:creator>
  <dc:description/>
  <cp:keywords/>
  <dc:language>en-IL</dc:language>
  <cp:lastModifiedBy>orly</cp:lastModifiedBy>
  <cp:lastPrinted>2020-03-15T12:53:00Z</cp:lastPrinted>
  <dcterms:modified xsi:type="dcterms:W3CDTF">2020-03-18T08:51:00Z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חברוני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5777461:2;6045779:2;5584981;17944755;5883168;5942339;26383390;25612985;25662776;24975739</vt:lpwstr>
  </property>
  <property fmtid="{D5CDD505-2E9C-101B-9397-08002B2CF9AE}" pid="9" name="CITY">
    <vt:lpwstr/>
  </property>
  <property fmtid="{D5CDD505-2E9C-101B-9397-08002B2CF9AE}" pid="10" name="DATE">
    <vt:lpwstr>20200315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שרית עבדיאן</vt:lpwstr>
  </property>
  <property fmtid="{D5CDD505-2E9C-101B-9397-08002B2CF9AE}" pid="14" name="LAWLISTTMP1">
    <vt:lpwstr>70301/415;423;425;080:2;080.c</vt:lpwstr>
  </property>
  <property fmtid="{D5CDD505-2E9C-101B-9397-08002B2CF9AE}" pid="15" name="LAWLISTTMP2">
    <vt:lpwstr>74903/213</vt:lpwstr>
  </property>
  <property fmtid="{D5CDD505-2E9C-101B-9397-08002B2CF9AE}" pid="16" name="LAWYER">
    <vt:lpwstr>עודד ציון;דוד פורר;אמיר אבני;שחר קפושה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בתי-משפט</vt:lpwstr>
  </property>
  <property fmtid="{D5CDD505-2E9C-101B-9397-08002B2CF9AE}" pid="31" name="NOSE14">
    <vt:lpwstr>בתי-משפט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18;18;14;14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ערעור</vt:lpwstr>
  </property>
  <property fmtid="{D5CDD505-2E9C-101B-9397-08002B2CF9AE}" pid="42" name="NOSE24">
    <vt:lpwstr>סמכות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504;504;333;328</vt:lpwstr>
  </property>
  <property fmtid="{D5CDD505-2E9C-101B-9397-08002B2CF9AE}" pid="49" name="NOSE31">
    <vt:lpwstr>זיכוי</vt:lpwstr>
  </property>
  <property fmtid="{D5CDD505-2E9C-101B-9397-08002B2CF9AE}" pid="50" name="NOSE310">
    <vt:lpwstr/>
  </property>
  <property fmtid="{D5CDD505-2E9C-101B-9397-08002B2CF9AE}" pid="51" name="NOSE32">
    <vt:lpwstr>זכות ערעור</vt:lpwstr>
  </property>
  <property fmtid="{D5CDD505-2E9C-101B-9397-08002B2CF9AE}" pid="52" name="NOSE33">
    <vt:lpwstr>זכות ערעור</vt:lpwstr>
  </property>
  <property fmtid="{D5CDD505-2E9C-101B-9397-08002B2CF9AE}" pid="53" name="NOSE34">
    <vt:lpwstr>רשם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15798;3860;2713;2646</vt:lpwstr>
  </property>
  <property fmtid="{D5CDD505-2E9C-101B-9397-08002B2CF9AE}" pid="60" name="PADIDATE">
    <vt:lpwstr>20200318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8616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410120200315</vt:lpwstr>
  </property>
  <property fmtid="{D5CDD505-2E9C-101B-9397-08002B2CF9AE}" pid="70" name="TYPE_N_DATE">
    <vt:lpwstr>41020200315</vt:lpwstr>
  </property>
  <property fmtid="{D5CDD505-2E9C-101B-9397-08002B2CF9AE}" pid="71" name="VOLUME">
    <vt:lpwstr/>
  </property>
  <property fmtid="{D5CDD505-2E9C-101B-9397-08002B2CF9AE}" pid="72" name="WORDNUMPAGES">
    <vt:lpwstr>5</vt:lpwstr>
  </property>
</Properties>
</file>